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DEB0" w14:textId="77777777" w:rsidR="00646544" w:rsidRDefault="00646544">
      <w:pPr>
        <w:rPr>
          <w:rFonts w:ascii="Calibri" w:hAnsi="Calibri" w:cs="Calibri"/>
        </w:rPr>
      </w:pPr>
    </w:p>
    <w:p w14:paraId="4C8D2672" w14:textId="17C73772" w:rsidR="00646544" w:rsidRDefault="00444526">
      <w:pPr>
        <w:rPr>
          <w:rFonts w:ascii="Calibri" w:hAnsi="Calibri" w:cs="Calibri"/>
        </w:rPr>
      </w:pPr>
      <w:r>
        <w:rPr>
          <w:noProof/>
        </w:rPr>
        <w:t xml:space="preserve">  </w:t>
      </w:r>
    </w:p>
    <w:p w14:paraId="5501CD31" w14:textId="56F6F5CB" w:rsidR="00FF314E" w:rsidRDefault="00FF314E" w:rsidP="00646544">
      <w:pPr>
        <w:rPr>
          <w:rFonts w:ascii="Edwardian Script ITC" w:hAnsi="Edwardian Script ITC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D867AD0" wp14:editId="5D9FD8C6">
            <wp:simplePos x="0" y="0"/>
            <wp:positionH relativeFrom="column">
              <wp:posOffset>3213471</wp:posOffset>
            </wp:positionH>
            <wp:positionV relativeFrom="paragraph">
              <wp:posOffset>394149</wp:posOffset>
            </wp:positionV>
            <wp:extent cx="2768600" cy="267688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676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31D">
        <w:rPr>
          <w:noProof/>
        </w:rPr>
        <w:t xml:space="preserve"> </w:t>
      </w:r>
    </w:p>
    <w:p w14:paraId="07810CD2" w14:textId="629E8460" w:rsidR="00646544" w:rsidRDefault="00646544" w:rsidP="00646544">
      <w:pPr>
        <w:rPr>
          <w:rFonts w:ascii="Edwardian Script ITC" w:hAnsi="Edwardian Script ITC"/>
          <w:sz w:val="16"/>
          <w:szCs w:val="16"/>
        </w:rPr>
      </w:pPr>
      <w:r>
        <w:rPr>
          <w:rFonts w:ascii="Edwardian Script ITC" w:hAnsi="Edwardian Script ITC"/>
          <w:sz w:val="72"/>
          <w:szCs w:val="72"/>
        </w:rPr>
        <w:t>The Classic Arts</w:t>
      </w:r>
    </w:p>
    <w:p w14:paraId="7CD57B8C" w14:textId="0D1E1DA0" w:rsidR="00646544" w:rsidRPr="003F526F" w:rsidRDefault="00646544" w:rsidP="00646544">
      <w:pPr>
        <w:rPr>
          <w:rFonts w:ascii="Edwardian Script ITC" w:hAnsi="Edwardian Script ITC" w:cs="Tahoma"/>
          <w:sz w:val="72"/>
          <w:szCs w:val="72"/>
        </w:rPr>
      </w:pPr>
      <w:r>
        <w:rPr>
          <w:rFonts w:ascii="Edwardian Script ITC" w:hAnsi="Edwardian Script ITC"/>
          <w:sz w:val="72"/>
          <w:szCs w:val="72"/>
        </w:rPr>
        <w:t xml:space="preserve">School of Music </w:t>
      </w:r>
      <w:r>
        <w:rPr>
          <w:sz w:val="20"/>
          <w:szCs w:val="20"/>
        </w:rPr>
        <w:t>™</w:t>
      </w:r>
    </w:p>
    <w:p w14:paraId="24F1B0F5" w14:textId="77777777" w:rsidR="00646544" w:rsidRPr="00646544" w:rsidRDefault="00646544" w:rsidP="00646544">
      <w:pPr>
        <w:rPr>
          <w:sz w:val="22"/>
          <w:szCs w:val="22"/>
        </w:rPr>
      </w:pPr>
      <w:r w:rsidRPr="00646544">
        <w:rPr>
          <w:sz w:val="22"/>
          <w:szCs w:val="22"/>
        </w:rPr>
        <w:t>321 TAYLORS ROAD</w:t>
      </w:r>
    </w:p>
    <w:p w14:paraId="671E6DA9" w14:textId="77777777" w:rsidR="00646544" w:rsidRPr="00646544" w:rsidRDefault="00646544" w:rsidP="00646544">
      <w:pPr>
        <w:rPr>
          <w:sz w:val="22"/>
          <w:szCs w:val="22"/>
        </w:rPr>
      </w:pPr>
      <w:r w:rsidRPr="00646544">
        <w:rPr>
          <w:sz w:val="22"/>
          <w:szCs w:val="22"/>
        </w:rPr>
        <w:t>KINGS PARK VIC 3021</w:t>
      </w:r>
    </w:p>
    <w:p w14:paraId="1561D140" w14:textId="2AA67343" w:rsidR="00646544" w:rsidRPr="00646544" w:rsidRDefault="00646544" w:rsidP="00646544">
      <w:pPr>
        <w:rPr>
          <w:sz w:val="22"/>
          <w:szCs w:val="22"/>
        </w:rPr>
      </w:pPr>
      <w:r w:rsidRPr="00646544">
        <w:rPr>
          <w:sz w:val="22"/>
          <w:szCs w:val="22"/>
        </w:rPr>
        <w:t>P:(03) 9364 3046</w:t>
      </w:r>
    </w:p>
    <w:p w14:paraId="64A54A75" w14:textId="77777777" w:rsidR="00646544" w:rsidRPr="00646544" w:rsidRDefault="00646544" w:rsidP="00646544">
      <w:pPr>
        <w:rPr>
          <w:sz w:val="22"/>
          <w:szCs w:val="22"/>
        </w:rPr>
      </w:pPr>
      <w:r w:rsidRPr="00646544">
        <w:rPr>
          <w:sz w:val="22"/>
          <w:szCs w:val="22"/>
        </w:rPr>
        <w:t>M: 0407 877 291</w:t>
      </w:r>
    </w:p>
    <w:p w14:paraId="34264BE9" w14:textId="77777777" w:rsidR="00646544" w:rsidRPr="00646544" w:rsidRDefault="00646544" w:rsidP="00646544">
      <w:pPr>
        <w:rPr>
          <w:sz w:val="22"/>
          <w:szCs w:val="22"/>
        </w:rPr>
      </w:pPr>
      <w:r w:rsidRPr="00646544">
        <w:rPr>
          <w:sz w:val="22"/>
          <w:szCs w:val="22"/>
        </w:rPr>
        <w:t>ABN:  37 914 746 934</w:t>
      </w:r>
    </w:p>
    <w:p w14:paraId="3C3B0894" w14:textId="77777777" w:rsidR="00646544" w:rsidRPr="00646544" w:rsidRDefault="00646544" w:rsidP="00646544">
      <w:pPr>
        <w:rPr>
          <w:sz w:val="22"/>
          <w:szCs w:val="22"/>
        </w:rPr>
      </w:pPr>
      <w:hyperlink r:id="rId6" w:history="1">
        <w:r w:rsidRPr="00646544">
          <w:rPr>
            <w:rStyle w:val="Hyperlink"/>
            <w:rFonts w:eastAsiaTheme="majorEastAsia"/>
            <w:sz w:val="22"/>
            <w:szCs w:val="22"/>
          </w:rPr>
          <w:t>theclassicarts@outlook.com</w:t>
        </w:r>
      </w:hyperlink>
    </w:p>
    <w:p w14:paraId="3FC4F4ED" w14:textId="5BF380B3" w:rsidR="00646544" w:rsidRPr="00646544" w:rsidRDefault="00646544" w:rsidP="00646544">
      <w:pPr>
        <w:rPr>
          <w:color w:val="0070C0"/>
          <w:sz w:val="22"/>
          <w:szCs w:val="22"/>
        </w:rPr>
      </w:pPr>
      <w:hyperlink r:id="rId7" w:history="1">
        <w:r w:rsidRPr="00646544">
          <w:rPr>
            <w:rStyle w:val="Hyperlink"/>
            <w:rFonts w:eastAsiaTheme="majorEastAsia"/>
            <w:sz w:val="22"/>
            <w:szCs w:val="22"/>
          </w:rPr>
          <w:t>www.theclassicarts.com.au</w:t>
        </w:r>
      </w:hyperlink>
      <w:r w:rsidR="00023DFF">
        <w:rPr>
          <w:sz w:val="22"/>
          <w:szCs w:val="22"/>
        </w:rPr>
        <w:t xml:space="preserve">                                                                                                     </w:t>
      </w:r>
      <w:r w:rsidR="00023DFF" w:rsidRPr="00023DFF">
        <w:rPr>
          <w:sz w:val="18"/>
          <w:szCs w:val="18"/>
        </w:rPr>
        <w:t>®</w:t>
      </w:r>
    </w:p>
    <w:p w14:paraId="1D7312BD" w14:textId="15B3E883" w:rsidR="00646544" w:rsidRDefault="00646544" w:rsidP="00646544">
      <w:pPr>
        <w:rPr>
          <w:rFonts w:ascii="Calibri" w:hAnsi="Calibri" w:cs="Calibri"/>
        </w:rPr>
      </w:pPr>
      <w:r w:rsidRPr="00E71C39">
        <w:rPr>
          <w:color w:val="0070C0"/>
          <w:sz w:val="28"/>
          <w:szCs w:val="28"/>
        </w:rPr>
        <w:t xml:space="preserve">                                                                  </w:t>
      </w:r>
      <w:r>
        <w:rPr>
          <w:color w:val="0070C0"/>
          <w:sz w:val="28"/>
          <w:szCs w:val="28"/>
        </w:rPr>
        <w:t xml:space="preserve">                                                                                 </w:t>
      </w:r>
      <w:r w:rsidRPr="00E71C39">
        <w:rPr>
          <w:color w:val="0070C0"/>
          <w:sz w:val="28"/>
          <w:szCs w:val="28"/>
        </w:rPr>
        <w:t xml:space="preserve">  </w:t>
      </w:r>
      <w:r>
        <w:rPr>
          <w:color w:val="0070C0"/>
          <w:sz w:val="28"/>
          <w:szCs w:val="28"/>
        </w:rPr>
        <w:t xml:space="preserve"> </w:t>
      </w:r>
    </w:p>
    <w:p w14:paraId="16266AD9" w14:textId="77777777" w:rsidR="00646544" w:rsidRDefault="00646544" w:rsidP="00646544">
      <w:pPr>
        <w:rPr>
          <w:rFonts w:ascii="Calibri" w:hAnsi="Calibri" w:cs="Calibri"/>
        </w:rPr>
      </w:pPr>
    </w:p>
    <w:p w14:paraId="0A38183C" w14:textId="77777777" w:rsidR="00646544" w:rsidRDefault="00646544" w:rsidP="00646544">
      <w:pPr>
        <w:rPr>
          <w:rFonts w:ascii="Calibri" w:hAnsi="Calibri" w:cs="Calibri"/>
        </w:rPr>
      </w:pPr>
    </w:p>
    <w:p w14:paraId="00FE363D" w14:textId="73958BB7" w:rsidR="00D81432" w:rsidRDefault="00FB645F" w:rsidP="00646544">
      <w:pPr>
        <w:rPr>
          <w:sz w:val="32"/>
          <w:szCs w:val="32"/>
        </w:rPr>
      </w:pPr>
      <w:r>
        <w:rPr>
          <w:sz w:val="32"/>
          <w:szCs w:val="32"/>
        </w:rPr>
        <w:t>Welcome to Term 1, 2026</w:t>
      </w:r>
    </w:p>
    <w:p w14:paraId="5706DD63" w14:textId="77777777" w:rsidR="00FB645F" w:rsidRDefault="00FB645F" w:rsidP="00646544">
      <w:pPr>
        <w:rPr>
          <w:sz w:val="32"/>
          <w:szCs w:val="32"/>
        </w:rPr>
      </w:pPr>
    </w:p>
    <w:p w14:paraId="7EE45FE3" w14:textId="77777777" w:rsidR="00195FB9" w:rsidRDefault="00646544" w:rsidP="00646544">
      <w:pPr>
        <w:rPr>
          <w:sz w:val="32"/>
          <w:szCs w:val="32"/>
        </w:rPr>
      </w:pPr>
      <w:r w:rsidRPr="0047199F">
        <w:rPr>
          <w:sz w:val="32"/>
          <w:szCs w:val="32"/>
        </w:rPr>
        <w:t xml:space="preserve">The Classic Arts School of Music </w:t>
      </w:r>
      <w:r w:rsidR="008F2C25">
        <w:rPr>
          <w:sz w:val="32"/>
          <w:szCs w:val="32"/>
        </w:rPr>
        <w:t>warmly welcomes</w:t>
      </w:r>
      <w:r w:rsidR="002C3932">
        <w:rPr>
          <w:sz w:val="32"/>
          <w:szCs w:val="32"/>
        </w:rPr>
        <w:t xml:space="preserve"> new and continuing students and families to the beginning of the 2026 musical year.</w:t>
      </w:r>
    </w:p>
    <w:p w14:paraId="10EB8C64" w14:textId="7652CAE0" w:rsidR="00195FB9" w:rsidRDefault="00195FB9" w:rsidP="00646544">
      <w:pPr>
        <w:rPr>
          <w:sz w:val="32"/>
          <w:szCs w:val="32"/>
        </w:rPr>
      </w:pPr>
    </w:p>
    <w:p w14:paraId="080060E3" w14:textId="10911D26" w:rsidR="000221A9" w:rsidRPr="0047199F" w:rsidRDefault="006D289E" w:rsidP="00646544">
      <w:pPr>
        <w:rPr>
          <w:sz w:val="32"/>
          <w:szCs w:val="32"/>
        </w:rPr>
      </w:pPr>
      <w:r>
        <w:rPr>
          <w:sz w:val="32"/>
          <w:szCs w:val="32"/>
        </w:rPr>
        <w:t>Our teaching is grounded in a sequential, musicianship-based approach,</w:t>
      </w:r>
      <w:r w:rsidR="00590CE6">
        <w:rPr>
          <w:sz w:val="32"/>
          <w:szCs w:val="32"/>
        </w:rPr>
        <w:t xml:space="preserve"> supporting students to develop strong listening skills, musical literacy, confident technique, </w:t>
      </w:r>
      <w:r w:rsidR="00BC2127">
        <w:rPr>
          <w:sz w:val="32"/>
          <w:szCs w:val="32"/>
        </w:rPr>
        <w:t xml:space="preserve">inner hearing, </w:t>
      </w:r>
      <w:r w:rsidR="00590CE6">
        <w:rPr>
          <w:sz w:val="32"/>
          <w:szCs w:val="32"/>
        </w:rPr>
        <w:t xml:space="preserve">and a lifelong understanding of music. Lessons are structured, supportive, and </w:t>
      </w:r>
      <w:r w:rsidR="00D14187">
        <w:rPr>
          <w:sz w:val="32"/>
          <w:szCs w:val="32"/>
        </w:rPr>
        <w:t>tailored</w:t>
      </w:r>
      <w:r w:rsidR="00590CE6">
        <w:rPr>
          <w:sz w:val="32"/>
          <w:szCs w:val="32"/>
        </w:rPr>
        <w:t xml:space="preserve"> to each student’s</w:t>
      </w:r>
      <w:r w:rsidR="00D14187">
        <w:rPr>
          <w:sz w:val="32"/>
          <w:szCs w:val="32"/>
        </w:rPr>
        <w:t xml:space="preserve"> stage of development.</w:t>
      </w:r>
      <w:r w:rsidR="008F2C25">
        <w:rPr>
          <w:sz w:val="32"/>
          <w:szCs w:val="32"/>
        </w:rPr>
        <w:t xml:space="preserve"> </w:t>
      </w:r>
    </w:p>
    <w:p w14:paraId="497A0F40" w14:textId="77777777" w:rsidR="00E61F60" w:rsidRDefault="00E61F60" w:rsidP="00646544">
      <w:pPr>
        <w:rPr>
          <w:sz w:val="32"/>
          <w:szCs w:val="32"/>
        </w:rPr>
      </w:pPr>
    </w:p>
    <w:p w14:paraId="3A598D24" w14:textId="69617D0D" w:rsidR="00646544" w:rsidRDefault="00A81470" w:rsidP="00646544">
      <w:pPr>
        <w:rPr>
          <w:sz w:val="32"/>
          <w:szCs w:val="32"/>
        </w:rPr>
      </w:pPr>
      <w:r>
        <w:rPr>
          <w:sz w:val="32"/>
          <w:szCs w:val="32"/>
        </w:rPr>
        <w:t xml:space="preserve">We </w:t>
      </w:r>
      <w:r w:rsidR="00646544" w:rsidRPr="0047199F">
        <w:rPr>
          <w:sz w:val="32"/>
          <w:szCs w:val="32"/>
        </w:rPr>
        <w:t xml:space="preserve">congratulate all students who completed </w:t>
      </w:r>
      <w:r w:rsidR="00DA4AAB">
        <w:rPr>
          <w:sz w:val="32"/>
          <w:szCs w:val="32"/>
        </w:rPr>
        <w:t xml:space="preserve">the </w:t>
      </w:r>
      <w:r w:rsidR="00646544" w:rsidRPr="0047199F">
        <w:rPr>
          <w:sz w:val="32"/>
          <w:szCs w:val="32"/>
        </w:rPr>
        <w:t>Australian Music Education Board (AMEB)</w:t>
      </w:r>
      <w:r w:rsidR="00DA4AAB">
        <w:rPr>
          <w:sz w:val="32"/>
          <w:szCs w:val="32"/>
        </w:rPr>
        <w:t xml:space="preserve"> examinations</w:t>
      </w:r>
      <w:r w:rsidR="00E144FD">
        <w:rPr>
          <w:sz w:val="32"/>
          <w:szCs w:val="32"/>
        </w:rPr>
        <w:t xml:space="preserve"> in 2025, as well as</w:t>
      </w:r>
      <w:r w:rsidR="00646544" w:rsidRPr="0047199F">
        <w:rPr>
          <w:sz w:val="32"/>
          <w:szCs w:val="32"/>
        </w:rPr>
        <w:t xml:space="preserve"> those who</w:t>
      </w:r>
      <w:r w:rsidR="00A77F3E">
        <w:rPr>
          <w:sz w:val="32"/>
          <w:szCs w:val="32"/>
        </w:rPr>
        <w:t xml:space="preserve"> gained</w:t>
      </w:r>
      <w:r w:rsidR="00646544" w:rsidRPr="0047199F">
        <w:rPr>
          <w:sz w:val="32"/>
          <w:szCs w:val="32"/>
        </w:rPr>
        <w:t xml:space="preserve"> university entr</w:t>
      </w:r>
      <w:r w:rsidR="00A77F3E">
        <w:rPr>
          <w:sz w:val="32"/>
          <w:szCs w:val="32"/>
        </w:rPr>
        <w:t>y</w:t>
      </w:r>
      <w:r w:rsidR="00313B10">
        <w:rPr>
          <w:sz w:val="32"/>
          <w:szCs w:val="32"/>
        </w:rPr>
        <w:t xml:space="preserve"> or were awarded scholarships.</w:t>
      </w:r>
      <w:r w:rsidR="00646544" w:rsidRPr="0047199F">
        <w:rPr>
          <w:sz w:val="32"/>
          <w:szCs w:val="32"/>
        </w:rPr>
        <w:t xml:space="preserve"> </w:t>
      </w:r>
      <w:r w:rsidR="00C53FCC">
        <w:rPr>
          <w:sz w:val="32"/>
          <w:szCs w:val="32"/>
        </w:rPr>
        <w:t>These achievements reflect consistent learning, thoughtful practice, and strong musical foundations.</w:t>
      </w:r>
      <w:r w:rsidR="00313B10">
        <w:rPr>
          <w:sz w:val="32"/>
          <w:szCs w:val="32"/>
        </w:rPr>
        <w:t xml:space="preserve"> </w:t>
      </w:r>
      <w:r w:rsidR="00646544" w:rsidRPr="0047199F">
        <w:rPr>
          <w:sz w:val="32"/>
          <w:szCs w:val="32"/>
        </w:rPr>
        <w:t xml:space="preserve"> </w:t>
      </w:r>
    </w:p>
    <w:p w14:paraId="54815308" w14:textId="77777777" w:rsidR="00141407" w:rsidRDefault="00141407" w:rsidP="00646544">
      <w:pPr>
        <w:rPr>
          <w:sz w:val="32"/>
          <w:szCs w:val="32"/>
        </w:rPr>
      </w:pPr>
    </w:p>
    <w:p w14:paraId="45CE98B5" w14:textId="7A1A9C2E" w:rsidR="00141407" w:rsidRPr="0047199F" w:rsidRDefault="005D3DA7" w:rsidP="00646544">
      <w:pPr>
        <w:rPr>
          <w:sz w:val="32"/>
          <w:szCs w:val="32"/>
        </w:rPr>
      </w:pPr>
      <w:r>
        <w:rPr>
          <w:sz w:val="32"/>
          <w:szCs w:val="32"/>
        </w:rPr>
        <w:t>We also thank all students who performed at our Presentation Concert</w:t>
      </w:r>
      <w:r w:rsidR="00901486">
        <w:rPr>
          <w:sz w:val="32"/>
          <w:szCs w:val="32"/>
        </w:rPr>
        <w:t xml:space="preserve"> last year</w:t>
      </w:r>
      <w:r w:rsidR="00B00C05">
        <w:rPr>
          <w:sz w:val="32"/>
          <w:szCs w:val="32"/>
        </w:rPr>
        <w:t xml:space="preserve"> at St. George’s</w:t>
      </w:r>
      <w:r w:rsidR="00CE3869">
        <w:rPr>
          <w:sz w:val="32"/>
          <w:szCs w:val="32"/>
        </w:rPr>
        <w:t xml:space="preserve"> Anglican Church. The concert celebrated musical growth, expressive performance, and shared music-making within our school</w:t>
      </w:r>
      <w:r w:rsidR="003E4151">
        <w:rPr>
          <w:sz w:val="32"/>
          <w:szCs w:val="32"/>
        </w:rPr>
        <w:t xml:space="preserve"> </w:t>
      </w:r>
      <w:r w:rsidR="00B00C05">
        <w:rPr>
          <w:sz w:val="32"/>
          <w:szCs w:val="32"/>
        </w:rPr>
        <w:t>community.</w:t>
      </w:r>
    </w:p>
    <w:p w14:paraId="188867A9" w14:textId="77777777" w:rsidR="00646544" w:rsidRPr="0047199F" w:rsidRDefault="00646544" w:rsidP="00646544">
      <w:pPr>
        <w:rPr>
          <w:sz w:val="32"/>
          <w:szCs w:val="32"/>
        </w:rPr>
      </w:pPr>
    </w:p>
    <w:p w14:paraId="43FD801B" w14:textId="1E56F095" w:rsidR="00646544" w:rsidRPr="00F516F3" w:rsidRDefault="00C1335C" w:rsidP="00646544">
      <w:pPr>
        <w:rPr>
          <w:rStyle w:val="wixui-rich-texttext"/>
          <w:sz w:val="32"/>
          <w:szCs w:val="32"/>
        </w:rPr>
      </w:pPr>
      <w:r>
        <w:rPr>
          <w:sz w:val="32"/>
          <w:szCs w:val="32"/>
        </w:rPr>
        <w:t>Lessons</w:t>
      </w:r>
      <w:r w:rsidR="00646544" w:rsidRPr="00DD5F20">
        <w:rPr>
          <w:sz w:val="32"/>
          <w:szCs w:val="32"/>
        </w:rPr>
        <w:t xml:space="preserve"> commence</w:t>
      </w:r>
      <w:r>
        <w:rPr>
          <w:sz w:val="32"/>
          <w:szCs w:val="32"/>
        </w:rPr>
        <w:t xml:space="preserve"> on</w:t>
      </w:r>
      <w:r w:rsidR="00646544" w:rsidRPr="00DD5F20">
        <w:rPr>
          <w:sz w:val="32"/>
          <w:szCs w:val="32"/>
        </w:rPr>
        <w:t xml:space="preserve"> Tuesday, 2</w:t>
      </w:r>
      <w:r w:rsidR="00C04375" w:rsidRPr="00DD5F20">
        <w:rPr>
          <w:sz w:val="32"/>
          <w:szCs w:val="32"/>
        </w:rPr>
        <w:t>7</w:t>
      </w:r>
      <w:r w:rsidR="00646544" w:rsidRPr="00DD5F20">
        <w:rPr>
          <w:sz w:val="32"/>
          <w:szCs w:val="32"/>
          <w:vertAlign w:val="superscript"/>
        </w:rPr>
        <w:t>th</w:t>
      </w:r>
      <w:r w:rsidR="00646544" w:rsidRPr="00DD5F20">
        <w:rPr>
          <w:sz w:val="32"/>
          <w:szCs w:val="32"/>
        </w:rPr>
        <w:t xml:space="preserve"> January 2026. </w:t>
      </w:r>
      <w:r w:rsidR="00F516F3">
        <w:rPr>
          <w:sz w:val="32"/>
          <w:szCs w:val="32"/>
        </w:rPr>
        <w:t xml:space="preserve">All </w:t>
      </w:r>
      <w:r w:rsidR="00646544" w:rsidRPr="00DD5F20">
        <w:rPr>
          <w:sz w:val="32"/>
          <w:szCs w:val="32"/>
        </w:rPr>
        <w:t>invoices</w:t>
      </w:r>
      <w:r w:rsidR="00A34E2C">
        <w:rPr>
          <w:sz w:val="32"/>
          <w:szCs w:val="32"/>
        </w:rPr>
        <w:t xml:space="preserve"> must be paid</w:t>
      </w:r>
      <w:r w:rsidR="00646544" w:rsidRPr="00DD5F20">
        <w:rPr>
          <w:sz w:val="32"/>
          <w:szCs w:val="32"/>
        </w:rPr>
        <w:t xml:space="preserve"> </w:t>
      </w:r>
      <w:r w:rsidR="00300F75">
        <w:rPr>
          <w:sz w:val="32"/>
          <w:szCs w:val="32"/>
        </w:rPr>
        <w:t xml:space="preserve">before </w:t>
      </w:r>
      <w:r w:rsidR="00646544" w:rsidRPr="00DD5F20">
        <w:rPr>
          <w:sz w:val="32"/>
          <w:szCs w:val="32"/>
        </w:rPr>
        <w:t xml:space="preserve">the commencement of </w:t>
      </w:r>
      <w:r w:rsidR="0043757B">
        <w:rPr>
          <w:sz w:val="32"/>
          <w:szCs w:val="32"/>
        </w:rPr>
        <w:t>lessons</w:t>
      </w:r>
      <w:r w:rsidR="00E939BF" w:rsidRPr="00DD5F20">
        <w:rPr>
          <w:sz w:val="32"/>
          <w:szCs w:val="32"/>
        </w:rPr>
        <w:t xml:space="preserve"> </w:t>
      </w:r>
      <w:r w:rsidR="00CC5C75">
        <w:rPr>
          <w:sz w:val="32"/>
          <w:szCs w:val="32"/>
        </w:rPr>
        <w:t>in accordance with the Terms</w:t>
      </w:r>
      <w:r w:rsidR="00E939BF" w:rsidRPr="00DD5F20">
        <w:rPr>
          <w:sz w:val="32"/>
          <w:szCs w:val="32"/>
        </w:rPr>
        <w:t xml:space="preserve"> and Conditions</w:t>
      </w:r>
      <w:r w:rsidR="00E3552A">
        <w:rPr>
          <w:sz w:val="32"/>
          <w:szCs w:val="32"/>
        </w:rPr>
        <w:t>.</w:t>
      </w:r>
      <w:r w:rsidR="00E939BF" w:rsidRPr="00DD5F20">
        <w:rPr>
          <w:sz w:val="32"/>
          <w:szCs w:val="32"/>
        </w:rPr>
        <w:t xml:space="preserve"> </w:t>
      </w:r>
      <w:r w:rsidR="00A92FA9">
        <w:rPr>
          <w:rStyle w:val="wixui-rich-texttext"/>
          <w:rFonts w:eastAsiaTheme="majorEastAsia"/>
          <w:color w:val="424242"/>
          <w:sz w:val="32"/>
          <w:szCs w:val="32"/>
          <w:bdr w:val="none" w:sz="0" w:space="0" w:color="auto" w:frame="1"/>
        </w:rPr>
        <w:t xml:space="preserve"> </w:t>
      </w:r>
    </w:p>
    <w:p w14:paraId="4D272803" w14:textId="77777777" w:rsidR="00BB2B1C" w:rsidRPr="0047199F" w:rsidRDefault="00BB2B1C" w:rsidP="00646544">
      <w:pPr>
        <w:rPr>
          <w:rStyle w:val="wixui-rich-texttext"/>
          <w:rFonts w:eastAsiaTheme="majorEastAsia"/>
          <w:b/>
          <w:bCs/>
          <w:color w:val="424242"/>
          <w:sz w:val="32"/>
          <w:szCs w:val="32"/>
          <w:bdr w:val="none" w:sz="0" w:space="0" w:color="auto" w:frame="1"/>
        </w:rPr>
      </w:pPr>
    </w:p>
    <w:p w14:paraId="36BCEA1F" w14:textId="77777777" w:rsidR="00EF3F30" w:rsidRDefault="001D03F3" w:rsidP="00646544">
      <w:pPr>
        <w:rPr>
          <w:rStyle w:val="wixui-rich-texttext"/>
          <w:rFonts w:eastAsiaTheme="majorEastAsia"/>
          <w:b/>
          <w:bCs/>
          <w:color w:val="424242"/>
          <w:sz w:val="32"/>
          <w:szCs w:val="32"/>
          <w:bdr w:val="none" w:sz="0" w:space="0" w:color="auto" w:frame="1"/>
        </w:rPr>
      </w:pPr>
      <w:r w:rsidRPr="0047199F">
        <w:rPr>
          <w:rStyle w:val="wixui-rich-texttext"/>
          <w:rFonts w:eastAsiaTheme="majorEastAsia"/>
          <w:b/>
          <w:bCs/>
          <w:color w:val="424242"/>
          <w:sz w:val="32"/>
          <w:szCs w:val="32"/>
          <w:bdr w:val="none" w:sz="0" w:space="0" w:color="auto" w:frame="1"/>
        </w:rPr>
        <w:t>What</w:t>
      </w:r>
      <w:r w:rsidR="00BB2B1C" w:rsidRPr="0047199F">
        <w:rPr>
          <w:rStyle w:val="wixui-rich-texttext"/>
          <w:rFonts w:eastAsiaTheme="majorEastAsia"/>
          <w:b/>
          <w:bCs/>
          <w:color w:val="424242"/>
          <w:sz w:val="32"/>
          <w:szCs w:val="32"/>
          <w:bdr w:val="none" w:sz="0" w:space="0" w:color="auto" w:frame="1"/>
        </w:rPr>
        <w:t xml:space="preserve"> </w:t>
      </w:r>
      <w:r w:rsidR="00EF3F30">
        <w:rPr>
          <w:rStyle w:val="wixui-rich-texttext"/>
          <w:rFonts w:eastAsiaTheme="majorEastAsia"/>
          <w:b/>
          <w:bCs/>
          <w:color w:val="424242"/>
          <w:sz w:val="32"/>
          <w:szCs w:val="32"/>
          <w:bdr w:val="none" w:sz="0" w:space="0" w:color="auto" w:frame="1"/>
        </w:rPr>
        <w:t xml:space="preserve">students need to bring </w:t>
      </w:r>
    </w:p>
    <w:p w14:paraId="3EA0F044" w14:textId="6E76622E" w:rsidR="00646544" w:rsidRDefault="0003351B" w:rsidP="0003351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Lesson/Practical</w:t>
      </w:r>
      <w:r w:rsidR="00E74BB1">
        <w:rPr>
          <w:sz w:val="32"/>
          <w:szCs w:val="32"/>
        </w:rPr>
        <w:t xml:space="preserve"> books</w:t>
      </w:r>
    </w:p>
    <w:p w14:paraId="232A38CB" w14:textId="70930801" w:rsidR="00E74BB1" w:rsidRDefault="00E74BB1" w:rsidP="0003351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Theory books</w:t>
      </w:r>
    </w:p>
    <w:p w14:paraId="517B2148" w14:textId="77777777" w:rsidR="00DC71AD" w:rsidRDefault="00E74BB1" w:rsidP="00DC71A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Exercise books for written work</w:t>
      </w:r>
      <w:r w:rsidR="00FD3EE8">
        <w:rPr>
          <w:sz w:val="32"/>
          <w:szCs w:val="32"/>
        </w:rPr>
        <w:t xml:space="preserve"> and homework.</w:t>
      </w:r>
    </w:p>
    <w:p w14:paraId="219D06D9" w14:textId="35784DBF" w:rsidR="00F936A8" w:rsidRDefault="00F936A8" w:rsidP="00AA7D01">
      <w:pPr>
        <w:pStyle w:val="ListParagraph"/>
        <w:ind w:left="360"/>
        <w:rPr>
          <w:sz w:val="32"/>
          <w:szCs w:val="32"/>
        </w:rPr>
      </w:pPr>
    </w:p>
    <w:p w14:paraId="7536061B" w14:textId="77777777" w:rsidR="00DC71AD" w:rsidRDefault="00DC71AD" w:rsidP="00DC71AD">
      <w:pPr>
        <w:pStyle w:val="ListParagraph"/>
        <w:ind w:left="360"/>
        <w:rPr>
          <w:sz w:val="32"/>
          <w:szCs w:val="32"/>
        </w:rPr>
      </w:pPr>
    </w:p>
    <w:p w14:paraId="5CD0CBF9" w14:textId="77777777" w:rsidR="00DC71AD" w:rsidRDefault="00DC71AD" w:rsidP="00DC71AD">
      <w:pPr>
        <w:pStyle w:val="ListParagraph"/>
        <w:ind w:left="360"/>
        <w:rPr>
          <w:sz w:val="32"/>
          <w:szCs w:val="32"/>
        </w:rPr>
      </w:pPr>
    </w:p>
    <w:p w14:paraId="6A337094" w14:textId="77777777" w:rsidR="00DC71AD" w:rsidRDefault="00DC71AD" w:rsidP="00DC71AD">
      <w:pPr>
        <w:pStyle w:val="ListParagraph"/>
        <w:ind w:left="360"/>
        <w:rPr>
          <w:sz w:val="32"/>
          <w:szCs w:val="32"/>
        </w:rPr>
      </w:pPr>
    </w:p>
    <w:p w14:paraId="74463E3F" w14:textId="77777777" w:rsidR="00DC71AD" w:rsidRDefault="00DC71AD" w:rsidP="00DC71AD">
      <w:pPr>
        <w:rPr>
          <w:b/>
          <w:bCs/>
          <w:sz w:val="32"/>
          <w:szCs w:val="32"/>
        </w:rPr>
      </w:pPr>
    </w:p>
    <w:p w14:paraId="2BFECC50" w14:textId="77777777" w:rsidR="00DC71AD" w:rsidRDefault="00DC71AD" w:rsidP="00DC71AD">
      <w:pPr>
        <w:rPr>
          <w:b/>
          <w:bCs/>
          <w:sz w:val="32"/>
          <w:szCs w:val="32"/>
        </w:rPr>
      </w:pPr>
    </w:p>
    <w:p w14:paraId="34F3DA9F" w14:textId="77777777" w:rsidR="00DC71AD" w:rsidRDefault="00DC71AD">
      <w:pPr>
        <w:rPr>
          <w:b/>
          <w:bCs/>
          <w:sz w:val="32"/>
          <w:szCs w:val="32"/>
        </w:rPr>
      </w:pPr>
    </w:p>
    <w:p w14:paraId="2E7594F8" w14:textId="552FBBAF" w:rsidR="00431EC4" w:rsidRDefault="009C73A7">
      <w:pPr>
        <w:rPr>
          <w:b/>
          <w:bCs/>
          <w:sz w:val="32"/>
          <w:szCs w:val="32"/>
        </w:rPr>
      </w:pPr>
      <w:r w:rsidRPr="0047199F">
        <w:rPr>
          <w:b/>
          <w:bCs/>
          <w:sz w:val="32"/>
          <w:szCs w:val="32"/>
        </w:rPr>
        <w:t>Series 19</w:t>
      </w:r>
      <w:r w:rsidR="004F30D8">
        <w:rPr>
          <w:b/>
          <w:bCs/>
          <w:sz w:val="32"/>
          <w:szCs w:val="32"/>
        </w:rPr>
        <w:t xml:space="preserve"> </w:t>
      </w:r>
      <w:r w:rsidR="006309D7">
        <w:rPr>
          <w:b/>
          <w:bCs/>
          <w:sz w:val="32"/>
          <w:szCs w:val="32"/>
        </w:rPr>
        <w:t>Exam Books (</w:t>
      </w:r>
      <w:r w:rsidR="004F30D8">
        <w:rPr>
          <w:b/>
          <w:bCs/>
          <w:sz w:val="32"/>
          <w:szCs w:val="32"/>
        </w:rPr>
        <w:t>New</w:t>
      </w:r>
      <w:r w:rsidR="006309D7">
        <w:rPr>
          <w:b/>
          <w:bCs/>
          <w:sz w:val="32"/>
          <w:szCs w:val="32"/>
        </w:rPr>
        <w:t>)</w:t>
      </w:r>
    </w:p>
    <w:p w14:paraId="29B4F0F0" w14:textId="77777777" w:rsidR="00A86F2F" w:rsidRDefault="00D31B56">
      <w:pPr>
        <w:rPr>
          <w:sz w:val="32"/>
          <w:szCs w:val="32"/>
        </w:rPr>
      </w:pPr>
      <w:r w:rsidRPr="0047199F">
        <w:rPr>
          <w:sz w:val="32"/>
          <w:szCs w:val="32"/>
        </w:rPr>
        <w:t xml:space="preserve">New </w:t>
      </w:r>
      <w:r w:rsidR="00276754">
        <w:rPr>
          <w:sz w:val="32"/>
          <w:szCs w:val="32"/>
        </w:rPr>
        <w:t xml:space="preserve">Examination </w:t>
      </w:r>
      <w:r w:rsidRPr="0047199F">
        <w:rPr>
          <w:sz w:val="32"/>
          <w:szCs w:val="32"/>
        </w:rPr>
        <w:t>books</w:t>
      </w:r>
      <w:r w:rsidR="00B802AC" w:rsidRPr="0047199F">
        <w:rPr>
          <w:sz w:val="32"/>
          <w:szCs w:val="32"/>
        </w:rPr>
        <w:t xml:space="preserve"> will be introduced </w:t>
      </w:r>
      <w:r w:rsidR="00567B94">
        <w:rPr>
          <w:sz w:val="32"/>
          <w:szCs w:val="32"/>
        </w:rPr>
        <w:t>to ensure alignment with current educational standards</w:t>
      </w:r>
      <w:r w:rsidR="009D4CCF">
        <w:rPr>
          <w:sz w:val="32"/>
          <w:szCs w:val="32"/>
        </w:rPr>
        <w:t xml:space="preserve">. </w:t>
      </w:r>
      <w:r w:rsidR="003F6720">
        <w:rPr>
          <w:sz w:val="32"/>
          <w:szCs w:val="32"/>
        </w:rPr>
        <w:t>Professional Development,</w:t>
      </w:r>
      <w:r w:rsidR="00DB36E5" w:rsidRPr="0047199F">
        <w:rPr>
          <w:sz w:val="32"/>
          <w:szCs w:val="32"/>
        </w:rPr>
        <w:t xml:space="preserve"> </w:t>
      </w:r>
      <w:r w:rsidR="0040126A">
        <w:rPr>
          <w:sz w:val="32"/>
          <w:szCs w:val="32"/>
        </w:rPr>
        <w:t>seminars</w:t>
      </w:r>
      <w:r w:rsidR="00DB36E5" w:rsidRPr="0047199F">
        <w:rPr>
          <w:sz w:val="32"/>
          <w:szCs w:val="32"/>
        </w:rPr>
        <w:t>,</w:t>
      </w:r>
      <w:r w:rsidR="0099725F" w:rsidRPr="0047199F">
        <w:rPr>
          <w:sz w:val="32"/>
          <w:szCs w:val="32"/>
        </w:rPr>
        <w:t xml:space="preserve"> </w:t>
      </w:r>
      <w:r w:rsidR="003F6720">
        <w:rPr>
          <w:sz w:val="32"/>
          <w:szCs w:val="32"/>
        </w:rPr>
        <w:t xml:space="preserve">and </w:t>
      </w:r>
      <w:r w:rsidR="00EB50C2">
        <w:rPr>
          <w:sz w:val="32"/>
          <w:szCs w:val="32"/>
        </w:rPr>
        <w:t>workshops</w:t>
      </w:r>
      <w:r w:rsidR="0099725F" w:rsidRPr="0047199F">
        <w:rPr>
          <w:sz w:val="32"/>
          <w:szCs w:val="32"/>
        </w:rPr>
        <w:t xml:space="preserve"> will be available for all from </w:t>
      </w:r>
      <w:r w:rsidR="006F01B5" w:rsidRPr="0047199F">
        <w:rPr>
          <w:sz w:val="32"/>
          <w:szCs w:val="32"/>
        </w:rPr>
        <w:t>professional</w:t>
      </w:r>
      <w:r w:rsidR="0099725F" w:rsidRPr="0047199F">
        <w:rPr>
          <w:sz w:val="32"/>
          <w:szCs w:val="32"/>
        </w:rPr>
        <w:t xml:space="preserve"> </w:t>
      </w:r>
      <w:r w:rsidR="00BF100E" w:rsidRPr="0047199F">
        <w:rPr>
          <w:sz w:val="32"/>
          <w:szCs w:val="32"/>
        </w:rPr>
        <w:t>associations</w:t>
      </w:r>
      <w:r w:rsidR="00125D03">
        <w:rPr>
          <w:sz w:val="32"/>
          <w:szCs w:val="32"/>
        </w:rPr>
        <w:t xml:space="preserve">. </w:t>
      </w:r>
      <w:r w:rsidR="00792C4E">
        <w:rPr>
          <w:sz w:val="32"/>
          <w:szCs w:val="32"/>
        </w:rPr>
        <w:t>Books a</w:t>
      </w:r>
      <w:r w:rsidR="009D6F66">
        <w:rPr>
          <w:sz w:val="32"/>
          <w:szCs w:val="32"/>
        </w:rPr>
        <w:t xml:space="preserve">re </w:t>
      </w:r>
      <w:r w:rsidR="00792C4E">
        <w:rPr>
          <w:sz w:val="32"/>
          <w:szCs w:val="32"/>
        </w:rPr>
        <w:t xml:space="preserve">purchased by </w:t>
      </w:r>
      <w:r w:rsidR="008E432A">
        <w:rPr>
          <w:sz w:val="32"/>
          <w:szCs w:val="32"/>
        </w:rPr>
        <w:t>families</w:t>
      </w:r>
      <w:r w:rsidR="00ED237C">
        <w:rPr>
          <w:sz w:val="32"/>
          <w:szCs w:val="32"/>
        </w:rPr>
        <w:t xml:space="preserve"> and students</w:t>
      </w:r>
      <w:r w:rsidR="000606FE">
        <w:rPr>
          <w:sz w:val="32"/>
          <w:szCs w:val="32"/>
        </w:rPr>
        <w:t xml:space="preserve"> and not by the school. </w:t>
      </w:r>
      <w:r w:rsidR="00515349">
        <w:rPr>
          <w:sz w:val="32"/>
          <w:szCs w:val="32"/>
        </w:rPr>
        <w:t xml:space="preserve"> </w:t>
      </w:r>
    </w:p>
    <w:p w14:paraId="4560F6A4" w14:textId="511A3F13" w:rsidR="004F30D8" w:rsidRPr="00EE5878" w:rsidRDefault="004F30D8">
      <w:pPr>
        <w:rPr>
          <w:sz w:val="32"/>
          <w:szCs w:val="32"/>
        </w:rPr>
      </w:pPr>
      <w:hyperlink r:id="rId8" w:history="1"/>
      <w:r w:rsidR="00EE5878">
        <w:rPr>
          <w:sz w:val="32"/>
          <w:szCs w:val="32"/>
        </w:rPr>
        <w:t xml:space="preserve"> </w:t>
      </w:r>
    </w:p>
    <w:p w14:paraId="1AA1E7CF" w14:textId="77777777" w:rsidR="00DB3380" w:rsidRDefault="009C73A7">
      <w:pPr>
        <w:rPr>
          <w:b/>
          <w:bCs/>
          <w:sz w:val="32"/>
          <w:szCs w:val="32"/>
        </w:rPr>
      </w:pPr>
      <w:r w:rsidRPr="0047199F">
        <w:rPr>
          <w:b/>
          <w:bCs/>
          <w:sz w:val="32"/>
          <w:szCs w:val="32"/>
        </w:rPr>
        <w:t>Exam enrollment</w:t>
      </w:r>
    </w:p>
    <w:p w14:paraId="78D6DEE3" w14:textId="295DA74A" w:rsidR="000A2609" w:rsidRDefault="00BF100E" w:rsidP="000A260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A2609">
        <w:rPr>
          <w:sz w:val="32"/>
          <w:szCs w:val="32"/>
        </w:rPr>
        <w:t>Semester 1 piano exam</w:t>
      </w:r>
      <w:r w:rsidR="00AC4A0D" w:rsidRPr="000A2609">
        <w:rPr>
          <w:sz w:val="32"/>
          <w:szCs w:val="32"/>
        </w:rPr>
        <w:t xml:space="preserve"> </w:t>
      </w:r>
      <w:r w:rsidR="000A2609" w:rsidRPr="000A2609">
        <w:rPr>
          <w:sz w:val="32"/>
          <w:szCs w:val="32"/>
        </w:rPr>
        <w:t>enrolments close</w:t>
      </w:r>
      <w:r w:rsidR="002708D1">
        <w:rPr>
          <w:sz w:val="32"/>
          <w:szCs w:val="32"/>
        </w:rPr>
        <w:t xml:space="preserve">:   </w:t>
      </w:r>
      <w:r w:rsidR="00AC4A0D" w:rsidRPr="000A2609">
        <w:rPr>
          <w:sz w:val="32"/>
          <w:szCs w:val="32"/>
        </w:rPr>
        <w:t>26</w:t>
      </w:r>
      <w:r w:rsidR="00AC4A0D" w:rsidRPr="000A2609">
        <w:rPr>
          <w:sz w:val="32"/>
          <w:szCs w:val="32"/>
          <w:vertAlign w:val="superscript"/>
        </w:rPr>
        <w:t>th</w:t>
      </w:r>
      <w:r w:rsidR="000A2609" w:rsidRPr="000A2609">
        <w:rPr>
          <w:sz w:val="32"/>
          <w:szCs w:val="32"/>
        </w:rPr>
        <w:t xml:space="preserve"> </w:t>
      </w:r>
      <w:r w:rsidR="00227057" w:rsidRPr="000A2609">
        <w:rPr>
          <w:sz w:val="32"/>
          <w:szCs w:val="32"/>
        </w:rPr>
        <w:t>March</w:t>
      </w:r>
      <w:r w:rsidR="00227057">
        <w:rPr>
          <w:sz w:val="32"/>
          <w:szCs w:val="32"/>
        </w:rPr>
        <w:t>.</w:t>
      </w:r>
    </w:p>
    <w:p w14:paraId="4A577370" w14:textId="36745E97" w:rsidR="000A2609" w:rsidRPr="000A2609" w:rsidRDefault="00227057" w:rsidP="000A260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Examination Period</w:t>
      </w:r>
      <w:r w:rsidR="002708D1">
        <w:rPr>
          <w:sz w:val="32"/>
          <w:szCs w:val="32"/>
        </w:rPr>
        <w:t xml:space="preserve">: </w:t>
      </w:r>
      <w:r w:rsidR="009C081B">
        <w:rPr>
          <w:sz w:val="32"/>
          <w:szCs w:val="32"/>
        </w:rPr>
        <w:t xml:space="preserve"> </w:t>
      </w:r>
      <w:r w:rsidR="002708D1">
        <w:rPr>
          <w:sz w:val="32"/>
          <w:szCs w:val="32"/>
        </w:rPr>
        <w:t xml:space="preserve"> </w:t>
      </w:r>
      <w:r w:rsidR="009C081B">
        <w:rPr>
          <w:sz w:val="32"/>
          <w:szCs w:val="32"/>
        </w:rPr>
        <w:t>18</w:t>
      </w:r>
      <w:r w:rsidR="009C081B" w:rsidRPr="009C081B">
        <w:rPr>
          <w:sz w:val="32"/>
          <w:szCs w:val="32"/>
          <w:vertAlign w:val="superscript"/>
        </w:rPr>
        <w:t>th</w:t>
      </w:r>
      <w:r w:rsidR="009C081B">
        <w:rPr>
          <w:sz w:val="32"/>
          <w:szCs w:val="32"/>
        </w:rPr>
        <w:t xml:space="preserve"> May – 5</w:t>
      </w:r>
      <w:r w:rsidR="009C081B" w:rsidRPr="009C081B">
        <w:rPr>
          <w:sz w:val="32"/>
          <w:szCs w:val="32"/>
          <w:vertAlign w:val="superscript"/>
        </w:rPr>
        <w:t>th</w:t>
      </w:r>
      <w:r w:rsidR="009C081B">
        <w:rPr>
          <w:sz w:val="32"/>
          <w:szCs w:val="32"/>
        </w:rPr>
        <w:t xml:space="preserve"> Jun</w:t>
      </w:r>
      <w:r w:rsidR="002708D1">
        <w:rPr>
          <w:sz w:val="32"/>
          <w:szCs w:val="32"/>
        </w:rPr>
        <w:t>e.</w:t>
      </w:r>
    </w:p>
    <w:p w14:paraId="74FC21B5" w14:textId="77777777" w:rsidR="0073615F" w:rsidRDefault="0073615F">
      <w:pPr>
        <w:rPr>
          <w:b/>
          <w:bCs/>
          <w:sz w:val="32"/>
          <w:szCs w:val="32"/>
        </w:rPr>
      </w:pPr>
    </w:p>
    <w:p w14:paraId="4DBDB8D6" w14:textId="77777777" w:rsidR="00DB3380" w:rsidRDefault="008C42BA">
      <w:pPr>
        <w:rPr>
          <w:sz w:val="32"/>
          <w:szCs w:val="32"/>
        </w:rPr>
      </w:pPr>
      <w:r w:rsidRPr="0047199F">
        <w:rPr>
          <w:b/>
          <w:bCs/>
          <w:sz w:val="32"/>
          <w:szCs w:val="32"/>
        </w:rPr>
        <w:t xml:space="preserve">Theory </w:t>
      </w:r>
      <w:r w:rsidR="00C06144" w:rsidRPr="0047199F">
        <w:rPr>
          <w:b/>
          <w:bCs/>
          <w:sz w:val="32"/>
          <w:szCs w:val="32"/>
        </w:rPr>
        <w:t>Exams</w:t>
      </w:r>
      <w:r w:rsidR="00C06144" w:rsidRPr="0047199F">
        <w:rPr>
          <w:sz w:val="32"/>
          <w:szCs w:val="32"/>
        </w:rPr>
        <w:t xml:space="preserve"> </w:t>
      </w:r>
    </w:p>
    <w:p w14:paraId="6762ABBA" w14:textId="3CDE3BF6" w:rsidR="00084FC6" w:rsidRDefault="00A334AC">
      <w:pPr>
        <w:rPr>
          <w:sz w:val="32"/>
          <w:szCs w:val="32"/>
        </w:rPr>
      </w:pPr>
      <w:r w:rsidRPr="0047199F">
        <w:rPr>
          <w:sz w:val="32"/>
          <w:szCs w:val="32"/>
        </w:rPr>
        <w:t xml:space="preserve">AMEB </w:t>
      </w:r>
      <w:r w:rsidR="00B70FAE">
        <w:rPr>
          <w:sz w:val="32"/>
          <w:szCs w:val="32"/>
        </w:rPr>
        <w:t xml:space="preserve">Theory examinations support musicianship development and are strongly encouraged </w:t>
      </w:r>
      <w:r w:rsidR="00DF6CBD">
        <w:rPr>
          <w:sz w:val="32"/>
          <w:szCs w:val="32"/>
        </w:rPr>
        <w:t>by</w:t>
      </w:r>
      <w:r w:rsidR="00B70FAE">
        <w:rPr>
          <w:sz w:val="32"/>
          <w:szCs w:val="32"/>
        </w:rPr>
        <w:t xml:space="preserve"> al</w:t>
      </w:r>
      <w:r w:rsidR="00D22C39">
        <w:rPr>
          <w:sz w:val="32"/>
          <w:szCs w:val="32"/>
        </w:rPr>
        <w:t xml:space="preserve">l students, particularly in preparation for higher practical grades and VCE. </w:t>
      </w:r>
      <w:r w:rsidR="007B4C09" w:rsidRPr="00056A4D">
        <w:rPr>
          <w:b/>
          <w:bCs/>
          <w:sz w:val="32"/>
          <w:szCs w:val="32"/>
        </w:rPr>
        <w:t xml:space="preserve">Theory </w:t>
      </w:r>
      <w:r w:rsidR="00056A4D" w:rsidRPr="00056A4D">
        <w:rPr>
          <w:b/>
          <w:bCs/>
          <w:sz w:val="32"/>
          <w:szCs w:val="32"/>
        </w:rPr>
        <w:t>Exams paper-based will be hosted</w:t>
      </w:r>
      <w:r w:rsidR="007B4C09" w:rsidRPr="00056A4D">
        <w:rPr>
          <w:b/>
          <w:bCs/>
          <w:sz w:val="32"/>
          <w:szCs w:val="32"/>
        </w:rPr>
        <w:t xml:space="preserve"> by the AMEB</w:t>
      </w:r>
      <w:r w:rsidR="008B665D" w:rsidRPr="00056A4D">
        <w:rPr>
          <w:b/>
          <w:bCs/>
          <w:sz w:val="32"/>
          <w:szCs w:val="32"/>
        </w:rPr>
        <w:t xml:space="preserve"> at </w:t>
      </w:r>
      <w:r w:rsidR="00AE5706" w:rsidRPr="00056A4D">
        <w:rPr>
          <w:b/>
          <w:bCs/>
          <w:sz w:val="32"/>
          <w:szCs w:val="32"/>
        </w:rPr>
        <w:t>the Hawthorn Studio on Wednesday</w:t>
      </w:r>
      <w:r w:rsidR="00AE2648" w:rsidRPr="00056A4D">
        <w:rPr>
          <w:b/>
          <w:bCs/>
          <w:sz w:val="32"/>
          <w:szCs w:val="32"/>
        </w:rPr>
        <w:t>,</w:t>
      </w:r>
      <w:r w:rsidR="00AE5706" w:rsidRPr="00056A4D">
        <w:rPr>
          <w:b/>
          <w:bCs/>
          <w:sz w:val="32"/>
          <w:szCs w:val="32"/>
        </w:rPr>
        <w:t xml:space="preserve"> 9</w:t>
      </w:r>
      <w:r w:rsidR="00AE5706" w:rsidRPr="00056A4D">
        <w:rPr>
          <w:b/>
          <w:bCs/>
          <w:sz w:val="32"/>
          <w:szCs w:val="32"/>
          <w:vertAlign w:val="superscript"/>
        </w:rPr>
        <w:t>th</w:t>
      </w:r>
      <w:r w:rsidR="00AE5706" w:rsidRPr="00056A4D">
        <w:rPr>
          <w:b/>
          <w:bCs/>
          <w:sz w:val="32"/>
          <w:szCs w:val="32"/>
        </w:rPr>
        <w:t xml:space="preserve"> September</w:t>
      </w:r>
      <w:r w:rsidR="00037804" w:rsidRPr="00056A4D">
        <w:rPr>
          <w:b/>
          <w:bCs/>
          <w:sz w:val="32"/>
          <w:szCs w:val="32"/>
        </w:rPr>
        <w:t xml:space="preserve"> 2026</w:t>
      </w:r>
      <w:r w:rsidR="00AE3F57" w:rsidRPr="00056A4D">
        <w:rPr>
          <w:b/>
          <w:bCs/>
          <w:sz w:val="32"/>
          <w:szCs w:val="32"/>
        </w:rPr>
        <w:t>,</w:t>
      </w:r>
      <w:r w:rsidR="00965AA1" w:rsidRPr="00056A4D">
        <w:rPr>
          <w:b/>
          <w:bCs/>
          <w:sz w:val="32"/>
          <w:szCs w:val="32"/>
        </w:rPr>
        <w:t xml:space="preserve"> for only Grade 5/6 and Diploma</w:t>
      </w:r>
      <w:r w:rsidR="00AE3F57" w:rsidRPr="00056A4D">
        <w:rPr>
          <w:b/>
          <w:bCs/>
          <w:sz w:val="32"/>
          <w:szCs w:val="32"/>
        </w:rPr>
        <w:t>s</w:t>
      </w:r>
      <w:r w:rsidR="00AE5706" w:rsidRPr="00056A4D">
        <w:rPr>
          <w:b/>
          <w:bCs/>
          <w:sz w:val="32"/>
          <w:szCs w:val="32"/>
        </w:rPr>
        <w:t>.</w:t>
      </w:r>
      <w:r w:rsidR="00AE5706" w:rsidRPr="0047199F">
        <w:rPr>
          <w:sz w:val="32"/>
          <w:szCs w:val="32"/>
        </w:rPr>
        <w:t xml:space="preserve"> </w:t>
      </w:r>
      <w:r w:rsidR="0021173F" w:rsidRPr="0047199F">
        <w:rPr>
          <w:sz w:val="32"/>
          <w:szCs w:val="32"/>
        </w:rPr>
        <w:t>Closing date</w:t>
      </w:r>
      <w:r w:rsidR="00F91DB7">
        <w:rPr>
          <w:sz w:val="32"/>
          <w:szCs w:val="32"/>
        </w:rPr>
        <w:t xml:space="preserve">s: </w:t>
      </w:r>
      <w:r w:rsidR="00AE2648" w:rsidRPr="0047199F">
        <w:rPr>
          <w:sz w:val="32"/>
          <w:szCs w:val="32"/>
        </w:rPr>
        <w:t>25th May</w:t>
      </w:r>
      <w:r w:rsidR="0072403E">
        <w:rPr>
          <w:sz w:val="32"/>
          <w:szCs w:val="32"/>
        </w:rPr>
        <w:t xml:space="preserve"> through</w:t>
      </w:r>
      <w:r w:rsidR="00AE2648" w:rsidRPr="0047199F">
        <w:rPr>
          <w:sz w:val="32"/>
          <w:szCs w:val="32"/>
        </w:rPr>
        <w:t xml:space="preserve"> to</w:t>
      </w:r>
      <w:r w:rsidR="00574D0C" w:rsidRPr="0047199F">
        <w:rPr>
          <w:sz w:val="32"/>
          <w:szCs w:val="32"/>
        </w:rPr>
        <w:t xml:space="preserve"> 25</w:t>
      </w:r>
      <w:r w:rsidR="00574D0C" w:rsidRPr="0047199F">
        <w:rPr>
          <w:sz w:val="32"/>
          <w:szCs w:val="32"/>
          <w:vertAlign w:val="superscript"/>
        </w:rPr>
        <w:t>th</w:t>
      </w:r>
      <w:r w:rsidR="00574D0C" w:rsidRPr="0047199F">
        <w:rPr>
          <w:sz w:val="32"/>
          <w:szCs w:val="32"/>
        </w:rPr>
        <w:t xml:space="preserve"> June. </w:t>
      </w:r>
      <w:r w:rsidR="00F91DB7">
        <w:rPr>
          <w:sz w:val="32"/>
          <w:szCs w:val="32"/>
        </w:rPr>
        <w:t xml:space="preserve">All other grades will be </w:t>
      </w:r>
      <w:r w:rsidR="00EB06C3">
        <w:rPr>
          <w:sz w:val="32"/>
          <w:szCs w:val="32"/>
        </w:rPr>
        <w:t xml:space="preserve">available online. </w:t>
      </w:r>
      <w:r w:rsidR="00700984" w:rsidRPr="0047199F">
        <w:rPr>
          <w:sz w:val="32"/>
          <w:szCs w:val="32"/>
        </w:rPr>
        <w:t xml:space="preserve">Theory exams </w:t>
      </w:r>
      <w:r w:rsidR="00F231F4">
        <w:rPr>
          <w:sz w:val="32"/>
          <w:szCs w:val="32"/>
        </w:rPr>
        <w:t>s</w:t>
      </w:r>
      <w:r w:rsidR="00700984" w:rsidRPr="0047199F">
        <w:rPr>
          <w:sz w:val="32"/>
          <w:szCs w:val="32"/>
        </w:rPr>
        <w:t xml:space="preserve">erve as </w:t>
      </w:r>
      <w:r w:rsidR="00385F60" w:rsidRPr="0047199F">
        <w:rPr>
          <w:sz w:val="32"/>
          <w:szCs w:val="32"/>
        </w:rPr>
        <w:t xml:space="preserve">a </w:t>
      </w:r>
      <w:r w:rsidR="00700984" w:rsidRPr="0047199F">
        <w:rPr>
          <w:sz w:val="32"/>
          <w:szCs w:val="32"/>
        </w:rPr>
        <w:t xml:space="preserve">prerequisite to </w:t>
      </w:r>
      <w:r w:rsidR="0044288A" w:rsidRPr="0047199F">
        <w:rPr>
          <w:sz w:val="32"/>
          <w:szCs w:val="32"/>
        </w:rPr>
        <w:t>practical piano</w:t>
      </w:r>
      <w:r w:rsidR="00700984" w:rsidRPr="0047199F">
        <w:rPr>
          <w:sz w:val="32"/>
          <w:szCs w:val="32"/>
        </w:rPr>
        <w:t xml:space="preserve"> exams</w:t>
      </w:r>
      <w:r w:rsidR="00385F60" w:rsidRPr="0047199F">
        <w:rPr>
          <w:sz w:val="32"/>
          <w:szCs w:val="32"/>
        </w:rPr>
        <w:t xml:space="preserve"> to receive </w:t>
      </w:r>
      <w:r w:rsidR="00492F91" w:rsidRPr="0047199F">
        <w:rPr>
          <w:sz w:val="32"/>
          <w:szCs w:val="32"/>
        </w:rPr>
        <w:t>certificates and</w:t>
      </w:r>
      <w:r w:rsidR="00F231F4">
        <w:rPr>
          <w:sz w:val="32"/>
          <w:szCs w:val="32"/>
        </w:rPr>
        <w:t xml:space="preserve"> </w:t>
      </w:r>
      <w:r w:rsidR="0044288A">
        <w:rPr>
          <w:sz w:val="32"/>
          <w:szCs w:val="32"/>
        </w:rPr>
        <w:t xml:space="preserve">are </w:t>
      </w:r>
      <w:r w:rsidR="00385F60" w:rsidRPr="0047199F">
        <w:rPr>
          <w:sz w:val="32"/>
          <w:szCs w:val="32"/>
        </w:rPr>
        <w:t>an important part of the school curriculum</w:t>
      </w:r>
      <w:r w:rsidR="00492F91">
        <w:rPr>
          <w:sz w:val="32"/>
          <w:szCs w:val="32"/>
        </w:rPr>
        <w:t xml:space="preserve"> at The Classic Arts School of Music. </w:t>
      </w:r>
      <w:hyperlink r:id="rId9" w:history="1"/>
    </w:p>
    <w:p w14:paraId="105D46AC" w14:textId="77777777" w:rsidR="00095685" w:rsidRDefault="00095685">
      <w:pPr>
        <w:rPr>
          <w:sz w:val="32"/>
          <w:szCs w:val="32"/>
        </w:rPr>
      </w:pPr>
    </w:p>
    <w:p w14:paraId="0029C8DB" w14:textId="77777777" w:rsidR="00FF314E" w:rsidRDefault="00FF314E" w:rsidP="00FF314E">
      <w:pPr>
        <w:rPr>
          <w:sz w:val="32"/>
          <w:szCs w:val="32"/>
        </w:rPr>
      </w:pPr>
      <w:r w:rsidRPr="00DC71AD">
        <w:rPr>
          <w:b/>
          <w:bCs/>
          <w:sz w:val="32"/>
          <w:szCs w:val="32"/>
        </w:rPr>
        <w:t>Digital Syllabus</w:t>
      </w:r>
      <w:r>
        <w:rPr>
          <w:b/>
          <w:bCs/>
          <w:sz w:val="32"/>
          <w:szCs w:val="32"/>
        </w:rPr>
        <w:t xml:space="preserve"> </w:t>
      </w:r>
    </w:p>
    <w:p w14:paraId="5E0B205F" w14:textId="77777777" w:rsidR="00FF314E" w:rsidRPr="00DC71AD" w:rsidRDefault="00FF314E" w:rsidP="00FF314E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Pr="00DC71AD">
        <w:rPr>
          <w:sz w:val="32"/>
          <w:szCs w:val="32"/>
        </w:rPr>
        <w:t xml:space="preserve">vailable for all students, parents and guardians, teachers for free/downloadable. </w:t>
      </w:r>
    </w:p>
    <w:p w14:paraId="6BE5B9CC" w14:textId="4E4E34AD" w:rsidR="00FF314E" w:rsidRDefault="00FF314E" w:rsidP="00FF314E">
      <w:pPr>
        <w:rPr>
          <w:b/>
          <w:bCs/>
          <w:sz w:val="32"/>
          <w:szCs w:val="32"/>
        </w:rPr>
      </w:pPr>
      <w:hyperlink r:id="rId10" w:history="1"/>
      <w:r w:rsidR="00EE5878">
        <w:rPr>
          <w:b/>
          <w:bCs/>
          <w:sz w:val="32"/>
          <w:szCs w:val="32"/>
        </w:rPr>
        <w:t xml:space="preserve"> </w:t>
      </w:r>
    </w:p>
    <w:p w14:paraId="6C457F18" w14:textId="75F79D29" w:rsidR="003868DF" w:rsidRDefault="00EE5878">
      <w:pPr>
        <w:rPr>
          <w:sz w:val="32"/>
          <w:szCs w:val="32"/>
        </w:rPr>
      </w:pPr>
      <w:r>
        <w:rPr>
          <w:sz w:val="32"/>
          <w:szCs w:val="32"/>
        </w:rPr>
        <w:t xml:space="preserve">For more </w:t>
      </w:r>
      <w:r w:rsidR="00A9141A">
        <w:rPr>
          <w:sz w:val="32"/>
          <w:szCs w:val="32"/>
        </w:rPr>
        <w:t xml:space="preserve">information, please visit </w:t>
      </w:r>
      <w:hyperlink r:id="rId11" w:history="1">
        <w:r w:rsidR="006348C7" w:rsidRPr="00611596">
          <w:rPr>
            <w:rStyle w:val="Hyperlink"/>
            <w:sz w:val="32"/>
            <w:szCs w:val="32"/>
          </w:rPr>
          <w:t>https://ameb.vic.edu.au/</w:t>
        </w:r>
      </w:hyperlink>
    </w:p>
    <w:p w14:paraId="56AD714B" w14:textId="77777777" w:rsidR="006348C7" w:rsidRDefault="006348C7">
      <w:pPr>
        <w:rPr>
          <w:sz w:val="32"/>
          <w:szCs w:val="32"/>
        </w:rPr>
      </w:pPr>
    </w:p>
    <w:p w14:paraId="6B8764B1" w14:textId="77777777" w:rsidR="00975E47" w:rsidRDefault="00975E47">
      <w:pPr>
        <w:rPr>
          <w:sz w:val="32"/>
          <w:szCs w:val="32"/>
        </w:rPr>
      </w:pPr>
    </w:p>
    <w:p w14:paraId="54E29473" w14:textId="184F4BC5" w:rsidR="00B01EC8" w:rsidRDefault="00C42C29">
      <w:pPr>
        <w:rPr>
          <w:sz w:val="32"/>
          <w:szCs w:val="32"/>
        </w:rPr>
      </w:pPr>
      <w:r w:rsidRPr="00454C78">
        <w:rPr>
          <w:noProof/>
          <w:highlight w:val="yellow"/>
        </w:rPr>
        <w:drawing>
          <wp:anchor distT="0" distB="0" distL="114300" distR="114300" simplePos="0" relativeHeight="251660800" behindDoc="0" locked="0" layoutInCell="1" allowOverlap="1" wp14:anchorId="2DE96B99" wp14:editId="4AEEFA13">
            <wp:simplePos x="0" y="0"/>
            <wp:positionH relativeFrom="page">
              <wp:posOffset>3595370</wp:posOffset>
            </wp:positionH>
            <wp:positionV relativeFrom="paragraph">
              <wp:posOffset>108585</wp:posOffset>
            </wp:positionV>
            <wp:extent cx="2968625" cy="2467610"/>
            <wp:effectExtent l="0" t="0" r="317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51173" w14:textId="41709D4C" w:rsidR="009466D0" w:rsidRPr="0047199F" w:rsidRDefault="009466D0">
      <w:pPr>
        <w:rPr>
          <w:sz w:val="32"/>
          <w:szCs w:val="32"/>
        </w:rPr>
      </w:pPr>
    </w:p>
    <w:sectPr w:rsidR="009466D0" w:rsidRPr="0047199F" w:rsidSect="00512DAE">
      <w:pgSz w:w="11906" w:h="16838" w:code="9"/>
      <w:pgMar w:top="57" w:right="720" w:bottom="5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252FE"/>
    <w:multiLevelType w:val="hybridMultilevel"/>
    <w:tmpl w:val="4E3E30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F55702"/>
    <w:multiLevelType w:val="hybridMultilevel"/>
    <w:tmpl w:val="5C303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1447317">
    <w:abstractNumId w:val="0"/>
  </w:num>
  <w:num w:numId="2" w16cid:durableId="33654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44"/>
    <w:rsid w:val="000221A9"/>
    <w:rsid w:val="00023DFF"/>
    <w:rsid w:val="0003351B"/>
    <w:rsid w:val="00037804"/>
    <w:rsid w:val="00056A4D"/>
    <w:rsid w:val="000606FE"/>
    <w:rsid w:val="00084FC6"/>
    <w:rsid w:val="000920EF"/>
    <w:rsid w:val="00095685"/>
    <w:rsid w:val="000A1219"/>
    <w:rsid w:val="000A2609"/>
    <w:rsid w:val="000B7E6F"/>
    <w:rsid w:val="000C0487"/>
    <w:rsid w:val="000C6BE1"/>
    <w:rsid w:val="000F751F"/>
    <w:rsid w:val="00125D03"/>
    <w:rsid w:val="00141407"/>
    <w:rsid w:val="001752CB"/>
    <w:rsid w:val="00195FB9"/>
    <w:rsid w:val="001B6B96"/>
    <w:rsid w:val="001D03F3"/>
    <w:rsid w:val="001F3162"/>
    <w:rsid w:val="0021173F"/>
    <w:rsid w:val="00227057"/>
    <w:rsid w:val="002270CB"/>
    <w:rsid w:val="00257B18"/>
    <w:rsid w:val="002708D1"/>
    <w:rsid w:val="0027095E"/>
    <w:rsid w:val="00276754"/>
    <w:rsid w:val="002C3932"/>
    <w:rsid w:val="002D37AF"/>
    <w:rsid w:val="002F6C5E"/>
    <w:rsid w:val="00300F75"/>
    <w:rsid w:val="00313B10"/>
    <w:rsid w:val="00330818"/>
    <w:rsid w:val="00350FC1"/>
    <w:rsid w:val="00370E91"/>
    <w:rsid w:val="00385F60"/>
    <w:rsid w:val="003868DF"/>
    <w:rsid w:val="0039587B"/>
    <w:rsid w:val="00396103"/>
    <w:rsid w:val="003A2113"/>
    <w:rsid w:val="003E021B"/>
    <w:rsid w:val="003E4151"/>
    <w:rsid w:val="003F6720"/>
    <w:rsid w:val="0040126A"/>
    <w:rsid w:val="00431EC4"/>
    <w:rsid w:val="0043522C"/>
    <w:rsid w:val="0043757B"/>
    <w:rsid w:val="0044288A"/>
    <w:rsid w:val="00444526"/>
    <w:rsid w:val="0047199F"/>
    <w:rsid w:val="00492F91"/>
    <w:rsid w:val="0049382A"/>
    <w:rsid w:val="004A17A5"/>
    <w:rsid w:val="004F30D8"/>
    <w:rsid w:val="00512710"/>
    <w:rsid w:val="00512DAE"/>
    <w:rsid w:val="00515349"/>
    <w:rsid w:val="00567A09"/>
    <w:rsid w:val="00567B94"/>
    <w:rsid w:val="00571F9B"/>
    <w:rsid w:val="00574D0C"/>
    <w:rsid w:val="00577DE9"/>
    <w:rsid w:val="00590CE6"/>
    <w:rsid w:val="005A531D"/>
    <w:rsid w:val="005D3DA7"/>
    <w:rsid w:val="006309D7"/>
    <w:rsid w:val="006348C7"/>
    <w:rsid w:val="00646544"/>
    <w:rsid w:val="00656B81"/>
    <w:rsid w:val="00677DD6"/>
    <w:rsid w:val="006D289E"/>
    <w:rsid w:val="006F01B5"/>
    <w:rsid w:val="00700984"/>
    <w:rsid w:val="00711FD8"/>
    <w:rsid w:val="0072403E"/>
    <w:rsid w:val="0073615F"/>
    <w:rsid w:val="007376C2"/>
    <w:rsid w:val="00754EC5"/>
    <w:rsid w:val="00755221"/>
    <w:rsid w:val="0076431A"/>
    <w:rsid w:val="00783904"/>
    <w:rsid w:val="00792C4E"/>
    <w:rsid w:val="00797D0C"/>
    <w:rsid w:val="007B4C09"/>
    <w:rsid w:val="008B665D"/>
    <w:rsid w:val="008C42BA"/>
    <w:rsid w:val="008D6BD6"/>
    <w:rsid w:val="008E432A"/>
    <w:rsid w:val="008F2C25"/>
    <w:rsid w:val="00901486"/>
    <w:rsid w:val="00907685"/>
    <w:rsid w:val="009466D0"/>
    <w:rsid w:val="00965AA1"/>
    <w:rsid w:val="00975E47"/>
    <w:rsid w:val="0099725F"/>
    <w:rsid w:val="009C081B"/>
    <w:rsid w:val="009C73A7"/>
    <w:rsid w:val="009D4CCF"/>
    <w:rsid w:val="009D6F66"/>
    <w:rsid w:val="00A334AC"/>
    <w:rsid w:val="00A34E2C"/>
    <w:rsid w:val="00A77F3E"/>
    <w:rsid w:val="00A81470"/>
    <w:rsid w:val="00A86F2F"/>
    <w:rsid w:val="00A9141A"/>
    <w:rsid w:val="00A92FA9"/>
    <w:rsid w:val="00AA0CDC"/>
    <w:rsid w:val="00AA7D01"/>
    <w:rsid w:val="00AC4A0D"/>
    <w:rsid w:val="00AC672B"/>
    <w:rsid w:val="00AC77A4"/>
    <w:rsid w:val="00AE2648"/>
    <w:rsid w:val="00AE3F57"/>
    <w:rsid w:val="00AE5706"/>
    <w:rsid w:val="00AE5F04"/>
    <w:rsid w:val="00B00C05"/>
    <w:rsid w:val="00B01EC8"/>
    <w:rsid w:val="00B32BB2"/>
    <w:rsid w:val="00B70FAE"/>
    <w:rsid w:val="00B802AC"/>
    <w:rsid w:val="00BB2B1C"/>
    <w:rsid w:val="00BC2127"/>
    <w:rsid w:val="00BF100E"/>
    <w:rsid w:val="00C04375"/>
    <w:rsid w:val="00C06144"/>
    <w:rsid w:val="00C10FFF"/>
    <w:rsid w:val="00C1335C"/>
    <w:rsid w:val="00C42C29"/>
    <w:rsid w:val="00C50C7C"/>
    <w:rsid w:val="00C53FCC"/>
    <w:rsid w:val="00C72DBC"/>
    <w:rsid w:val="00C77B55"/>
    <w:rsid w:val="00CC5C75"/>
    <w:rsid w:val="00CC7521"/>
    <w:rsid w:val="00CE3869"/>
    <w:rsid w:val="00CF28A9"/>
    <w:rsid w:val="00D14187"/>
    <w:rsid w:val="00D22C39"/>
    <w:rsid w:val="00D31B56"/>
    <w:rsid w:val="00D44FC8"/>
    <w:rsid w:val="00D81432"/>
    <w:rsid w:val="00DA4AAB"/>
    <w:rsid w:val="00DB3380"/>
    <w:rsid w:val="00DB36E5"/>
    <w:rsid w:val="00DB6B95"/>
    <w:rsid w:val="00DC0336"/>
    <w:rsid w:val="00DC3FA5"/>
    <w:rsid w:val="00DC71AD"/>
    <w:rsid w:val="00DD5F20"/>
    <w:rsid w:val="00DD73D0"/>
    <w:rsid w:val="00DF6CBD"/>
    <w:rsid w:val="00E02E58"/>
    <w:rsid w:val="00E144FD"/>
    <w:rsid w:val="00E216A3"/>
    <w:rsid w:val="00E3552A"/>
    <w:rsid w:val="00E445A0"/>
    <w:rsid w:val="00E61F60"/>
    <w:rsid w:val="00E74BB1"/>
    <w:rsid w:val="00E80B30"/>
    <w:rsid w:val="00E939BF"/>
    <w:rsid w:val="00EB06C3"/>
    <w:rsid w:val="00EB50C2"/>
    <w:rsid w:val="00ED237C"/>
    <w:rsid w:val="00ED6709"/>
    <w:rsid w:val="00EE5878"/>
    <w:rsid w:val="00EF1896"/>
    <w:rsid w:val="00EF3F30"/>
    <w:rsid w:val="00F210FA"/>
    <w:rsid w:val="00F231F4"/>
    <w:rsid w:val="00F306C2"/>
    <w:rsid w:val="00F46C99"/>
    <w:rsid w:val="00F516F3"/>
    <w:rsid w:val="00F8372A"/>
    <w:rsid w:val="00F84092"/>
    <w:rsid w:val="00F907D9"/>
    <w:rsid w:val="00F91DB7"/>
    <w:rsid w:val="00F936A8"/>
    <w:rsid w:val="00F94C8F"/>
    <w:rsid w:val="00FB645F"/>
    <w:rsid w:val="00FD3EE8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83F0"/>
  <w15:chartTrackingRefBased/>
  <w15:docId w15:val="{F9A9AC4D-BAE6-4348-8DAD-3E332AE7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5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5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5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5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5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544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544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544"/>
    <w:rPr>
      <w:rFonts w:eastAsiaTheme="majorEastAsia" w:cstheme="majorBidi"/>
      <w:color w:val="0F4761" w:themeColor="accent1" w:themeShade="BF"/>
      <w:sz w:val="28"/>
      <w:szCs w:val="3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54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4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54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54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54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54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465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46544"/>
    <w:rPr>
      <w:rFonts w:asciiTheme="majorHAnsi" w:eastAsiaTheme="majorEastAsia" w:hAnsiTheme="majorHAnsi" w:cstheme="majorBidi"/>
      <w:spacing w:val="-10"/>
      <w:kern w:val="28"/>
      <w:sz w:val="56"/>
      <w:szCs w:val="71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46544"/>
    <w:rPr>
      <w:rFonts w:eastAsiaTheme="majorEastAsia" w:cstheme="majorBidi"/>
      <w:color w:val="595959" w:themeColor="text1" w:themeTint="A6"/>
      <w:spacing w:val="15"/>
      <w:sz w:val="28"/>
      <w:szCs w:val="35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46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54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646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54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46544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uiPriority w:val="99"/>
    <w:semiHidden/>
    <w:rsid w:val="00646544"/>
    <w:pPr>
      <w:spacing w:before="100" w:beforeAutospacing="1" w:after="100" w:afterAutospacing="1"/>
    </w:pPr>
    <w:rPr>
      <w:lang w:val="en-GB" w:eastAsia="en-GB"/>
    </w:rPr>
  </w:style>
  <w:style w:type="character" w:customStyle="1" w:styleId="wixui-rich-texttext">
    <w:name w:val="wixui-rich-text__text"/>
    <w:basedOn w:val="DefaultParagraphFont"/>
    <w:rsid w:val="00646544"/>
  </w:style>
  <w:style w:type="character" w:styleId="Hyperlink">
    <w:name w:val="Hyperlink"/>
    <w:unhideWhenUsed/>
    <w:rsid w:val="0064654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8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8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b.vic.edu.au/news/piano-series-19-publications-now-availabl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classicarts.com.au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classicarts@outlook.com" TargetMode="External"/><Relationship Id="rId11" Type="http://schemas.openxmlformats.org/officeDocument/2006/relationships/hyperlink" Target="https://ameb.vic.edu.au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www.ameb.edu.au/syllabuses?srsltid=AfmBOorYzuyQUqJa233HNeqcJC6cwd-NGP1hTRMvQP43HjxGnXObiK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eb.vic.edu.au/enrolment/key-dat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Classic Arts</dc:creator>
  <cp:keywords/>
  <dc:description/>
  <cp:lastModifiedBy>The Classic Arts</cp:lastModifiedBy>
  <cp:revision>157</cp:revision>
  <dcterms:created xsi:type="dcterms:W3CDTF">2026-01-04T12:22:00Z</dcterms:created>
  <dcterms:modified xsi:type="dcterms:W3CDTF">2026-01-08T04:21:00Z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8ebbe346-999f-4902-a1f0-551227768e09</vt:lpwstr>
  </property>
</Properties>
</file>