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AB5D" w14:textId="77777777" w:rsidR="0005489A" w:rsidRDefault="004B1ACD">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4150457D" wp14:editId="3F869E02">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2" name="Rectangle 2"/>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01F5F4C4" w14:textId="77777777" w:rsidR="0005489A" w:rsidRDefault="004B1AC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3BBBED8"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BORFOAM</w:t>
      </w:r>
    </w:p>
    <w:p w14:paraId="649554C9"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FE29E93"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43EA5B66"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BONING ROOM DETERGENT</w:t>
      </w:r>
    </w:p>
    <w:p w14:paraId="10C12469"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C9E8724"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8B3565B"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304B894"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0729BF3D"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79A46D9"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49CDBCF"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30A95A09"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BEFC9D5" w14:textId="77777777" w:rsidR="0005489A" w:rsidRDefault="004B1ACD">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91EE3EB" w14:textId="77777777" w:rsidR="0005489A" w:rsidRDefault="0005489A">
      <w:pPr>
        <w:pStyle w:val="ListParagraph"/>
        <w:rPr>
          <w:rFonts w:ascii="Arial" w:eastAsia="Verdana" w:hAnsi="Arial" w:cs="Arial"/>
          <w:b/>
          <w:color w:val="000000"/>
          <w:spacing w:val="5"/>
          <w:sz w:val="24"/>
          <w:szCs w:val="24"/>
          <w:u w:val="single"/>
        </w:rPr>
      </w:pPr>
    </w:p>
    <w:p w14:paraId="611A8BCE" w14:textId="77777777" w:rsidR="0005489A" w:rsidRDefault="004B1ACD">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2724B15"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05B73807"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60ED1E63"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03B39E80"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CD44282"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16083CF0"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55167025" w14:textId="77777777" w:rsidR="0005489A" w:rsidRDefault="0005489A">
      <w:pPr>
        <w:pStyle w:val="ListParagraph"/>
        <w:rPr>
          <w:rFonts w:ascii="Arial" w:eastAsia="Verdana" w:hAnsi="Arial" w:cs="Arial"/>
          <w:color w:val="000000"/>
          <w:sz w:val="18"/>
          <w:szCs w:val="18"/>
        </w:rPr>
      </w:pPr>
    </w:p>
    <w:p w14:paraId="58D914AE"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1AFB3DDE" w14:textId="77777777" w:rsidR="0005489A" w:rsidRDefault="0005489A">
      <w:pPr>
        <w:pStyle w:val="ListParagraph"/>
        <w:rPr>
          <w:rFonts w:ascii="Arial" w:eastAsia="Verdana" w:hAnsi="Arial" w:cs="Arial"/>
          <w:color w:val="000000"/>
          <w:sz w:val="18"/>
          <w:szCs w:val="18"/>
        </w:rPr>
      </w:pPr>
    </w:p>
    <w:p w14:paraId="33811B48" w14:textId="77777777" w:rsidR="0005489A" w:rsidRDefault="004B1ACD">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B006462" w14:textId="77777777" w:rsidR="0005489A" w:rsidRDefault="004B1ACD">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917EB87"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A688526" wp14:editId="06C8D528">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05B3717D" w14:textId="77777777" w:rsidR="0005489A" w:rsidRDefault="0005489A">
      <w:pPr>
        <w:pStyle w:val="ListParagraph"/>
        <w:rPr>
          <w:rFonts w:ascii="Arial" w:eastAsia="Verdana" w:hAnsi="Arial" w:cs="Arial"/>
          <w:color w:val="000000"/>
          <w:spacing w:val="-1"/>
          <w:sz w:val="18"/>
          <w:szCs w:val="18"/>
        </w:rPr>
      </w:pPr>
    </w:p>
    <w:p w14:paraId="50157AE9" w14:textId="77777777" w:rsidR="0005489A" w:rsidRDefault="0005489A">
      <w:pPr>
        <w:pStyle w:val="ListParagraph"/>
        <w:rPr>
          <w:rFonts w:ascii="Arial" w:eastAsia="Verdana" w:hAnsi="Arial" w:cs="Arial"/>
          <w:color w:val="000000"/>
          <w:spacing w:val="-1"/>
          <w:sz w:val="18"/>
          <w:szCs w:val="18"/>
        </w:rPr>
      </w:pPr>
    </w:p>
    <w:p w14:paraId="631926D1"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56F30886"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449AEC66" w14:textId="77777777" w:rsidR="0005489A" w:rsidRDefault="0005489A">
      <w:pPr>
        <w:pStyle w:val="ListParagraph"/>
        <w:rPr>
          <w:rFonts w:ascii="Arial" w:eastAsia="Verdana" w:hAnsi="Arial" w:cs="Arial"/>
          <w:color w:val="000000"/>
          <w:spacing w:val="-1"/>
          <w:sz w:val="18"/>
          <w:szCs w:val="18"/>
        </w:rPr>
      </w:pPr>
    </w:p>
    <w:p w14:paraId="066BD83B"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252F45F" w14:textId="77777777" w:rsidR="0005489A" w:rsidRDefault="0005489A">
      <w:pPr>
        <w:pStyle w:val="ListParagraph"/>
        <w:rPr>
          <w:rFonts w:ascii="Arial" w:eastAsia="Verdana" w:hAnsi="Arial" w:cs="Arial"/>
          <w:color w:val="000000"/>
          <w:spacing w:val="-1"/>
          <w:sz w:val="18"/>
          <w:szCs w:val="18"/>
        </w:rPr>
      </w:pPr>
    </w:p>
    <w:p w14:paraId="7375CF67"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09A29C08"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3E488AE4" w14:textId="77777777" w:rsidR="0005489A" w:rsidRDefault="0005489A">
      <w:pPr>
        <w:pStyle w:val="ListParagraph"/>
        <w:rPr>
          <w:rFonts w:ascii="Arial" w:eastAsia="Verdana" w:hAnsi="Arial" w:cs="Arial"/>
          <w:color w:val="000000"/>
          <w:spacing w:val="-1"/>
          <w:sz w:val="18"/>
          <w:szCs w:val="18"/>
        </w:rPr>
      </w:pPr>
    </w:p>
    <w:p w14:paraId="00051836"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5E7E78C0"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34EB533D"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2E52BAB"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6CC91729" w14:textId="77777777" w:rsidR="0005489A" w:rsidRDefault="0005489A">
      <w:pPr>
        <w:pStyle w:val="ListParagraph"/>
        <w:rPr>
          <w:rFonts w:ascii="Arial" w:eastAsia="Verdana" w:hAnsi="Arial" w:cs="Arial"/>
          <w:color w:val="000000"/>
          <w:spacing w:val="-1"/>
          <w:sz w:val="18"/>
          <w:szCs w:val="18"/>
        </w:rPr>
      </w:pPr>
    </w:p>
    <w:p w14:paraId="798A6A24" w14:textId="77777777" w:rsidR="0005489A" w:rsidRDefault="004B1AC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4E16D6CC" w14:textId="77777777" w:rsidR="0005489A" w:rsidRDefault="0005489A">
      <w:pPr>
        <w:spacing w:line="380" w:lineRule="exact"/>
        <w:textAlignment w:val="baseline"/>
        <w:rPr>
          <w:rFonts w:ascii="Arial" w:eastAsia="Verdana" w:hAnsi="Arial" w:cs="Arial"/>
          <w:b/>
          <w:color w:val="000000"/>
          <w:sz w:val="24"/>
          <w:szCs w:val="24"/>
          <w:u w:val="single"/>
        </w:rPr>
      </w:pPr>
    </w:p>
    <w:p w14:paraId="5D3B235A" w14:textId="77777777" w:rsidR="0005489A" w:rsidRDefault="0005489A">
      <w:pPr>
        <w:spacing w:line="380" w:lineRule="exact"/>
        <w:textAlignment w:val="baseline"/>
        <w:rPr>
          <w:rFonts w:ascii="Arial" w:eastAsia="Verdana" w:hAnsi="Arial" w:cs="Arial"/>
          <w:b/>
          <w:color w:val="000000"/>
          <w:sz w:val="24"/>
          <w:szCs w:val="24"/>
          <w:u w:val="single"/>
        </w:rPr>
      </w:pPr>
    </w:p>
    <w:p w14:paraId="40C82C55" w14:textId="77777777" w:rsidR="0005489A" w:rsidRDefault="0005489A">
      <w:pPr>
        <w:spacing w:line="380" w:lineRule="exact"/>
        <w:textAlignment w:val="baseline"/>
        <w:rPr>
          <w:rFonts w:ascii="Arial" w:eastAsia="Verdana" w:hAnsi="Arial" w:cs="Arial"/>
          <w:b/>
          <w:color w:val="000000"/>
          <w:sz w:val="24"/>
          <w:szCs w:val="24"/>
          <w:u w:val="single"/>
        </w:rPr>
      </w:pPr>
    </w:p>
    <w:p w14:paraId="5A597D4A" w14:textId="77777777" w:rsidR="0005489A" w:rsidRDefault="0005489A">
      <w:pPr>
        <w:spacing w:line="380" w:lineRule="exact"/>
        <w:textAlignment w:val="baseline"/>
        <w:rPr>
          <w:rFonts w:ascii="Arial" w:eastAsia="Verdana" w:hAnsi="Arial" w:cs="Arial"/>
          <w:b/>
          <w:color w:val="000000"/>
          <w:sz w:val="24"/>
          <w:szCs w:val="24"/>
          <w:u w:val="single"/>
        </w:rPr>
      </w:pPr>
    </w:p>
    <w:p w14:paraId="36285381" w14:textId="77777777" w:rsidR="0005489A" w:rsidRDefault="0005489A">
      <w:pPr>
        <w:spacing w:line="380" w:lineRule="exact"/>
        <w:textAlignment w:val="baseline"/>
        <w:rPr>
          <w:rFonts w:ascii="Arial" w:eastAsia="Verdana" w:hAnsi="Arial" w:cs="Arial"/>
          <w:b/>
          <w:color w:val="000000"/>
          <w:sz w:val="24"/>
          <w:szCs w:val="24"/>
          <w:u w:val="single"/>
        </w:rPr>
      </w:pPr>
    </w:p>
    <w:p w14:paraId="44184A9D" w14:textId="77777777" w:rsidR="0005489A" w:rsidRDefault="0005489A">
      <w:pPr>
        <w:spacing w:line="380" w:lineRule="exact"/>
        <w:textAlignment w:val="baseline"/>
        <w:rPr>
          <w:rFonts w:ascii="Arial" w:eastAsia="Verdana" w:hAnsi="Arial" w:cs="Arial"/>
          <w:b/>
          <w:color w:val="000000"/>
          <w:sz w:val="24"/>
          <w:szCs w:val="24"/>
          <w:u w:val="single"/>
        </w:rPr>
      </w:pPr>
    </w:p>
    <w:p w14:paraId="72F33F33" w14:textId="77777777" w:rsidR="0005489A" w:rsidRDefault="0005489A">
      <w:pPr>
        <w:spacing w:line="380" w:lineRule="exact"/>
        <w:textAlignment w:val="baseline"/>
        <w:rPr>
          <w:rFonts w:ascii="Arial" w:eastAsia="Verdana" w:hAnsi="Arial" w:cs="Arial"/>
          <w:b/>
          <w:color w:val="000000"/>
          <w:sz w:val="24"/>
          <w:szCs w:val="24"/>
          <w:u w:val="single"/>
        </w:rPr>
      </w:pPr>
    </w:p>
    <w:p w14:paraId="78CC8361" w14:textId="77777777" w:rsidR="0005489A" w:rsidRDefault="0005489A">
      <w:pPr>
        <w:spacing w:line="380" w:lineRule="exact"/>
        <w:textAlignment w:val="baseline"/>
        <w:rPr>
          <w:rFonts w:ascii="Arial" w:eastAsia="Verdana" w:hAnsi="Arial" w:cs="Arial"/>
          <w:b/>
          <w:color w:val="000000"/>
          <w:sz w:val="24"/>
          <w:szCs w:val="24"/>
          <w:u w:val="single"/>
        </w:rPr>
      </w:pPr>
    </w:p>
    <w:p w14:paraId="58D92A2E" w14:textId="77777777" w:rsidR="0005489A" w:rsidRDefault="0005489A">
      <w:pPr>
        <w:spacing w:line="380" w:lineRule="exact"/>
        <w:textAlignment w:val="baseline"/>
        <w:rPr>
          <w:rFonts w:ascii="Arial" w:eastAsia="Verdana" w:hAnsi="Arial" w:cs="Arial"/>
          <w:b/>
          <w:color w:val="000000"/>
          <w:sz w:val="24"/>
          <w:szCs w:val="24"/>
          <w:u w:val="single"/>
        </w:rPr>
      </w:pPr>
    </w:p>
    <w:p w14:paraId="1E340FFD" w14:textId="77777777" w:rsidR="0005489A" w:rsidRDefault="004B1AC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E561841" w14:textId="77777777" w:rsidR="0005489A" w:rsidRDefault="0005489A">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05489A" w14:paraId="7307DA44" w14:textId="77777777">
        <w:trPr>
          <w:trHeight w:val="153"/>
        </w:trPr>
        <w:tc>
          <w:tcPr>
            <w:tcW w:w="5924" w:type="dxa"/>
            <w:shd w:val="clear" w:color="auto" w:fill="auto"/>
          </w:tcPr>
          <w:p w14:paraId="57ED4A0E" w14:textId="77777777" w:rsidR="0005489A" w:rsidRDefault="004B1A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453EF020" w14:textId="77777777" w:rsidR="0005489A" w:rsidRDefault="004B1A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1A8ECAD4" w14:textId="77777777" w:rsidR="0005489A" w:rsidRDefault="004B1AC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5489A" w14:paraId="6BCA4559" w14:textId="77777777">
        <w:trPr>
          <w:trHeight w:val="153"/>
        </w:trPr>
        <w:tc>
          <w:tcPr>
            <w:tcW w:w="5924" w:type="dxa"/>
            <w:shd w:val="clear" w:color="auto" w:fill="auto"/>
          </w:tcPr>
          <w:p w14:paraId="0F4D45D6"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5" w:type="dxa"/>
            <w:shd w:val="clear" w:color="auto" w:fill="auto"/>
          </w:tcPr>
          <w:p w14:paraId="227CE235"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BFEDF53"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05489A" w14:paraId="50218C6D" w14:textId="77777777">
        <w:trPr>
          <w:trHeight w:val="153"/>
        </w:trPr>
        <w:tc>
          <w:tcPr>
            <w:tcW w:w="5924" w:type="dxa"/>
            <w:shd w:val="clear" w:color="auto" w:fill="auto"/>
          </w:tcPr>
          <w:p w14:paraId="49D34B23"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49F65575"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0A3937E2" w14:textId="77777777" w:rsidR="0005489A" w:rsidRDefault="004B1AC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32151BB3" w14:textId="77777777" w:rsidR="0005489A" w:rsidRDefault="0005489A">
      <w:pPr>
        <w:spacing w:line="380" w:lineRule="exact"/>
        <w:textAlignment w:val="baseline"/>
        <w:rPr>
          <w:rFonts w:ascii="Arial Bold" w:eastAsia="Courier New" w:hAnsi="Arial Bold" w:cs="Arial"/>
          <w:b/>
          <w:color w:val="000000"/>
          <w:sz w:val="24"/>
          <w:szCs w:val="24"/>
          <w:u w:val="single"/>
        </w:rPr>
      </w:pPr>
    </w:p>
    <w:p w14:paraId="6ED45D4B" w14:textId="77777777" w:rsidR="0005489A" w:rsidRDefault="0005489A">
      <w:pPr>
        <w:spacing w:line="380" w:lineRule="exact"/>
        <w:textAlignment w:val="baseline"/>
        <w:rPr>
          <w:rFonts w:ascii="Arial Bold" w:eastAsia="Courier New" w:hAnsi="Arial Bold" w:cs="Arial"/>
          <w:b/>
          <w:color w:val="000000"/>
          <w:sz w:val="24"/>
          <w:szCs w:val="24"/>
          <w:u w:val="single"/>
        </w:rPr>
      </w:pPr>
    </w:p>
    <w:p w14:paraId="640BFA15" w14:textId="77777777" w:rsidR="0005489A" w:rsidRDefault="004B1ACD">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3A85F0F0" w14:textId="77777777" w:rsidR="0005489A" w:rsidRDefault="004B1ACD">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3F7903F3"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099562C"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358BA81B" w14:textId="77777777" w:rsidR="0005489A" w:rsidRDefault="004B1AC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49BCF0A5"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068C5CD" w14:textId="77777777" w:rsidR="0005489A" w:rsidRDefault="004B1AC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7E793DD5"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0C461808" w14:textId="77777777" w:rsidR="0005489A" w:rsidRDefault="004B1ACD">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7814A3EC" w14:textId="77777777" w:rsidR="0005489A" w:rsidRDefault="004B1AC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4AE19DB4" w14:textId="77777777" w:rsidR="0005489A" w:rsidRDefault="004B1AC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C6BDDBA" w14:textId="77777777" w:rsidR="0005489A" w:rsidRDefault="004B1ACD">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1261284" w14:textId="77777777" w:rsidR="0005489A" w:rsidRDefault="004B1AC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0CA14C04"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2EDE4CF"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B6FAB40" w14:textId="77777777" w:rsidR="0005489A" w:rsidRDefault="004B1ACD">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60965C2"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1917D18"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578F5B5"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C77017D" w14:textId="77777777" w:rsidR="0005489A" w:rsidRDefault="0005489A">
      <w:pPr>
        <w:spacing w:line="380" w:lineRule="exact"/>
        <w:textAlignment w:val="baseline"/>
        <w:rPr>
          <w:rFonts w:ascii="Arial Bold" w:eastAsia="Courier New" w:hAnsi="Arial Bold" w:cs="Arial"/>
          <w:b/>
          <w:sz w:val="24"/>
          <w:szCs w:val="24"/>
          <w:u w:val="single"/>
        </w:rPr>
      </w:pPr>
    </w:p>
    <w:p w14:paraId="1C80DEFF" w14:textId="77777777" w:rsidR="0005489A" w:rsidRDefault="004B1AC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6F79429"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32FBB339"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D1772BC" w14:textId="77777777" w:rsidR="0005489A" w:rsidRDefault="004B1ACD">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07999F1F" w14:textId="77777777" w:rsidR="0005489A" w:rsidRDefault="0005489A">
      <w:pPr>
        <w:spacing w:line="380" w:lineRule="exact"/>
        <w:textAlignment w:val="baseline"/>
        <w:rPr>
          <w:rFonts w:ascii="Arial Bold" w:eastAsia="Courier New" w:hAnsi="Arial Bold" w:cs="Arial"/>
          <w:b/>
          <w:sz w:val="24"/>
          <w:u w:val="single"/>
        </w:rPr>
      </w:pPr>
    </w:p>
    <w:p w14:paraId="2B7A0F73" w14:textId="77777777" w:rsidR="0005489A" w:rsidRDefault="0005489A">
      <w:pPr>
        <w:spacing w:line="380" w:lineRule="exact"/>
        <w:textAlignment w:val="baseline"/>
        <w:rPr>
          <w:rFonts w:ascii="Arial Bold" w:eastAsia="Courier New" w:hAnsi="Arial Bold" w:cs="Arial"/>
          <w:b/>
          <w:sz w:val="24"/>
          <w:u w:val="single"/>
        </w:rPr>
      </w:pPr>
    </w:p>
    <w:p w14:paraId="04AF888C" w14:textId="77777777" w:rsidR="0005489A" w:rsidRDefault="0005489A">
      <w:pPr>
        <w:spacing w:line="380" w:lineRule="exact"/>
        <w:textAlignment w:val="baseline"/>
        <w:rPr>
          <w:rFonts w:ascii="Arial Bold" w:eastAsia="Courier New" w:hAnsi="Arial Bold" w:cs="Arial"/>
          <w:b/>
          <w:sz w:val="24"/>
          <w:u w:val="single"/>
        </w:rPr>
      </w:pPr>
    </w:p>
    <w:p w14:paraId="5D160733" w14:textId="77777777" w:rsidR="0005489A" w:rsidRDefault="0005489A">
      <w:pPr>
        <w:spacing w:line="380" w:lineRule="exact"/>
        <w:textAlignment w:val="baseline"/>
        <w:rPr>
          <w:rFonts w:ascii="Arial Bold" w:eastAsia="Courier New" w:hAnsi="Arial Bold" w:cs="Arial"/>
          <w:b/>
          <w:sz w:val="24"/>
          <w:u w:val="single"/>
        </w:rPr>
      </w:pPr>
    </w:p>
    <w:p w14:paraId="311F0D0A" w14:textId="77777777" w:rsidR="0005489A" w:rsidRDefault="0005489A">
      <w:pPr>
        <w:spacing w:line="380" w:lineRule="exact"/>
        <w:textAlignment w:val="baseline"/>
        <w:rPr>
          <w:rFonts w:ascii="Arial Bold" w:eastAsia="Courier New" w:hAnsi="Arial Bold" w:cs="Arial"/>
          <w:b/>
          <w:sz w:val="24"/>
          <w:u w:val="single"/>
        </w:rPr>
      </w:pPr>
    </w:p>
    <w:p w14:paraId="0F44067D" w14:textId="77777777" w:rsidR="0005489A" w:rsidRDefault="0005489A">
      <w:pPr>
        <w:spacing w:line="380" w:lineRule="exact"/>
        <w:textAlignment w:val="baseline"/>
        <w:rPr>
          <w:rFonts w:ascii="Arial Bold" w:eastAsia="Courier New" w:hAnsi="Arial Bold" w:cs="Arial"/>
          <w:b/>
          <w:sz w:val="24"/>
          <w:u w:val="single"/>
        </w:rPr>
      </w:pPr>
    </w:p>
    <w:p w14:paraId="3FB99252" w14:textId="77777777" w:rsidR="0005489A" w:rsidRDefault="004B1AC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D2F345F"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6F8FF86" w14:textId="77777777" w:rsidR="0005489A" w:rsidRDefault="004B1AC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396F7772"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044619FF" w14:textId="77777777" w:rsidR="0005489A" w:rsidRDefault="004B1ACD">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0600D5A"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FECF4A2" w14:textId="77777777" w:rsidR="0005489A" w:rsidRDefault="0005489A">
      <w:pPr>
        <w:pStyle w:val="ListParagraph"/>
        <w:spacing w:before="120" w:after="120" w:line="300" w:lineRule="auto"/>
        <w:ind w:left="641"/>
        <w:textAlignment w:val="baseline"/>
        <w:rPr>
          <w:rFonts w:ascii="Arial" w:eastAsia="Verdana" w:hAnsi="Arial" w:cs="Arial"/>
          <w:sz w:val="18"/>
          <w:szCs w:val="18"/>
        </w:rPr>
      </w:pPr>
    </w:p>
    <w:p w14:paraId="5071DADE" w14:textId="77777777" w:rsidR="0005489A" w:rsidRDefault="004B1AC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3AE665B1" w14:textId="77777777" w:rsidR="0005489A" w:rsidRDefault="004B1A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33D8187C" w14:textId="77777777" w:rsidR="0005489A" w:rsidRDefault="004B1A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04301714" w14:textId="77777777" w:rsidR="0005489A" w:rsidRDefault="004B1A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3F21F6D" w14:textId="77777777" w:rsidR="0005489A" w:rsidRDefault="004B1AC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3AAC652D" w14:textId="77777777" w:rsidR="0005489A" w:rsidRDefault="004B1AC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02B23B41" w14:textId="77777777" w:rsidR="0005489A" w:rsidRDefault="004B1A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0A97E02B" w14:textId="77777777" w:rsidR="0005489A" w:rsidRDefault="004B1A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F7F83E6" w14:textId="77777777" w:rsidR="0005489A" w:rsidRDefault="004B1A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59F3FAD1" w14:textId="77777777" w:rsidR="0005489A" w:rsidRDefault="004B1AC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FEA009C" w14:textId="77777777" w:rsidR="0005489A" w:rsidRDefault="0005489A">
      <w:pPr>
        <w:pStyle w:val="ListParagraph"/>
        <w:spacing w:before="120" w:after="120" w:line="300" w:lineRule="auto"/>
        <w:ind w:left="3600" w:hanging="2880"/>
        <w:textAlignment w:val="baseline"/>
        <w:rPr>
          <w:rFonts w:ascii="Arial" w:eastAsia="Verdana" w:hAnsi="Arial" w:cs="Arial"/>
          <w:sz w:val="18"/>
          <w:szCs w:val="18"/>
        </w:rPr>
      </w:pPr>
    </w:p>
    <w:p w14:paraId="4F2654F6" w14:textId="77777777" w:rsidR="0005489A" w:rsidRDefault="004B1ACD">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1A6048B" wp14:editId="39093E5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32AA1E8C" wp14:editId="4362B381">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0C96379D" w14:textId="77777777" w:rsidR="0005489A" w:rsidRDefault="0005489A">
      <w:pPr>
        <w:spacing w:line="380" w:lineRule="exact"/>
        <w:textAlignment w:val="baseline"/>
        <w:rPr>
          <w:rFonts w:ascii="Arial Bold" w:eastAsia="Verdana" w:hAnsi="Arial Bold" w:cs="Arial"/>
          <w:b/>
          <w:sz w:val="24"/>
          <w:u w:val="single"/>
        </w:rPr>
      </w:pPr>
    </w:p>
    <w:p w14:paraId="79E03821" w14:textId="77777777" w:rsidR="0005489A" w:rsidRDefault="004B1ACD">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9D64FBD"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viscous liquid.</w:t>
      </w:r>
    </w:p>
    <w:p w14:paraId="1DBDC1FB"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Lemon odour.</w:t>
      </w:r>
    </w:p>
    <w:p w14:paraId="13C77621"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7 - 8 (Neat).</w:t>
      </w:r>
    </w:p>
    <w:p w14:paraId="660B8F73"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48B2935"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9B8CED0"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1E2E55E"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08861EE5"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C5BDF35"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0B8EA795"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ABFC2DC"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9A379EB" w14:textId="77777777" w:rsidR="0005489A" w:rsidRDefault="004B1A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7F88F9EB" w14:textId="77777777" w:rsidR="0005489A" w:rsidRDefault="0005489A">
      <w:pPr>
        <w:spacing w:line="380" w:lineRule="exact"/>
        <w:textAlignment w:val="baseline"/>
        <w:rPr>
          <w:rFonts w:ascii="Arial Bold" w:eastAsia="Verdana" w:hAnsi="Arial Bold" w:cs="Arial"/>
          <w:b/>
          <w:sz w:val="16"/>
          <w:szCs w:val="16"/>
          <w:u w:val="single"/>
        </w:rPr>
      </w:pPr>
    </w:p>
    <w:p w14:paraId="44E8AC80" w14:textId="77777777" w:rsidR="0005489A" w:rsidRDefault="004B1A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D2E755B" w14:textId="77777777" w:rsidR="0005489A" w:rsidRDefault="004B1A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6A58E924" w14:textId="77777777" w:rsidR="0005489A" w:rsidRDefault="004B1A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6FF4F60C" w14:textId="77777777" w:rsidR="0005489A" w:rsidRDefault="004B1A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39020C0" w14:textId="77777777" w:rsidR="0005489A" w:rsidRDefault="004B1ACD">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B4518EC" w14:textId="77777777" w:rsidR="0005489A" w:rsidRDefault="004B1AC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54DA1842" w14:textId="77777777" w:rsidR="0005489A" w:rsidRDefault="004B1A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4DE18600" w14:textId="77777777" w:rsidR="0005489A" w:rsidRDefault="0005489A">
      <w:pPr>
        <w:spacing w:line="380" w:lineRule="exact"/>
        <w:textAlignment w:val="baseline"/>
        <w:rPr>
          <w:rFonts w:ascii="Arial Bold" w:eastAsia="Verdana" w:hAnsi="Arial Bold" w:cs="Arial"/>
          <w:b/>
          <w:sz w:val="16"/>
          <w:szCs w:val="16"/>
          <w:u w:val="single"/>
        </w:rPr>
      </w:pPr>
    </w:p>
    <w:p w14:paraId="5FDE88A9"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772DB35A"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2F467C7B"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3E224D08" w14:textId="77777777" w:rsidR="0005489A" w:rsidRDefault="004B1AC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44F1F749" w14:textId="77777777" w:rsidR="0005489A" w:rsidRDefault="004B1A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1A87B06" w14:textId="77777777" w:rsidR="0005489A" w:rsidRDefault="0005489A">
      <w:pPr>
        <w:spacing w:line="380" w:lineRule="exact"/>
        <w:textAlignment w:val="baseline"/>
        <w:rPr>
          <w:rFonts w:ascii="Arial Bold" w:eastAsia="Verdana" w:hAnsi="Arial Bold" w:cs="Arial"/>
          <w:b/>
          <w:sz w:val="16"/>
          <w:szCs w:val="16"/>
          <w:u w:val="single"/>
        </w:rPr>
      </w:pPr>
    </w:p>
    <w:p w14:paraId="07843DF2"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7491932"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A587A6A"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3F5D1A09" w14:textId="77777777" w:rsidR="0005489A" w:rsidRDefault="004B1AC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1BCA9D4" w14:textId="77777777" w:rsidR="0005489A" w:rsidRDefault="004B1ACD">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6DCC0CB2" w14:textId="77777777" w:rsidR="0005489A" w:rsidRDefault="004B1ACD">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80FEB0B" w14:textId="77777777" w:rsidR="0005489A" w:rsidRDefault="004B1ACD">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5B8F1DE" w14:textId="77777777" w:rsidR="0005489A" w:rsidRDefault="004B1ACD">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323A891" w14:textId="77777777" w:rsidR="0005489A" w:rsidRDefault="004B1AC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4A069120" w14:textId="77777777" w:rsidR="0005489A" w:rsidRDefault="0005489A">
      <w:pPr>
        <w:spacing w:line="380" w:lineRule="exact"/>
        <w:textAlignment w:val="baseline"/>
        <w:rPr>
          <w:rFonts w:ascii="Arial" w:eastAsia="Verdana" w:hAnsi="Arial" w:cs="Arial"/>
          <w:color w:val="548DD4" w:themeColor="text2" w:themeTint="99"/>
          <w:sz w:val="16"/>
          <w:szCs w:val="16"/>
          <w:u w:val="single"/>
        </w:rPr>
      </w:pPr>
    </w:p>
    <w:p w14:paraId="78FA5948"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37400522"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2E11CB6F"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7BB6323E"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7B27B52"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3531C9F0" w14:textId="77777777" w:rsidR="0005489A" w:rsidRDefault="004B1ACD">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21CCB29" w14:textId="77777777" w:rsidR="0005489A" w:rsidRDefault="004B1ACD">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35AACEF8" w14:textId="77777777" w:rsidR="0005489A" w:rsidRDefault="0005489A">
      <w:pPr>
        <w:spacing w:line="380" w:lineRule="exact"/>
        <w:textAlignment w:val="baseline"/>
        <w:rPr>
          <w:rFonts w:ascii="Arial Bold" w:eastAsia="Verdana" w:hAnsi="Arial Bold" w:cs="Arial"/>
          <w:b/>
          <w:sz w:val="16"/>
          <w:szCs w:val="16"/>
          <w:u w:val="single"/>
        </w:rPr>
      </w:pPr>
    </w:p>
    <w:p w14:paraId="74D2C939" w14:textId="77777777" w:rsidR="0005489A" w:rsidRDefault="004B1AC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57E7456" w14:textId="77777777" w:rsidR="0005489A" w:rsidRDefault="004B1AC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F41DEFB" w14:textId="77777777" w:rsidR="0005489A" w:rsidRDefault="0005489A">
      <w:pPr>
        <w:pStyle w:val="ListParagraph"/>
        <w:rPr>
          <w:rFonts w:ascii="Arial" w:eastAsia="Verdana" w:hAnsi="Arial" w:cs="Arial"/>
          <w:color w:val="000000"/>
          <w:sz w:val="18"/>
          <w:szCs w:val="18"/>
        </w:rPr>
      </w:pPr>
    </w:p>
    <w:p w14:paraId="4D1437EC" w14:textId="77777777" w:rsidR="0005489A" w:rsidRDefault="0005489A">
      <w:pPr>
        <w:pStyle w:val="ListParagraph"/>
        <w:rPr>
          <w:rFonts w:ascii="Arial" w:eastAsia="Verdana" w:hAnsi="Arial" w:cs="Arial"/>
          <w:color w:val="000000"/>
          <w:sz w:val="18"/>
          <w:szCs w:val="18"/>
        </w:rPr>
      </w:pPr>
    </w:p>
    <w:p w14:paraId="1BB23293" w14:textId="77777777" w:rsidR="0005489A" w:rsidRDefault="0005489A">
      <w:pPr>
        <w:pStyle w:val="ListParagraph"/>
        <w:rPr>
          <w:rFonts w:ascii="Arial Bold" w:eastAsia="Verdana" w:hAnsi="Arial Bold" w:cs="Arial"/>
          <w:b/>
          <w:sz w:val="24"/>
          <w:u w:val="single"/>
        </w:rPr>
      </w:pPr>
    </w:p>
    <w:p w14:paraId="1E4B0314" w14:textId="77777777" w:rsidR="0005489A" w:rsidRDefault="0005489A">
      <w:pPr>
        <w:pStyle w:val="ListParagraph"/>
        <w:rPr>
          <w:rFonts w:ascii="Arial Bold" w:eastAsia="Verdana" w:hAnsi="Arial Bold" w:cs="Arial"/>
          <w:b/>
          <w:sz w:val="24"/>
          <w:u w:val="single"/>
        </w:rPr>
      </w:pPr>
    </w:p>
    <w:p w14:paraId="3EC1C94B" w14:textId="77777777" w:rsidR="0005489A" w:rsidRDefault="004B1ACD">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B541079" w14:textId="77777777" w:rsidR="0005489A" w:rsidRDefault="0005489A">
      <w:pPr>
        <w:pStyle w:val="ListParagraph"/>
        <w:rPr>
          <w:rFonts w:ascii="Arial" w:hAnsi="Arial" w:cs="Arial"/>
          <w:sz w:val="18"/>
          <w:szCs w:val="18"/>
        </w:rPr>
      </w:pPr>
    </w:p>
    <w:p w14:paraId="5308BDB5"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1162BB19"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13B0689B" w14:textId="77777777" w:rsidR="0005489A" w:rsidRDefault="004B1AC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71A9B076" w14:textId="77777777" w:rsidR="0005489A" w:rsidRDefault="0005489A">
      <w:pPr>
        <w:pStyle w:val="ListParagraph"/>
        <w:spacing w:before="120" w:after="120" w:line="300" w:lineRule="auto"/>
        <w:ind w:left="641"/>
        <w:textAlignment w:val="baseline"/>
        <w:rPr>
          <w:rFonts w:ascii="Arial" w:eastAsia="Verdana" w:hAnsi="Arial" w:cs="Arial"/>
          <w:sz w:val="18"/>
          <w:szCs w:val="18"/>
        </w:rPr>
      </w:pPr>
    </w:p>
    <w:p w14:paraId="15E39AE0" w14:textId="77777777" w:rsidR="0005489A" w:rsidRDefault="004B1ACD">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57B94E87" w14:textId="77777777" w:rsidR="0005489A" w:rsidRDefault="004B1ACD">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7B0671FF" w14:textId="77777777" w:rsidR="0005489A" w:rsidRDefault="0005489A">
      <w:pPr>
        <w:textAlignment w:val="baseline"/>
      </w:pPr>
    </w:p>
    <w:sectPr w:rsidR="0005489A">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29B3" w14:textId="77777777" w:rsidR="00BA462A" w:rsidRDefault="004B1ACD">
      <w:r>
        <w:separator/>
      </w:r>
    </w:p>
  </w:endnote>
  <w:endnote w:type="continuationSeparator" w:id="0">
    <w:p w14:paraId="3745E28C" w14:textId="77777777" w:rsidR="00BA462A" w:rsidRDefault="004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EA19" w14:textId="77777777" w:rsidR="004B1ACD" w:rsidRDefault="004B1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01957"/>
      <w:docPartObj>
        <w:docPartGallery w:val="Page Numbers (Top of Page)"/>
        <w:docPartUnique/>
      </w:docPartObj>
    </w:sdtPr>
    <w:sdtEndPr/>
    <w:sdtContent>
      <w:p w14:paraId="34A0686F" w14:textId="77777777" w:rsidR="0005489A" w:rsidRDefault="004B1ACD">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08D33C26" w14:textId="77777777" w:rsidR="0005489A" w:rsidRDefault="00CA436A">
        <w:pPr>
          <w:pStyle w:val="Footer"/>
          <w:jc w:val="center"/>
        </w:pPr>
      </w:p>
    </w:sdtContent>
  </w:sdt>
  <w:p w14:paraId="2AB73EC5" w14:textId="77777777" w:rsidR="0005489A" w:rsidRDefault="00054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469E" w14:textId="77777777" w:rsidR="004B1ACD" w:rsidRDefault="004B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431D" w14:textId="77777777" w:rsidR="00BA462A" w:rsidRDefault="004B1ACD">
      <w:r>
        <w:separator/>
      </w:r>
    </w:p>
  </w:footnote>
  <w:footnote w:type="continuationSeparator" w:id="0">
    <w:p w14:paraId="51E1A5A1" w14:textId="77777777" w:rsidR="00BA462A" w:rsidRDefault="004B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43B" w14:textId="77777777" w:rsidR="004B1ACD" w:rsidRDefault="004B1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6234" w14:textId="1D3A5451" w:rsidR="0005489A" w:rsidRDefault="004B1ACD">
    <w:pPr>
      <w:pStyle w:val="Header"/>
      <w:jc w:val="right"/>
    </w:pPr>
    <w:r>
      <w:rPr>
        <w:rFonts w:ascii="Arial" w:hAnsi="Arial" w:cs="Arial"/>
        <w:b/>
        <w:sz w:val="20"/>
        <w:szCs w:val="20"/>
      </w:rPr>
      <w:t>BORFOAM</w:t>
    </w:r>
    <w:r>
      <w:rPr>
        <w:rFonts w:ascii="Arial" w:hAnsi="Arial" w:cs="Arial"/>
        <w:sz w:val="20"/>
        <w:szCs w:val="20"/>
      </w:rPr>
      <w:tab/>
    </w:r>
    <w:r>
      <w:rPr>
        <w:rFonts w:ascii="Arial" w:hAnsi="Arial" w:cs="Arial"/>
        <w:sz w:val="20"/>
        <w:szCs w:val="20"/>
      </w:rPr>
      <w:tab/>
      <w:t xml:space="preserve">             Date Of Issue: November 2020</w:t>
    </w:r>
  </w:p>
  <w:p w14:paraId="44F320C2" w14:textId="3FDFDC77" w:rsidR="0005489A" w:rsidRDefault="004B1ACD">
    <w:pPr>
      <w:pStyle w:val="Header"/>
      <w:jc w:val="right"/>
    </w:pPr>
    <w:r>
      <w:rPr>
        <w:rFonts w:ascii="Arial" w:hAnsi="Arial" w:cs="Arial"/>
        <w:sz w:val="20"/>
        <w:szCs w:val="20"/>
      </w:rPr>
      <w:t xml:space="preserve">Revision Date: </w:t>
    </w:r>
    <w:r w:rsidR="00CA436A">
      <w:rPr>
        <w:rFonts w:ascii="Arial" w:hAnsi="Arial" w:cs="Arial"/>
        <w:sz w:val="20"/>
        <w:szCs w:val="20"/>
      </w:rPr>
      <w:t>1</w:t>
    </w:r>
    <w:r w:rsidR="00CA436A" w:rsidRPr="00CA436A">
      <w:rPr>
        <w:rFonts w:ascii="Arial" w:hAnsi="Arial" w:cs="Arial"/>
        <w:sz w:val="20"/>
        <w:szCs w:val="20"/>
        <w:vertAlign w:val="superscript"/>
      </w:rPr>
      <w:t>st</w:t>
    </w:r>
    <w:r w:rsidR="00CA436A">
      <w:rPr>
        <w:rFonts w:ascii="Arial" w:hAnsi="Arial" w:cs="Arial"/>
        <w:sz w:val="20"/>
        <w:szCs w:val="20"/>
      </w:rPr>
      <w:t xml:space="preserve"> January</w:t>
    </w:r>
    <w:r>
      <w:rPr>
        <w:rFonts w:ascii="Arial" w:hAnsi="Arial" w:cs="Arial"/>
        <w:sz w:val="20"/>
        <w:szCs w:val="20"/>
      </w:rPr>
      <w:t xml:space="preserve"> 202</w:t>
    </w:r>
    <w:r w:rsidR="00CA436A">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1D37" w14:textId="77777777" w:rsidR="004B1ACD" w:rsidRDefault="004B1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573"/>
    <w:multiLevelType w:val="multilevel"/>
    <w:tmpl w:val="C158E52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21631468"/>
    <w:multiLevelType w:val="multilevel"/>
    <w:tmpl w:val="380C6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732750"/>
    <w:multiLevelType w:val="multilevel"/>
    <w:tmpl w:val="BE4E55C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439B6121"/>
    <w:multiLevelType w:val="multilevel"/>
    <w:tmpl w:val="056E93B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9671071"/>
    <w:multiLevelType w:val="multilevel"/>
    <w:tmpl w:val="05A25F6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D5513A"/>
    <w:multiLevelType w:val="multilevel"/>
    <w:tmpl w:val="C4265DC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0A974B9"/>
    <w:multiLevelType w:val="multilevel"/>
    <w:tmpl w:val="36D2837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2DC26B4"/>
    <w:multiLevelType w:val="multilevel"/>
    <w:tmpl w:val="FD38F96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F954BBE"/>
    <w:multiLevelType w:val="multilevel"/>
    <w:tmpl w:val="0BBEB2C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902671298">
    <w:abstractNumId w:val="2"/>
  </w:num>
  <w:num w:numId="2" w16cid:durableId="1910723758">
    <w:abstractNumId w:val="4"/>
  </w:num>
  <w:num w:numId="3" w16cid:durableId="1207912007">
    <w:abstractNumId w:val="7"/>
  </w:num>
  <w:num w:numId="4" w16cid:durableId="1338658716">
    <w:abstractNumId w:val="6"/>
  </w:num>
  <w:num w:numId="5" w16cid:durableId="1059596541">
    <w:abstractNumId w:val="8"/>
  </w:num>
  <w:num w:numId="6" w16cid:durableId="651635935">
    <w:abstractNumId w:val="5"/>
  </w:num>
  <w:num w:numId="7" w16cid:durableId="912202428">
    <w:abstractNumId w:val="0"/>
  </w:num>
  <w:num w:numId="8" w16cid:durableId="103887785">
    <w:abstractNumId w:val="3"/>
  </w:num>
  <w:num w:numId="9" w16cid:durableId="149082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9A"/>
    <w:rsid w:val="0005489A"/>
    <w:rsid w:val="004B1ACD"/>
    <w:rsid w:val="00BA462A"/>
    <w:rsid w:val="00CA436A"/>
    <w:rsid w:val="00DC26A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ACEF0E5"/>
  <w15:docId w15:val="{52760B02-1B84-489A-8730-9276F69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Props1.xml><?xml version="1.0" encoding="utf-8"?>
<ds:datastoreItem xmlns:ds="http://schemas.openxmlformats.org/officeDocument/2006/customXml" ds:itemID="{D490471B-B655-4EB3-9CB2-D737A9419C17}">
  <ds:schemaRefs>
    <ds:schemaRef ds:uri="http://schemas.microsoft.com/sharepoint/v3/contenttype/forms"/>
  </ds:schemaRefs>
</ds:datastoreItem>
</file>

<file path=customXml/itemProps2.xml><?xml version="1.0" encoding="utf-8"?>
<ds:datastoreItem xmlns:ds="http://schemas.openxmlformats.org/officeDocument/2006/customXml" ds:itemID="{090F067F-E52A-4FB7-8321-37B3A2F802D9}"/>
</file>

<file path=customXml/itemProps3.xml><?xml version="1.0" encoding="utf-8"?>
<ds:datastoreItem xmlns:ds="http://schemas.openxmlformats.org/officeDocument/2006/customXml" ds:itemID="{CA83D47E-B52A-4025-9E1F-6F9363B9BBD5}">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1208</Words>
  <Characters>6890</Characters>
  <Application>Microsoft Office Word</Application>
  <DocSecurity>0</DocSecurity>
  <Lines>57</Lines>
  <Paragraphs>16</Paragraphs>
  <ScaleCrop>false</ScaleCrop>
  <Company>Grizli777</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2016-12-13T06:37:00Z</dcterms:created>
  <dcterms:modified xsi:type="dcterms:W3CDTF">2025-03-20T22:20:00Z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