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  <w:sectPr>
          <w:headerReference r:id="rId7" w:type="default"/>
          <w:headerReference r:id="rId8" w:type="first"/>
          <w:footerReference r:id="rId9" w:type="first"/>
          <w:pgSz w:h="15840" w:w="12240" w:orient="portrait"/>
          <w:pgMar w:bottom="1440" w:top="1080" w:left="1800" w:right="1800" w:header="720" w:footer="720"/>
          <w:pgNumType w:start="1"/>
        </w:sectPr>
      </w:pPr>
      <w:r w:rsidDel="00000000" w:rsidR="00000000" w:rsidRPr="00000000">
        <w:rPr>
          <w:rFonts w:ascii="EB Garamond" w:cs="EB Garamond" w:eastAsia="EB Garamond" w:hAnsi="EB Garamond"/>
          <w:color w:val="000000"/>
          <w:sz w:val="44"/>
          <w:szCs w:val="44"/>
          <w:rtl w:val="0"/>
        </w:rPr>
        <w:t xml:space="preserve">2026 Partnership Tax Document Checklist </w:t>
      </w:r>
      <w:r w:rsidDel="00000000" w:rsidR="00000000" w:rsidRPr="00000000">
        <w:rPr>
          <w:rFonts w:ascii="EB Garamond" w:cs="EB Garamond" w:eastAsia="EB Garamond" w:hAnsi="EB Garamond"/>
          <w:color w:val="000000"/>
          <w:sz w:val="36"/>
          <w:szCs w:val="36"/>
          <w:rtl w:val="0"/>
        </w:rPr>
        <w:t xml:space="preserve">(Form 1065)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Business Information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Partnership or LLC Agreement (and amendments)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EIN confirmation letter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Partner names, addresses, and ownership percentages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Prior year’s Form 1065 and K-1s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Income Records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Sales or service income (invoices, 1099-NEC, 1099-MISC)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Bank statements (all business accounts)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Other income (interest, dividends, rent, etc.)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Expense Records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Categorized expense ledger (QuickBooks, spreadsheet, etc.)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Receipts for major expenses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Vehicle mileage or actual expense logs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Payroll records (if applicable)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Rent, utilities, insurance, and professional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Assets &amp; Depreciation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List of new equipment or property purchased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Dates placed in service and cost basis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Details for assets sold or disposed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Prior depreciation schedules (if applicable)</w:t>
      </w:r>
    </w:p>
    <w:p w:rsidR="00000000" w:rsidDel="00000000" w:rsidP="00000000" w:rsidRDefault="00000000" w:rsidRPr="00000000" w14:paraId="00000016">
      <w:pPr>
        <w:pStyle w:val="Heading2"/>
        <w:ind w:right="-360"/>
        <w:rPr/>
      </w:pPr>
      <w:r w:rsidDel="00000000" w:rsidR="00000000" w:rsidRPr="00000000">
        <w:rPr>
          <w:rtl w:val="0"/>
        </w:rPr>
        <w:t xml:space="preserve">Loans &amp; Capital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Loan statements (including new loans)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Partner capital contributions and withdrawals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Notes for any related-party loans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Tax-Specific Items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Section 179 expense elections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Bonus depreciation (100% under OBBBA rules for 2025 acquisitions)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Qualified Business Income (QBI) information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Business use-of-home expenses (if applicable)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After Filing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Schedule K-1s to be issued to all partners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Confirm partner mailing or delivery preferences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Reminders &amp; Deadlines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Form 1065 due March 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(extended to Sept 15,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Form 7004 filed)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K-1s must be distributed by March 15,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 ☐ Maintain all supporting documentation for 7 years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left"/>
        <w:rPr/>
        <w:sectPr>
          <w:type w:val="continuous"/>
          <w:pgSz w:h="15840" w:w="12240" w:orient="portrait"/>
          <w:pgMar w:bottom="540" w:top="1440" w:left="1170" w:right="690" w:header="720" w:footer="720"/>
          <w:cols w:equalWidth="0" w:num="2" w:sep="1">
            <w:col w:space="720" w:w="4830"/>
            <w:col w:space="0" w:w="483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For assistance or secure document upload links, contact Elite Financial Consulting LLC.</w:t>
        <w:br w:type="textWrapping"/>
        <w:t xml:space="preserve">📧 TXelitefin@gmail.com or Karla@TXEliteFin.com | 📞 830-515-2414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Style w:val="Title"/>
      <w:spacing w:after="0" w:lineRule="auto"/>
      <w:jc w:val="center"/>
      <w:rPr>
        <w:rFonts w:ascii="EB Garamond" w:cs="EB Garamond" w:eastAsia="EB Garamond" w:hAnsi="EB Garamond"/>
      </w:rPr>
    </w:pPr>
    <w:bookmarkStart w:colFirst="0" w:colLast="0" w:name="_heading=h.n42wpzgb74gm" w:id="0"/>
    <w:bookmarkEnd w:id="0"/>
    <w:r w:rsidDel="00000000" w:rsidR="00000000" w:rsidRPr="00000000">
      <w:rPr>
        <w:rFonts w:ascii="EB Garamond" w:cs="EB Garamond" w:eastAsia="EB Garamond" w:hAnsi="EB Garamond"/>
        <w:rtl w:val="0"/>
      </w:rPr>
      <w:t xml:space="preserve">Elite Financial Consulting LLC</w:t>
    </w:r>
  </w:p>
  <w:p w:rsidR="00000000" w:rsidDel="00000000" w:rsidP="00000000" w:rsidRDefault="00000000" w:rsidRPr="00000000" w14:paraId="0000002A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2075 FM 2673 suite D</w:t>
    </w:r>
    <w:r w:rsidDel="00000000" w:rsidR="00000000" w:rsidRPr="00000000">
      <w:rPr>
        <w:rtl w:val="0"/>
      </w:rPr>
      <w:t xml:space="preserve">, Canyon Lake, TX 78133</w:t>
    </w:r>
  </w:p>
  <w:p w:rsidR="00000000" w:rsidDel="00000000" w:rsidP="00000000" w:rsidRDefault="00000000" w:rsidRPr="00000000" w14:paraId="0000002B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Phone: 830-515-2414 | Email: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Txelitefin@gmail.com</w:t>
      </w:r>
    </w:hyperlink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Txelitef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AbX0IdO1SGP/Zg+8sh+M8p9pNw==">CgMxLjAyDmgubjQyd3B6Z2I3NGdtOAByITFlM25XdEkwVVNXRk83UHJ1ak5GdXlZanVPaW1DUUpISw==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