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1FE3" w14:textId="042A68C8" w:rsidR="001B5224" w:rsidRPr="001B5224" w:rsidRDefault="001B5224" w:rsidP="001B5224">
      <w:pPr>
        <w:jc w:val="center"/>
        <w:rPr>
          <w:b/>
          <w:bCs/>
          <w:sz w:val="32"/>
          <w:szCs w:val="32"/>
        </w:rPr>
      </w:pPr>
      <w:r w:rsidRPr="001B5224">
        <w:rPr>
          <w:b/>
          <w:bCs/>
          <w:sz w:val="32"/>
          <w:szCs w:val="32"/>
        </w:rPr>
        <w:t>October Connecting Christian Media Call</w:t>
      </w:r>
      <w:r>
        <w:rPr>
          <w:b/>
          <w:bCs/>
          <w:sz w:val="32"/>
          <w:szCs w:val="32"/>
        </w:rPr>
        <w:t xml:space="preserve"> Notes</w:t>
      </w:r>
    </w:p>
    <w:p w14:paraId="7A9894BF" w14:textId="5763CB76" w:rsidR="001B5224" w:rsidRPr="00430202" w:rsidRDefault="001B5224" w:rsidP="001B5224">
      <w:r w:rsidRPr="00430202">
        <w:t xml:space="preserve">Miss this month’s </w:t>
      </w:r>
      <w:r w:rsidR="00430202" w:rsidRPr="00430202">
        <w:t>call?  Catch us in November for a Master Class!</w:t>
      </w:r>
      <w:r w:rsidR="00430202">
        <w:t xml:space="preserve">  Email Rebecca at </w:t>
      </w:r>
      <w:hyperlink r:id="rId5" w:history="1">
        <w:r w:rsidR="00430202" w:rsidRPr="00B460D9">
          <w:rPr>
            <w:rStyle w:val="Hyperlink"/>
          </w:rPr>
          <w:t>office@theacp.org</w:t>
        </w:r>
      </w:hyperlink>
      <w:r w:rsidR="00430202">
        <w:t xml:space="preserve"> to be added to the meeting invite.</w:t>
      </w:r>
    </w:p>
    <w:p w14:paraId="4672CF2A" w14:textId="46DC4E71" w:rsidR="001B5224" w:rsidRPr="00430202" w:rsidRDefault="001B5224" w:rsidP="00430202">
      <w:pPr>
        <w:jc w:val="center"/>
        <w:rPr>
          <w:sz w:val="28"/>
          <w:szCs w:val="28"/>
        </w:rPr>
      </w:pPr>
      <w:r w:rsidRPr="00430202">
        <w:rPr>
          <w:b/>
          <w:bCs/>
          <w:sz w:val="28"/>
          <w:szCs w:val="28"/>
        </w:rPr>
        <w:t>Centering query</w:t>
      </w:r>
      <w:proofErr w:type="gramStart"/>
      <w:r w:rsidRPr="00430202">
        <w:rPr>
          <w:b/>
          <w:bCs/>
          <w:sz w:val="28"/>
          <w:szCs w:val="28"/>
        </w:rPr>
        <w:t xml:space="preserve">:  </w:t>
      </w:r>
      <w:r w:rsidRPr="00430202">
        <w:rPr>
          <w:sz w:val="28"/>
          <w:szCs w:val="28"/>
        </w:rPr>
        <w:t>What</w:t>
      </w:r>
      <w:proofErr w:type="gramEnd"/>
      <w:r w:rsidRPr="00430202">
        <w:rPr>
          <w:sz w:val="28"/>
          <w:szCs w:val="28"/>
        </w:rPr>
        <w:t xml:space="preserve"> are ways subscriptions can be reframed as a community?  How can the entire news organization engage with the community?</w:t>
      </w:r>
    </w:p>
    <w:p w14:paraId="4810D18A" w14:textId="77777777" w:rsidR="000408C0" w:rsidRPr="009223FA" w:rsidRDefault="000408C0" w:rsidP="000408C0">
      <w:r w:rsidRPr="009223FA">
        <w:t xml:space="preserve">The conversation underscores a </w:t>
      </w:r>
      <w:r w:rsidRPr="009223FA">
        <w:rPr>
          <w:i/>
          <w:iCs/>
        </w:rPr>
        <w:t>strategic transformation</w:t>
      </w:r>
      <w:r w:rsidRPr="009223FA">
        <w:t>: from transactional publishing to relational community building. Revenue now follows engagement, not the reverse. Success depends on cultivating reader trust, building owned lists, and embracing transparency — all while diversifying income beyond traditional models.</w:t>
      </w:r>
    </w:p>
    <w:p w14:paraId="4942E173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1. Redefining Reader Relationships</w:t>
      </w:r>
    </w:p>
    <w:p w14:paraId="25CFE593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Theme: From Gatekeepers to Caretakers</w:t>
      </w:r>
    </w:p>
    <w:p w14:paraId="33A7085A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 xml:space="preserve">Publishers must move from simply producing content to cultivating </w:t>
      </w:r>
      <w:r w:rsidRPr="009223FA">
        <w:rPr>
          <w:i/>
          <w:iCs/>
        </w:rPr>
        <w:t>responsive relationships</w:t>
      </w:r>
      <w:r w:rsidRPr="009223FA">
        <w:t xml:space="preserve"> with readers.</w:t>
      </w:r>
    </w:p>
    <w:p w14:paraId="29F83745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Engagement — listening, responding, and inviting participation — is now the most direct path to revenue.</w:t>
      </w:r>
    </w:p>
    <w:p w14:paraId="326D0BFD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 xml:space="preserve">Treat readers as </w:t>
      </w:r>
      <w:r w:rsidRPr="009223FA">
        <w:rPr>
          <w:i/>
          <w:iCs/>
        </w:rPr>
        <w:t>partners, sustainers, and contributors</w:t>
      </w:r>
      <w:r w:rsidRPr="009223FA">
        <w:t>, not passive consumers.</w:t>
      </w:r>
    </w:p>
    <w:p w14:paraId="1C71AC0C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 xml:space="preserve">Example: </w:t>
      </w:r>
      <w:r w:rsidRPr="009223FA">
        <w:rPr>
          <w:i/>
          <w:iCs/>
        </w:rPr>
        <w:t>The Sun Magazine</w:t>
      </w:r>
      <w:r w:rsidRPr="009223FA">
        <w:t xml:space="preserve"> model — reader-supported, submission-based, and deeply relational.</w:t>
      </w:r>
    </w:p>
    <w:p w14:paraId="4FE2189B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Action Points:</w:t>
      </w:r>
    </w:p>
    <w:p w14:paraId="2FD6E0C1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Build engagement plans for daily reader interaction.</w:t>
      </w:r>
    </w:p>
    <w:p w14:paraId="61791BE9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Create content pipelines that include reader feedback loops, polls, and participatory submissions.</w:t>
      </w:r>
    </w:p>
    <w:p w14:paraId="7E30A4A3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Implement behind-the-scenes content (e.g., editor insights, newsroom diaries) to humanize the organization.</w:t>
      </w:r>
    </w:p>
    <w:p w14:paraId="3870E20B" w14:textId="77777777" w:rsidR="009223FA" w:rsidRDefault="009223FA" w:rsidP="009223FA">
      <w:pPr>
        <w:rPr>
          <w:b/>
          <w:bCs/>
        </w:rPr>
      </w:pPr>
    </w:p>
    <w:p w14:paraId="615B9E45" w14:textId="6A8982EE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2. Revenue Diversification Beyond Ads and Subscriptions</w:t>
      </w:r>
    </w:p>
    <w:p w14:paraId="12D39B54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Theme: Fundraising as a Core Strategy</w:t>
      </w:r>
    </w:p>
    <w:p w14:paraId="5AFAAC52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Traditional ad sales and print subscriptions can no longer sustain operations.</w:t>
      </w:r>
    </w:p>
    <w:p w14:paraId="5DB1B894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lastRenderedPageBreak/>
        <w:t>Publications must integrate fundraising — treating readers as mission-driven donors, not just customers.</w:t>
      </w:r>
    </w:p>
    <w:p w14:paraId="0602EA19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Consider models like “membership” rather than “subscription,” offering exclusive benefits and deeper connection.</w:t>
      </w:r>
    </w:p>
    <w:p w14:paraId="38DB7CE0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Action Points:</w:t>
      </w:r>
    </w:p>
    <w:p w14:paraId="57527544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Develop tiered membership or donor programs.</w:t>
      </w:r>
    </w:p>
    <w:p w14:paraId="11698E05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Incorporate automatic renewals where possible to stabilize income.</w:t>
      </w:r>
    </w:p>
    <w:p w14:paraId="197A00E7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Train staff to think in stewardship terms — blending editorial and development mindsets.</w:t>
      </w:r>
    </w:p>
    <w:p w14:paraId="6068DA60" w14:textId="77777777" w:rsidR="009223FA" w:rsidRDefault="009223FA" w:rsidP="009223FA">
      <w:pPr>
        <w:rPr>
          <w:b/>
          <w:bCs/>
        </w:rPr>
      </w:pPr>
    </w:p>
    <w:p w14:paraId="16A8E402" w14:textId="75B5F444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3. Audience Development and List Building</w:t>
      </w:r>
    </w:p>
    <w:p w14:paraId="683FEB6E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Theme: Own Your Audience</w:t>
      </w:r>
    </w:p>
    <w:p w14:paraId="7737B878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Email lists remain the backbone of sustainable growth.</w:t>
      </w:r>
    </w:p>
    <w:p w14:paraId="2FACC7CF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Renting or trading lists is difficult due to trust and ethics concerns — building organically is more resilient.</w:t>
      </w:r>
    </w:p>
    <w:p w14:paraId="127A1F8D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Platforms like Substack can help early growth but limit ownership at scale.</w:t>
      </w:r>
    </w:p>
    <w:p w14:paraId="72192568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Sponsored emails remain powerful tools for both list growth and revenue.</w:t>
      </w:r>
    </w:p>
    <w:p w14:paraId="49BD0808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Action Points:</w:t>
      </w:r>
    </w:p>
    <w:p w14:paraId="73EA017B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Strengthen list-building tools (pop-ups, incentives, lead magnets).</w:t>
      </w:r>
    </w:p>
    <w:p w14:paraId="7347BF12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Use newsletters to drive relationship-building and conversion.</w:t>
      </w:r>
    </w:p>
    <w:p w14:paraId="227A0B41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Explore ethical partnerships for list exchanges or co-marketing with aligned organizations.</w:t>
      </w:r>
    </w:p>
    <w:p w14:paraId="10ADC64C" w14:textId="77777777" w:rsidR="009223FA" w:rsidRDefault="009223FA" w:rsidP="009223FA">
      <w:pPr>
        <w:rPr>
          <w:b/>
          <w:bCs/>
        </w:rPr>
      </w:pPr>
    </w:p>
    <w:p w14:paraId="29FFDC3C" w14:textId="1B5E6DFA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4. Evolving the Role of Social Media</w:t>
      </w:r>
    </w:p>
    <w:p w14:paraId="57B0A5D0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Theme: From Traffic Driver to Brand Maintenance</w:t>
      </w:r>
    </w:p>
    <w:p w14:paraId="2ED6095C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Social media’s impact on referral traffic and conversions has plummeted (now &lt;10%).</w:t>
      </w:r>
    </w:p>
    <w:p w14:paraId="6431DE5E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It remains important for visibility and expectation management, but not for core revenue.</w:t>
      </w:r>
    </w:p>
    <w:p w14:paraId="682CB515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Focus must shift from follower counts to email conversions and community engagement.</w:t>
      </w:r>
    </w:p>
    <w:p w14:paraId="162BC6EA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Action Points:</w:t>
      </w:r>
    </w:p>
    <w:p w14:paraId="287AC225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proofErr w:type="gramStart"/>
      <w:r w:rsidRPr="009223FA">
        <w:lastRenderedPageBreak/>
        <w:t>Reallocate</w:t>
      </w:r>
      <w:proofErr w:type="gramEnd"/>
      <w:r w:rsidRPr="009223FA">
        <w:t xml:space="preserve"> resources from social posting volume to email list conversion funnels.</w:t>
      </w:r>
    </w:p>
    <w:p w14:paraId="0876D5B1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Use social channels to promote engagement opportunities (polls, live events, newsletters).</w:t>
      </w:r>
    </w:p>
    <w:p w14:paraId="51F0AF62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Measure success by audience relationships, not just reach metrics.</w:t>
      </w:r>
    </w:p>
    <w:p w14:paraId="292A5BB7" w14:textId="77777777" w:rsidR="009223FA" w:rsidRDefault="009223FA" w:rsidP="009223FA">
      <w:pPr>
        <w:rPr>
          <w:b/>
          <w:bCs/>
        </w:rPr>
      </w:pPr>
    </w:p>
    <w:p w14:paraId="211FBE0E" w14:textId="41991794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5. Reader-Driven Editorial and Community Building</w:t>
      </w:r>
    </w:p>
    <w:p w14:paraId="59CAE13F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Theme: Radical Responsiveness</w:t>
      </w:r>
    </w:p>
    <w:p w14:paraId="573016A3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Create direct lines between editorial teams and readers.</w:t>
      </w:r>
    </w:p>
    <w:p w14:paraId="6AE14281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Encourage younger staff who are naturally inclined toward audience engagement to lead cultural change.</w:t>
      </w:r>
    </w:p>
    <w:p w14:paraId="5EC14027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Model: NCR Forward — insider newsletter connecting readers to editors, reporters, and business teams.</w:t>
      </w:r>
    </w:p>
    <w:p w14:paraId="36C70A96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Action Points:</w:t>
      </w:r>
    </w:p>
    <w:p w14:paraId="0CEDDDFC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Develop interactive newsletters with polls, responses, and editorial transparency.</w:t>
      </w:r>
    </w:p>
    <w:p w14:paraId="1C69B696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Feature reader letters, Q&amp;As, and editorial response columns.</w:t>
      </w:r>
    </w:p>
    <w:p w14:paraId="1E8E4826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Build systems for collecting and acting on reader insights.</w:t>
      </w:r>
    </w:p>
    <w:p w14:paraId="0590E419" w14:textId="77777777" w:rsidR="009223FA" w:rsidRDefault="009223FA" w:rsidP="009223FA">
      <w:pPr>
        <w:rPr>
          <w:b/>
          <w:bCs/>
        </w:rPr>
      </w:pPr>
    </w:p>
    <w:p w14:paraId="6FA5322B" w14:textId="480BBE50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6. Guarding Content in the AI Era</w:t>
      </w:r>
    </w:p>
    <w:p w14:paraId="2F827D1B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Theme: Protecting Value in a Scraping Economy</w:t>
      </w:r>
    </w:p>
    <w:p w14:paraId="3C06346C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Religious and niche publishers are less affected by AI so far, but risks are growing.</w:t>
      </w:r>
    </w:p>
    <w:p w14:paraId="5515F53D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Publications must safeguard their original content from AI crawlers and unauthorized reuse.</w:t>
      </w:r>
    </w:p>
    <w:p w14:paraId="466E157A" w14:textId="77777777" w:rsidR="009223FA" w:rsidRPr="009223FA" w:rsidRDefault="009223FA" w:rsidP="009223FA">
      <w:pPr>
        <w:rPr>
          <w:b/>
          <w:bCs/>
        </w:rPr>
      </w:pPr>
      <w:r w:rsidRPr="009223FA">
        <w:rPr>
          <w:b/>
          <w:bCs/>
        </w:rPr>
        <w:t>Action Points:</w:t>
      </w:r>
    </w:p>
    <w:p w14:paraId="083ACDE1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Implement technical barriers (robots.txt, anti-scraping measures).</w:t>
      </w:r>
    </w:p>
    <w:p w14:paraId="52F8DB12" w14:textId="77777777" w:rsidR="009223FA" w:rsidRPr="009223FA" w:rsidRDefault="009223FA" w:rsidP="009223FA">
      <w:pPr>
        <w:numPr>
          <w:ilvl w:val="0"/>
          <w:numId w:val="3"/>
        </w:numPr>
        <w:spacing w:before="40" w:after="40" w:line="240" w:lineRule="auto"/>
      </w:pPr>
      <w:r w:rsidRPr="009223FA">
        <w:t>Monitor emerging content protection tools.</w:t>
      </w:r>
    </w:p>
    <w:p w14:paraId="306C69DE" w14:textId="04C5668C" w:rsidR="001B5224" w:rsidRPr="000408C0" w:rsidRDefault="009223FA" w:rsidP="002209C7">
      <w:pPr>
        <w:numPr>
          <w:ilvl w:val="0"/>
          <w:numId w:val="3"/>
        </w:numPr>
        <w:spacing w:before="40" w:after="40" w:line="240" w:lineRule="auto"/>
      </w:pPr>
      <w:r w:rsidRPr="009223FA">
        <w:t>Communicate to readers the value of human-produced, mission-driven content.</w:t>
      </w:r>
    </w:p>
    <w:sectPr w:rsidR="001B5224" w:rsidRPr="000408C0" w:rsidSect="002209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1BA4"/>
    <w:multiLevelType w:val="multilevel"/>
    <w:tmpl w:val="3A1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30249"/>
    <w:multiLevelType w:val="multilevel"/>
    <w:tmpl w:val="BEEC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701D8"/>
    <w:multiLevelType w:val="multilevel"/>
    <w:tmpl w:val="EC52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315AB"/>
    <w:multiLevelType w:val="multilevel"/>
    <w:tmpl w:val="0EE6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57070"/>
    <w:multiLevelType w:val="multilevel"/>
    <w:tmpl w:val="A75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03E64"/>
    <w:multiLevelType w:val="multilevel"/>
    <w:tmpl w:val="AC9A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B5522"/>
    <w:multiLevelType w:val="multilevel"/>
    <w:tmpl w:val="796E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B4B99"/>
    <w:multiLevelType w:val="multilevel"/>
    <w:tmpl w:val="D960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914BD"/>
    <w:multiLevelType w:val="multilevel"/>
    <w:tmpl w:val="B122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3271B"/>
    <w:multiLevelType w:val="multilevel"/>
    <w:tmpl w:val="DF78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F6BB4"/>
    <w:multiLevelType w:val="multilevel"/>
    <w:tmpl w:val="63E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71A4B"/>
    <w:multiLevelType w:val="multilevel"/>
    <w:tmpl w:val="EA8C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474F2"/>
    <w:multiLevelType w:val="multilevel"/>
    <w:tmpl w:val="659C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5123D"/>
    <w:multiLevelType w:val="multilevel"/>
    <w:tmpl w:val="AA96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186270">
    <w:abstractNumId w:val="4"/>
  </w:num>
  <w:num w:numId="2" w16cid:durableId="1714422898">
    <w:abstractNumId w:val="10"/>
  </w:num>
  <w:num w:numId="3" w16cid:durableId="88891938">
    <w:abstractNumId w:val="6"/>
  </w:num>
  <w:num w:numId="4" w16cid:durableId="1228885062">
    <w:abstractNumId w:val="12"/>
  </w:num>
  <w:num w:numId="5" w16cid:durableId="912087929">
    <w:abstractNumId w:val="7"/>
  </w:num>
  <w:num w:numId="6" w16cid:durableId="96490119">
    <w:abstractNumId w:val="13"/>
  </w:num>
  <w:num w:numId="7" w16cid:durableId="1298337535">
    <w:abstractNumId w:val="5"/>
  </w:num>
  <w:num w:numId="8" w16cid:durableId="1891261655">
    <w:abstractNumId w:val="11"/>
  </w:num>
  <w:num w:numId="9" w16cid:durableId="815537404">
    <w:abstractNumId w:val="9"/>
  </w:num>
  <w:num w:numId="10" w16cid:durableId="425541162">
    <w:abstractNumId w:val="0"/>
  </w:num>
  <w:num w:numId="11" w16cid:durableId="848831814">
    <w:abstractNumId w:val="1"/>
  </w:num>
  <w:num w:numId="12" w16cid:durableId="2122408835">
    <w:abstractNumId w:val="3"/>
  </w:num>
  <w:num w:numId="13" w16cid:durableId="889851922">
    <w:abstractNumId w:val="8"/>
  </w:num>
  <w:num w:numId="14" w16cid:durableId="1265532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C7"/>
    <w:rsid w:val="000408C0"/>
    <w:rsid w:val="000C2C71"/>
    <w:rsid w:val="00152CB0"/>
    <w:rsid w:val="001B5224"/>
    <w:rsid w:val="002209C7"/>
    <w:rsid w:val="002E7732"/>
    <w:rsid w:val="003A32DB"/>
    <w:rsid w:val="00430202"/>
    <w:rsid w:val="00537923"/>
    <w:rsid w:val="00705C4E"/>
    <w:rsid w:val="00720DAE"/>
    <w:rsid w:val="00812C8F"/>
    <w:rsid w:val="009223FA"/>
    <w:rsid w:val="00AB12A4"/>
    <w:rsid w:val="00E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33BB"/>
  <w15:chartTrackingRefBased/>
  <w15:docId w15:val="{1BA61091-8019-4C7B-B67A-76B9D883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9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9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heac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686</Words>
  <Characters>3587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Snyder</dc:creator>
  <cp:keywords/>
  <dc:description/>
  <cp:lastModifiedBy>Rebecca Snyder</cp:lastModifiedBy>
  <cp:revision>8</cp:revision>
  <dcterms:created xsi:type="dcterms:W3CDTF">2025-10-15T09:23:00Z</dcterms:created>
  <dcterms:modified xsi:type="dcterms:W3CDTF">2025-10-22T21:53:00Z</dcterms:modified>
</cp:coreProperties>
</file>