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B56E" w14:textId="77777777" w:rsidR="005F5453" w:rsidRPr="005F5453" w:rsidRDefault="005F5453" w:rsidP="005F5453">
      <w:pPr>
        <w:rPr>
          <w:b/>
          <w:bCs/>
        </w:rPr>
      </w:pPr>
      <w:r w:rsidRPr="005F5453">
        <w:rPr>
          <w:b/>
          <w:bCs/>
        </w:rPr>
        <w:t>Conflict of Interest Policy</w:t>
      </w:r>
    </w:p>
    <w:p w14:paraId="41A413E1" w14:textId="0914E8AF" w:rsidR="005F5453" w:rsidRPr="005F5453" w:rsidRDefault="005F5453" w:rsidP="005F5453">
      <w:r w:rsidRPr="005F5453">
        <w:rPr>
          <w:i/>
          <w:iCs/>
        </w:rPr>
        <w:t>Patched Up Providers, Inc.</w:t>
      </w:r>
      <w:r w:rsidRPr="005F5453">
        <w:br/>
      </w:r>
      <w:r w:rsidRPr="005F5453">
        <w:rPr>
          <w:i/>
          <w:iCs/>
        </w:rPr>
        <w:t>(</w:t>
      </w:r>
      <w:r>
        <w:rPr>
          <w:i/>
          <w:iCs/>
        </w:rPr>
        <w:t>February 1, 2024</w:t>
      </w:r>
      <w:r w:rsidRPr="005F5453">
        <w:rPr>
          <w:i/>
          <w:iCs/>
        </w:rPr>
        <w:t>])</w:t>
      </w:r>
    </w:p>
    <w:p w14:paraId="4E9B6D30" w14:textId="77777777" w:rsidR="005F5453" w:rsidRPr="005F5453" w:rsidRDefault="005F5453" w:rsidP="005F5453">
      <w:r w:rsidRPr="005F5453">
        <w:pict w14:anchorId="1C3AB10E">
          <v:rect id="_x0000_i1091" style="width:0;height:1.5pt" o:hralign="center" o:hrstd="t" o:hr="t" fillcolor="#a0a0a0" stroked="f"/>
        </w:pict>
      </w:r>
    </w:p>
    <w:p w14:paraId="3BB8AB18" w14:textId="77777777" w:rsidR="005F5453" w:rsidRPr="005F5453" w:rsidRDefault="005F5453" w:rsidP="005F5453">
      <w:pPr>
        <w:rPr>
          <w:b/>
          <w:bCs/>
        </w:rPr>
      </w:pPr>
      <w:r w:rsidRPr="005F5453">
        <w:rPr>
          <w:b/>
          <w:bCs/>
        </w:rPr>
        <w:t>Article I – Purpose</w:t>
      </w:r>
    </w:p>
    <w:p w14:paraId="36889DB2" w14:textId="77777777" w:rsidR="005F5453" w:rsidRPr="005F5453" w:rsidRDefault="005F5453" w:rsidP="005F5453">
      <w:r w:rsidRPr="005F5453">
        <w:t xml:space="preserve">The purpose of this </w:t>
      </w:r>
      <w:proofErr w:type="gramStart"/>
      <w:r w:rsidRPr="005F5453">
        <w:t>Conflict of Interest</w:t>
      </w:r>
      <w:proofErr w:type="gramEnd"/>
      <w:r w:rsidRPr="005F5453">
        <w:t xml:space="preserve"> Policy is to protect the interests of </w:t>
      </w:r>
      <w:r w:rsidRPr="005F5453">
        <w:rPr>
          <w:i/>
          <w:iCs/>
        </w:rPr>
        <w:t>Patched Up Providers, Inc.</w:t>
      </w:r>
      <w:r w:rsidRPr="005F5453">
        <w:t xml:space="preserve"> when it is considering </w:t>
      </w:r>
      <w:proofErr w:type="gramStart"/>
      <w:r w:rsidRPr="005F5453">
        <w:t>entering into</w:t>
      </w:r>
      <w:proofErr w:type="gramEnd"/>
      <w:r w:rsidRPr="005F5453">
        <w:t xml:space="preserve"> a transaction or arrangement that might benefit the private interest of a Director, Officer, or key employee. This policy is intended to supplement, not replace, any applicable state and federal laws governing nonprofit and charitable organizations.</w:t>
      </w:r>
    </w:p>
    <w:p w14:paraId="321697AC" w14:textId="77777777" w:rsidR="005F5453" w:rsidRPr="005F5453" w:rsidRDefault="005F5453" w:rsidP="005F5453">
      <w:r w:rsidRPr="005F5453">
        <w:pict w14:anchorId="12A7386F">
          <v:rect id="_x0000_i1092" style="width:0;height:1.5pt" o:hralign="center" o:hrstd="t" o:hr="t" fillcolor="#a0a0a0" stroked="f"/>
        </w:pict>
      </w:r>
    </w:p>
    <w:p w14:paraId="27C56B71" w14:textId="77777777" w:rsidR="005F5453" w:rsidRPr="005F5453" w:rsidRDefault="005F5453" w:rsidP="005F5453">
      <w:pPr>
        <w:rPr>
          <w:b/>
          <w:bCs/>
        </w:rPr>
      </w:pPr>
      <w:r w:rsidRPr="005F5453">
        <w:rPr>
          <w:b/>
          <w:bCs/>
        </w:rPr>
        <w:t>Article II – Definitions</w:t>
      </w:r>
    </w:p>
    <w:p w14:paraId="5BB78C3D" w14:textId="77777777" w:rsidR="005F5453" w:rsidRPr="005F5453" w:rsidRDefault="005F5453" w:rsidP="005F5453">
      <w:pPr>
        <w:numPr>
          <w:ilvl w:val="0"/>
          <w:numId w:val="1"/>
        </w:numPr>
      </w:pPr>
      <w:r w:rsidRPr="005F5453">
        <w:rPr>
          <w:b/>
          <w:bCs/>
        </w:rPr>
        <w:t>Interested Person</w:t>
      </w:r>
      <w:r w:rsidRPr="005F5453">
        <w:br/>
        <w:t>Any Director, Officer, or member of a committee with Board-delegated powers who has a direct or indirect financial interest is considered an “Interested Person.”</w:t>
      </w:r>
    </w:p>
    <w:p w14:paraId="2B8BF739" w14:textId="77777777" w:rsidR="005F5453" w:rsidRPr="005F5453" w:rsidRDefault="005F5453" w:rsidP="005F5453">
      <w:pPr>
        <w:numPr>
          <w:ilvl w:val="0"/>
          <w:numId w:val="1"/>
        </w:numPr>
      </w:pPr>
      <w:r w:rsidRPr="005F5453">
        <w:rPr>
          <w:b/>
          <w:bCs/>
        </w:rPr>
        <w:t>Financial Interest</w:t>
      </w:r>
      <w:r w:rsidRPr="005F5453">
        <w:br/>
        <w:t>A person has a financial interest if they have, directly or indirectly:</w:t>
      </w:r>
    </w:p>
    <w:p w14:paraId="3398113C" w14:textId="77777777" w:rsidR="005F5453" w:rsidRPr="005F5453" w:rsidRDefault="005F5453" w:rsidP="005F5453">
      <w:pPr>
        <w:numPr>
          <w:ilvl w:val="1"/>
          <w:numId w:val="1"/>
        </w:numPr>
      </w:pPr>
      <w:r w:rsidRPr="005F5453">
        <w:t xml:space="preserve">An ownership or investment interest in any entity with which the Corporation has a transaction or </w:t>
      </w:r>
      <w:proofErr w:type="gramStart"/>
      <w:r w:rsidRPr="005F5453">
        <w:t>arrangement;</w:t>
      </w:r>
      <w:proofErr w:type="gramEnd"/>
    </w:p>
    <w:p w14:paraId="6BDA083B" w14:textId="77777777" w:rsidR="005F5453" w:rsidRPr="005F5453" w:rsidRDefault="005F5453" w:rsidP="005F5453">
      <w:pPr>
        <w:numPr>
          <w:ilvl w:val="1"/>
          <w:numId w:val="1"/>
        </w:numPr>
      </w:pPr>
      <w:r w:rsidRPr="005F5453">
        <w:t>A compensation arrangement with the Corporation or with any entity or individual with which the Corporation has a transaction or arrangement; or</w:t>
      </w:r>
    </w:p>
    <w:p w14:paraId="267AACAE" w14:textId="77777777" w:rsidR="005F5453" w:rsidRPr="005F5453" w:rsidRDefault="005F5453" w:rsidP="005F5453">
      <w:pPr>
        <w:numPr>
          <w:ilvl w:val="1"/>
          <w:numId w:val="1"/>
        </w:numPr>
      </w:pPr>
      <w:r w:rsidRPr="005F5453">
        <w:t>A potential ownership, investment, or compensation arrangement with an entity or individual with which the Corporation is negotiating a transaction or arrangement.</w:t>
      </w:r>
    </w:p>
    <w:p w14:paraId="4B3F62C1" w14:textId="77777777" w:rsidR="005F5453" w:rsidRPr="005F5453" w:rsidRDefault="005F5453" w:rsidP="005F5453">
      <w:r w:rsidRPr="005F5453">
        <w:rPr>
          <w:i/>
          <w:iCs/>
        </w:rPr>
        <w:t>Compensation</w:t>
      </w:r>
      <w:r w:rsidRPr="005F5453">
        <w:t xml:space="preserve"> includes direct and indirect remuneration as well as gifts or favors that are substantial in nature.</w:t>
      </w:r>
    </w:p>
    <w:p w14:paraId="59BC7442" w14:textId="77777777" w:rsidR="005F5453" w:rsidRPr="005F5453" w:rsidRDefault="005F5453" w:rsidP="005F5453">
      <w:r w:rsidRPr="005F5453">
        <w:pict w14:anchorId="342CC5B4">
          <v:rect id="_x0000_i1093" style="width:0;height:1.5pt" o:hralign="center" o:hrstd="t" o:hr="t" fillcolor="#a0a0a0" stroked="f"/>
        </w:pict>
      </w:r>
    </w:p>
    <w:p w14:paraId="2DC4E244" w14:textId="77777777" w:rsidR="005F5453" w:rsidRPr="005F5453" w:rsidRDefault="005F5453" w:rsidP="005F5453">
      <w:pPr>
        <w:rPr>
          <w:b/>
          <w:bCs/>
        </w:rPr>
      </w:pPr>
      <w:r w:rsidRPr="005F5453">
        <w:rPr>
          <w:b/>
          <w:bCs/>
        </w:rPr>
        <w:t>Article III – Duty to Disclose</w:t>
      </w:r>
    </w:p>
    <w:p w14:paraId="75291FD2" w14:textId="77777777" w:rsidR="005F5453" w:rsidRPr="005F5453" w:rsidRDefault="005F5453" w:rsidP="005F5453">
      <w:r w:rsidRPr="005F5453">
        <w:t xml:space="preserve">In connection with any actual or possible conflict of interest, an Interested Person must disclose the existence of </w:t>
      </w:r>
      <w:proofErr w:type="gramStart"/>
      <w:r w:rsidRPr="005F5453">
        <w:t>the financial</w:t>
      </w:r>
      <w:proofErr w:type="gramEnd"/>
      <w:r w:rsidRPr="005F5453">
        <w:t xml:space="preserve"> interest and be given the opportunity to disclose all material facts to the Board of Directors.</w:t>
      </w:r>
    </w:p>
    <w:p w14:paraId="45B6A251" w14:textId="77777777" w:rsidR="005F5453" w:rsidRPr="005F5453" w:rsidRDefault="005F5453" w:rsidP="005F5453">
      <w:r w:rsidRPr="005F5453">
        <w:lastRenderedPageBreak/>
        <w:pict w14:anchorId="34A959E4">
          <v:rect id="_x0000_i1094" style="width:0;height:1.5pt" o:hralign="center" o:hrstd="t" o:hr="t" fillcolor="#a0a0a0" stroked="f"/>
        </w:pict>
      </w:r>
    </w:p>
    <w:p w14:paraId="0A7DCDFA" w14:textId="77777777" w:rsidR="005F5453" w:rsidRPr="005F5453" w:rsidRDefault="005F5453" w:rsidP="005F5453">
      <w:pPr>
        <w:rPr>
          <w:b/>
          <w:bCs/>
        </w:rPr>
      </w:pPr>
      <w:r w:rsidRPr="005F5453">
        <w:rPr>
          <w:b/>
          <w:bCs/>
        </w:rPr>
        <w:t>Article IV – Procedures</w:t>
      </w:r>
    </w:p>
    <w:p w14:paraId="1753AD6A" w14:textId="77777777" w:rsidR="005F5453" w:rsidRPr="005F5453" w:rsidRDefault="005F5453" w:rsidP="005F5453">
      <w:pPr>
        <w:numPr>
          <w:ilvl w:val="0"/>
          <w:numId w:val="2"/>
        </w:numPr>
      </w:pPr>
      <w:r w:rsidRPr="005F5453">
        <w:rPr>
          <w:b/>
          <w:bCs/>
        </w:rPr>
        <w:t>Determining Whether a Conflict Exists</w:t>
      </w:r>
      <w:r w:rsidRPr="005F5453">
        <w:br/>
        <w:t>After disclosure of the financial interest and all material facts, the Board shall decide if a conflict of interest exists.</w:t>
      </w:r>
    </w:p>
    <w:p w14:paraId="00307AD4" w14:textId="77777777" w:rsidR="005F5453" w:rsidRPr="005F5453" w:rsidRDefault="005F5453" w:rsidP="005F5453">
      <w:pPr>
        <w:numPr>
          <w:ilvl w:val="0"/>
          <w:numId w:val="2"/>
        </w:numPr>
      </w:pPr>
      <w:r w:rsidRPr="005F5453">
        <w:rPr>
          <w:b/>
          <w:bCs/>
        </w:rPr>
        <w:t>Addressing the Conflict of Interest</w:t>
      </w:r>
    </w:p>
    <w:p w14:paraId="5EE4B6C9" w14:textId="77777777" w:rsidR="005F5453" w:rsidRPr="005F5453" w:rsidRDefault="005F5453" w:rsidP="005F5453">
      <w:pPr>
        <w:numPr>
          <w:ilvl w:val="1"/>
          <w:numId w:val="2"/>
        </w:numPr>
      </w:pPr>
      <w:r w:rsidRPr="005F5453">
        <w:t>The Interested Person may make a presentation to the Board but must leave the meeting during the discussion and vote on the transaction.</w:t>
      </w:r>
    </w:p>
    <w:p w14:paraId="07451777" w14:textId="77777777" w:rsidR="005F5453" w:rsidRPr="005F5453" w:rsidRDefault="005F5453" w:rsidP="005F5453">
      <w:pPr>
        <w:numPr>
          <w:ilvl w:val="1"/>
          <w:numId w:val="2"/>
        </w:numPr>
      </w:pPr>
      <w:r w:rsidRPr="005F5453">
        <w:t>The Board may appoint a disinterested person or committee to investigate alternatives.</w:t>
      </w:r>
    </w:p>
    <w:p w14:paraId="00A1D4F3" w14:textId="77777777" w:rsidR="005F5453" w:rsidRPr="005F5453" w:rsidRDefault="005F5453" w:rsidP="005F5453">
      <w:pPr>
        <w:numPr>
          <w:ilvl w:val="1"/>
          <w:numId w:val="2"/>
        </w:numPr>
      </w:pPr>
      <w:r w:rsidRPr="005F5453">
        <w:t>If a more advantageous arrangement is not reasonably possible, the Board may determine by majority vote that the transaction is in the Corporation’s best interest, fair, and reasonable.</w:t>
      </w:r>
    </w:p>
    <w:p w14:paraId="5B7321E7" w14:textId="77777777" w:rsidR="005F5453" w:rsidRPr="005F5453" w:rsidRDefault="005F5453" w:rsidP="005F5453">
      <w:pPr>
        <w:numPr>
          <w:ilvl w:val="0"/>
          <w:numId w:val="2"/>
        </w:numPr>
      </w:pPr>
      <w:r w:rsidRPr="005F5453">
        <w:rPr>
          <w:b/>
          <w:bCs/>
        </w:rPr>
        <w:t>Violations of the Policy</w:t>
      </w:r>
      <w:r w:rsidRPr="005F5453">
        <w:br/>
        <w:t>If the Board determines an individual has failed to disclose a conflict, it may take appropriate corrective and disciplinary action.</w:t>
      </w:r>
    </w:p>
    <w:p w14:paraId="6AE87A86" w14:textId="77777777" w:rsidR="005F5453" w:rsidRPr="005F5453" w:rsidRDefault="005F5453" w:rsidP="005F5453">
      <w:r w:rsidRPr="005F5453">
        <w:pict w14:anchorId="5FEA4EF3">
          <v:rect id="_x0000_i1095" style="width:0;height:1.5pt" o:hralign="center" o:hrstd="t" o:hr="t" fillcolor="#a0a0a0" stroked="f"/>
        </w:pict>
      </w:r>
    </w:p>
    <w:p w14:paraId="73B169A7" w14:textId="77777777" w:rsidR="005F5453" w:rsidRPr="005F5453" w:rsidRDefault="005F5453" w:rsidP="005F5453">
      <w:pPr>
        <w:rPr>
          <w:b/>
          <w:bCs/>
        </w:rPr>
      </w:pPr>
      <w:r w:rsidRPr="005F5453">
        <w:rPr>
          <w:b/>
          <w:bCs/>
        </w:rPr>
        <w:t>Article V – Records of Proceedings</w:t>
      </w:r>
    </w:p>
    <w:p w14:paraId="782F18FC" w14:textId="77777777" w:rsidR="005F5453" w:rsidRPr="005F5453" w:rsidRDefault="005F5453" w:rsidP="005F5453">
      <w:r w:rsidRPr="005F5453">
        <w:t>The meeting minutes shall include:</w:t>
      </w:r>
    </w:p>
    <w:p w14:paraId="41DE7C59" w14:textId="77777777" w:rsidR="005F5453" w:rsidRPr="005F5453" w:rsidRDefault="005F5453" w:rsidP="005F5453">
      <w:pPr>
        <w:numPr>
          <w:ilvl w:val="0"/>
          <w:numId w:val="3"/>
        </w:numPr>
      </w:pPr>
      <w:r w:rsidRPr="005F5453">
        <w:t xml:space="preserve">The names of </w:t>
      </w:r>
      <w:proofErr w:type="gramStart"/>
      <w:r w:rsidRPr="005F5453">
        <w:t>persons</w:t>
      </w:r>
      <w:proofErr w:type="gramEnd"/>
      <w:r w:rsidRPr="005F5453">
        <w:t xml:space="preserve"> disclosing or found to have a </w:t>
      </w:r>
      <w:proofErr w:type="gramStart"/>
      <w:r w:rsidRPr="005F5453">
        <w:t>conflict;</w:t>
      </w:r>
      <w:proofErr w:type="gramEnd"/>
    </w:p>
    <w:p w14:paraId="0F554577" w14:textId="77777777" w:rsidR="005F5453" w:rsidRPr="005F5453" w:rsidRDefault="005F5453" w:rsidP="005F5453">
      <w:pPr>
        <w:numPr>
          <w:ilvl w:val="0"/>
          <w:numId w:val="3"/>
        </w:numPr>
      </w:pPr>
      <w:r w:rsidRPr="005F5453">
        <w:t xml:space="preserve">The nature of the </w:t>
      </w:r>
      <w:proofErr w:type="gramStart"/>
      <w:r w:rsidRPr="005F5453">
        <w:t>conflict;</w:t>
      </w:r>
      <w:proofErr w:type="gramEnd"/>
    </w:p>
    <w:p w14:paraId="5556A59E" w14:textId="77777777" w:rsidR="005F5453" w:rsidRPr="005F5453" w:rsidRDefault="005F5453" w:rsidP="005F5453">
      <w:pPr>
        <w:numPr>
          <w:ilvl w:val="0"/>
          <w:numId w:val="3"/>
        </w:numPr>
      </w:pPr>
      <w:r w:rsidRPr="005F5453">
        <w:t xml:space="preserve">The content of the discussion and alternatives </w:t>
      </w:r>
      <w:proofErr w:type="gramStart"/>
      <w:r w:rsidRPr="005F5453">
        <w:t>considered;</w:t>
      </w:r>
      <w:proofErr w:type="gramEnd"/>
    </w:p>
    <w:p w14:paraId="781C91DC" w14:textId="77777777" w:rsidR="005F5453" w:rsidRPr="005F5453" w:rsidRDefault="005F5453" w:rsidP="005F5453">
      <w:pPr>
        <w:numPr>
          <w:ilvl w:val="0"/>
          <w:numId w:val="3"/>
        </w:numPr>
      </w:pPr>
      <w:r w:rsidRPr="005F5453">
        <w:t xml:space="preserve">The decision </w:t>
      </w:r>
      <w:proofErr w:type="gramStart"/>
      <w:r w:rsidRPr="005F5453">
        <w:t>made</w:t>
      </w:r>
      <w:proofErr w:type="gramEnd"/>
      <w:r w:rsidRPr="005F5453">
        <w:t xml:space="preserve"> regarding the transaction.</w:t>
      </w:r>
    </w:p>
    <w:p w14:paraId="7B14A199" w14:textId="77777777" w:rsidR="005F5453" w:rsidRPr="005F5453" w:rsidRDefault="005F5453" w:rsidP="005F5453">
      <w:r w:rsidRPr="005F5453">
        <w:pict w14:anchorId="3AE3B94A">
          <v:rect id="_x0000_i1096" style="width:0;height:1.5pt" o:hralign="center" o:hrstd="t" o:hr="t" fillcolor="#a0a0a0" stroked="f"/>
        </w:pict>
      </w:r>
    </w:p>
    <w:p w14:paraId="61887460" w14:textId="77777777" w:rsidR="005F5453" w:rsidRPr="005F5453" w:rsidRDefault="005F5453" w:rsidP="005F5453">
      <w:pPr>
        <w:rPr>
          <w:b/>
          <w:bCs/>
        </w:rPr>
      </w:pPr>
      <w:r w:rsidRPr="005F5453">
        <w:rPr>
          <w:b/>
          <w:bCs/>
        </w:rPr>
        <w:t>Article VI – Compensation</w:t>
      </w:r>
    </w:p>
    <w:p w14:paraId="4AE56236" w14:textId="77777777" w:rsidR="005F5453" w:rsidRPr="005F5453" w:rsidRDefault="005F5453" w:rsidP="005F5453">
      <w:pPr>
        <w:numPr>
          <w:ilvl w:val="0"/>
          <w:numId w:val="4"/>
        </w:numPr>
      </w:pPr>
      <w:r w:rsidRPr="005F5453">
        <w:t>A voting member of the Board who receives compensation from the Corporation for services is precluded from voting on matters pertaining to that compensation.</w:t>
      </w:r>
    </w:p>
    <w:p w14:paraId="5CF59B90" w14:textId="77777777" w:rsidR="005F5453" w:rsidRPr="005F5453" w:rsidRDefault="005F5453" w:rsidP="005F5453">
      <w:pPr>
        <w:numPr>
          <w:ilvl w:val="0"/>
          <w:numId w:val="4"/>
        </w:numPr>
      </w:pPr>
      <w:r w:rsidRPr="005F5453">
        <w:t>No Director or Officer who receives compensation from the Corporation shall vote on the compensation of other Directors or Officers.</w:t>
      </w:r>
    </w:p>
    <w:p w14:paraId="555DDD5F" w14:textId="77777777" w:rsidR="005F5453" w:rsidRPr="005F5453" w:rsidRDefault="005F5453" w:rsidP="005F5453">
      <w:r w:rsidRPr="005F5453">
        <w:lastRenderedPageBreak/>
        <w:pict w14:anchorId="4D480CC5">
          <v:rect id="_x0000_i1097" style="width:0;height:1.5pt" o:hralign="center" o:hrstd="t" o:hr="t" fillcolor="#a0a0a0" stroked="f"/>
        </w:pict>
      </w:r>
    </w:p>
    <w:p w14:paraId="0D025B3C" w14:textId="77777777" w:rsidR="005F5453" w:rsidRPr="005F5453" w:rsidRDefault="005F5453" w:rsidP="005F5453">
      <w:pPr>
        <w:rPr>
          <w:b/>
          <w:bCs/>
        </w:rPr>
      </w:pPr>
      <w:r w:rsidRPr="005F5453">
        <w:rPr>
          <w:b/>
          <w:bCs/>
        </w:rPr>
        <w:t>Article VII – Annual Statements</w:t>
      </w:r>
    </w:p>
    <w:p w14:paraId="2E72B87B" w14:textId="77777777" w:rsidR="005F5453" w:rsidRPr="005F5453" w:rsidRDefault="005F5453" w:rsidP="005F5453">
      <w:r w:rsidRPr="005F5453">
        <w:t>Each Director, Officer, and committee member with Board-delegated powers shall annually sign a statement affirming that they:</w:t>
      </w:r>
    </w:p>
    <w:p w14:paraId="021C1C8E" w14:textId="77777777" w:rsidR="005F5453" w:rsidRPr="005F5453" w:rsidRDefault="005F5453" w:rsidP="005F5453">
      <w:pPr>
        <w:numPr>
          <w:ilvl w:val="0"/>
          <w:numId w:val="5"/>
        </w:numPr>
      </w:pPr>
      <w:r w:rsidRPr="005F5453">
        <w:t xml:space="preserve">Have received a copy of the </w:t>
      </w:r>
      <w:proofErr w:type="gramStart"/>
      <w:r w:rsidRPr="005F5453">
        <w:t>Conflict of Interest</w:t>
      </w:r>
      <w:proofErr w:type="gramEnd"/>
      <w:r w:rsidRPr="005F5453">
        <w:t xml:space="preserve"> </w:t>
      </w:r>
      <w:proofErr w:type="gramStart"/>
      <w:r w:rsidRPr="005F5453">
        <w:t>Policy;</w:t>
      </w:r>
      <w:proofErr w:type="gramEnd"/>
    </w:p>
    <w:p w14:paraId="0B802D36" w14:textId="77777777" w:rsidR="005F5453" w:rsidRPr="005F5453" w:rsidRDefault="005F5453" w:rsidP="005F5453">
      <w:pPr>
        <w:numPr>
          <w:ilvl w:val="0"/>
          <w:numId w:val="5"/>
        </w:numPr>
      </w:pPr>
      <w:r w:rsidRPr="005F5453">
        <w:t xml:space="preserve">Have read and understand the </w:t>
      </w:r>
      <w:proofErr w:type="gramStart"/>
      <w:r w:rsidRPr="005F5453">
        <w:t>policy;</w:t>
      </w:r>
      <w:proofErr w:type="gramEnd"/>
    </w:p>
    <w:p w14:paraId="4F5317E2" w14:textId="77777777" w:rsidR="005F5453" w:rsidRPr="005F5453" w:rsidRDefault="005F5453" w:rsidP="005F5453">
      <w:pPr>
        <w:numPr>
          <w:ilvl w:val="0"/>
          <w:numId w:val="5"/>
        </w:numPr>
      </w:pPr>
      <w:r w:rsidRPr="005F5453">
        <w:t>Agree to comply with the policy; and</w:t>
      </w:r>
    </w:p>
    <w:p w14:paraId="41C80A77" w14:textId="77777777" w:rsidR="005F5453" w:rsidRPr="005F5453" w:rsidRDefault="005F5453" w:rsidP="005F5453">
      <w:pPr>
        <w:numPr>
          <w:ilvl w:val="0"/>
          <w:numId w:val="5"/>
        </w:numPr>
      </w:pPr>
      <w:r w:rsidRPr="005F5453">
        <w:t>Understand the Corporation is charitable and must engage in activities consistent with its tax-exempt purpose.</w:t>
      </w:r>
    </w:p>
    <w:p w14:paraId="32464BD3" w14:textId="77777777" w:rsidR="005F5453" w:rsidRPr="005F5453" w:rsidRDefault="005F5453" w:rsidP="005F5453">
      <w:r w:rsidRPr="005F5453">
        <w:pict w14:anchorId="601EC6F1">
          <v:rect id="_x0000_i1098" style="width:0;height:1.5pt" o:hralign="center" o:hrstd="t" o:hr="t" fillcolor="#a0a0a0" stroked="f"/>
        </w:pict>
      </w:r>
    </w:p>
    <w:p w14:paraId="4DD7BA43" w14:textId="77777777" w:rsidR="005F5453" w:rsidRPr="005F5453" w:rsidRDefault="005F5453" w:rsidP="005F5453">
      <w:pPr>
        <w:rPr>
          <w:b/>
          <w:bCs/>
        </w:rPr>
      </w:pPr>
      <w:r w:rsidRPr="005F5453">
        <w:rPr>
          <w:b/>
          <w:bCs/>
        </w:rPr>
        <w:t>Article VIII – Periodic Reviews</w:t>
      </w:r>
    </w:p>
    <w:p w14:paraId="681189A8" w14:textId="77777777" w:rsidR="005F5453" w:rsidRPr="005F5453" w:rsidRDefault="005F5453" w:rsidP="005F5453">
      <w:r w:rsidRPr="005F5453">
        <w:t>To ensure the Corporation operates in a manner consistent with charitable purposes, periodic reviews shall be conducted.</w:t>
      </w:r>
    </w:p>
    <w:p w14:paraId="03DAF2C3" w14:textId="77777777" w:rsidR="005F5453" w:rsidRPr="005F5453" w:rsidRDefault="005F5453" w:rsidP="005F5453">
      <w:r w:rsidRPr="005F5453">
        <w:pict w14:anchorId="17C3028A">
          <v:rect id="_x0000_i1099" style="width:0;height:1.5pt" o:hralign="center" o:hrstd="t" o:hr="t" fillcolor="#a0a0a0" stroked="f"/>
        </w:pict>
      </w:r>
    </w:p>
    <w:p w14:paraId="019FD891" w14:textId="77777777" w:rsidR="005F5453" w:rsidRPr="005F5453" w:rsidRDefault="005F5453" w:rsidP="005F5453">
      <w:pPr>
        <w:rPr>
          <w:b/>
          <w:bCs/>
        </w:rPr>
      </w:pPr>
      <w:r w:rsidRPr="005F5453">
        <w:rPr>
          <w:b/>
          <w:bCs/>
        </w:rPr>
        <w:t>Article IX – Use of Outside Experts</w:t>
      </w:r>
    </w:p>
    <w:p w14:paraId="6C43EF37" w14:textId="77777777" w:rsidR="005F5453" w:rsidRPr="005F5453" w:rsidRDefault="005F5453" w:rsidP="005F5453">
      <w:r w:rsidRPr="005F5453">
        <w:t>When conducting periodic reviews, the Corporation may use outside advisors, but their use does not relieve the Board of its responsibility for ensuring compliance.</w:t>
      </w:r>
    </w:p>
    <w:p w14:paraId="053D0832" w14:textId="77777777" w:rsidR="005F5453" w:rsidRPr="005F5453" w:rsidRDefault="005F5453" w:rsidP="005F5453">
      <w:r w:rsidRPr="005F5453">
        <w:pict w14:anchorId="2F452CB2">
          <v:rect id="_x0000_i1100" style="width:0;height:1.5pt" o:hralign="center" o:hrstd="t" o:hr="t" fillcolor="#a0a0a0" stroked="f"/>
        </w:pict>
      </w:r>
    </w:p>
    <w:p w14:paraId="117024E2" w14:textId="77777777" w:rsidR="005F5453" w:rsidRPr="005F5453" w:rsidRDefault="005F5453" w:rsidP="005F5453">
      <w:r w:rsidRPr="005F5453">
        <w:rPr>
          <w:b/>
          <w:bCs/>
        </w:rPr>
        <w:t>Certification</w:t>
      </w:r>
      <w:r w:rsidRPr="005F5453">
        <w:br/>
        <w:t xml:space="preserve">This </w:t>
      </w:r>
      <w:proofErr w:type="gramStart"/>
      <w:r w:rsidRPr="005F5453">
        <w:t>Conflict of Interest</w:t>
      </w:r>
      <w:proofErr w:type="gramEnd"/>
      <w:r w:rsidRPr="005F5453">
        <w:t xml:space="preserve"> Policy was adopted by the Board of Directors of </w:t>
      </w:r>
      <w:r w:rsidRPr="005F5453">
        <w:rPr>
          <w:i/>
          <w:iCs/>
        </w:rPr>
        <w:t>Patched Up Providers, Inc.</w:t>
      </w:r>
      <w:r w:rsidRPr="005F5453">
        <w:t xml:space="preserve"> on [Date].</w:t>
      </w:r>
    </w:p>
    <w:p w14:paraId="1643A6DB" w14:textId="77777777" w:rsidR="005F5453" w:rsidRPr="005F5453" w:rsidRDefault="005F5453" w:rsidP="005F5453">
      <w:r w:rsidRPr="005F5453">
        <w:pict w14:anchorId="0BD063DC">
          <v:rect id="_x0000_i1101" style="width:0;height:1.5pt" o:hralign="center" o:hrstd="t" o:hr="t" fillcolor="#a0a0a0" stroked="f"/>
        </w:pict>
      </w:r>
    </w:p>
    <w:p w14:paraId="3C64CE3D" w14:textId="4091FE63" w:rsidR="005F5453" w:rsidRPr="005F5453" w:rsidRDefault="005F5453" w:rsidP="005F5453">
      <w:r>
        <w:t>Danielle Dolena</w:t>
      </w:r>
      <w:r w:rsidRPr="005F5453">
        <w:t>, Secretary</w:t>
      </w:r>
    </w:p>
    <w:p w14:paraId="35B5E5AE" w14:textId="77777777" w:rsidR="00B41E51" w:rsidRPr="00B41E51" w:rsidRDefault="00B41E51" w:rsidP="00B41E51">
      <w:r w:rsidRPr="00B41E51">
        <w:t xml:space="preserve">Our website is LIVE! </w:t>
      </w:r>
      <w:r w:rsidRPr="00B41E51">
        <w:rPr>
          <w:rFonts w:ascii="Segoe UI Emoji" w:hAnsi="Segoe UI Emoji" w:cs="Segoe UI Emoji"/>
        </w:rPr>
        <w:t>🌐</w:t>
      </w:r>
      <w:r w:rsidRPr="00B41E51">
        <w:br/>
      </w:r>
      <w:r w:rsidRPr="00B41E51">
        <w:rPr>
          <w:rFonts w:ascii="Segoe UI Emoji" w:hAnsi="Segoe UI Emoji" w:cs="Segoe UI Emoji"/>
        </w:rPr>
        <w:t>👉</w:t>
      </w:r>
      <w:r w:rsidRPr="00B41E51">
        <w:t xml:space="preserve"> </w:t>
      </w:r>
      <w:hyperlink r:id="rId5" w:tgtFrame="_new" w:history="1">
        <w:r w:rsidRPr="00B41E51">
          <w:rPr>
            <w:rStyle w:val="Hyperlink"/>
          </w:rPr>
          <w:t>www.patchedupproviders.org</w:t>
        </w:r>
      </w:hyperlink>
    </w:p>
    <w:p w14:paraId="1E3918E2" w14:textId="77777777" w:rsidR="00B41E51" w:rsidRPr="00B41E51" w:rsidRDefault="00B41E51" w:rsidP="00B41E51">
      <w:r w:rsidRPr="00B41E51">
        <w:t xml:space="preserve">We’re excited to announce our </w:t>
      </w:r>
      <w:r w:rsidRPr="00B41E51">
        <w:rPr>
          <w:b/>
          <w:bCs/>
        </w:rPr>
        <w:t>new Facebook page</w:t>
      </w:r>
      <w:r w:rsidRPr="00B41E51">
        <w:t xml:space="preserve"> — and things are already rolling!</w:t>
      </w:r>
      <w:r w:rsidRPr="00B41E51">
        <w:br/>
      </w:r>
      <w:r w:rsidRPr="00B41E51">
        <w:rPr>
          <w:rFonts w:ascii="Segoe UI Emoji" w:hAnsi="Segoe UI Emoji" w:cs="Segoe UI Emoji"/>
        </w:rPr>
        <w:t>🎙️</w:t>
      </w:r>
      <w:r w:rsidRPr="00B41E51">
        <w:t xml:space="preserve"> Guests are being scheduled</w:t>
      </w:r>
      <w:r w:rsidRPr="00B41E51">
        <w:br/>
      </w:r>
      <w:r w:rsidRPr="00B41E51">
        <w:rPr>
          <w:rFonts w:ascii="Segoe UI Emoji" w:hAnsi="Segoe UI Emoji" w:cs="Segoe UI Emoji"/>
        </w:rPr>
        <w:t>💼</w:t>
      </w:r>
      <w:r w:rsidRPr="00B41E51">
        <w:t xml:space="preserve"> Business sponsors are coming onboard</w:t>
      </w:r>
      <w:r w:rsidRPr="00B41E51">
        <w:br/>
      </w:r>
      <w:r w:rsidRPr="00B41E51">
        <w:rPr>
          <w:rFonts w:ascii="Segoe UI Emoji" w:hAnsi="Segoe UI Emoji" w:cs="Segoe UI Emoji"/>
        </w:rPr>
        <w:t>👕</w:t>
      </w:r>
      <w:r w:rsidRPr="00B41E51">
        <w:t xml:space="preserve"> T-shirts are being made</w:t>
      </w:r>
    </w:p>
    <w:p w14:paraId="0F7C5352" w14:textId="77777777" w:rsidR="00B41E51" w:rsidRPr="00B41E51" w:rsidRDefault="00B41E51" w:rsidP="00B41E51">
      <w:r w:rsidRPr="00B41E51">
        <w:lastRenderedPageBreak/>
        <w:t>Here’s a little about us:</w:t>
      </w:r>
      <w:r w:rsidRPr="00B41E51">
        <w:br/>
      </w:r>
      <w:r w:rsidRPr="00B41E51">
        <w:rPr>
          <w:b/>
          <w:bCs/>
        </w:rPr>
        <w:t>Patched Up Providers</w:t>
      </w:r>
      <w:r w:rsidRPr="00B41E51">
        <w:t xml:space="preserve"> </w:t>
      </w:r>
      <w:proofErr w:type="gramStart"/>
      <w:r w:rsidRPr="00B41E51">
        <w:t>is</w:t>
      </w:r>
      <w:proofErr w:type="gramEnd"/>
      <w:r w:rsidRPr="00B41E51">
        <w:t xml:space="preserve"> dedicated to recognizing the expertise and sacrifice of EMS professionals — shining a light on the work they do and inspiring the next generation to join the ranks.</w:t>
      </w:r>
    </w:p>
    <w:p w14:paraId="2F9533A0" w14:textId="77777777" w:rsidR="00B41E51" w:rsidRPr="00B41E51" w:rsidRDefault="00B41E51" w:rsidP="00B41E51">
      <w:r w:rsidRPr="00B41E51">
        <w:t xml:space="preserve">Give us a </w:t>
      </w:r>
      <w:r w:rsidRPr="00B41E51">
        <w:rPr>
          <w:b/>
          <w:bCs/>
        </w:rPr>
        <w:t>follow</w:t>
      </w:r>
      <w:r w:rsidRPr="00B41E51">
        <w:t xml:space="preserve">, share our page, and stay tuned — big things are coming! </w:t>
      </w:r>
      <w:r w:rsidRPr="00B41E51">
        <w:rPr>
          <w:rFonts w:ascii="Segoe UI Emoji" w:hAnsi="Segoe UI Emoji" w:cs="Segoe UI Emoji"/>
        </w:rPr>
        <w:t>💪🚑</w:t>
      </w:r>
    </w:p>
    <w:p w14:paraId="09EA5BDE" w14:textId="77777777" w:rsidR="00B41E51" w:rsidRPr="00B41E51" w:rsidRDefault="00B41E51" w:rsidP="00B41E51">
      <w:r w:rsidRPr="00B41E51">
        <w:t>#PatchedUpProviders #EMS #FirstResponders #Nonprofit #CommunitySupport #PatchedUpPodcast</w:t>
      </w:r>
    </w:p>
    <w:p w14:paraId="4CB60DE9" w14:textId="77777777" w:rsidR="00CF1268" w:rsidRDefault="00CF1268"/>
    <w:sectPr w:rsidR="00CF1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F3CCE"/>
    <w:multiLevelType w:val="multilevel"/>
    <w:tmpl w:val="F80E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2279B"/>
    <w:multiLevelType w:val="multilevel"/>
    <w:tmpl w:val="4628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6932AD"/>
    <w:multiLevelType w:val="multilevel"/>
    <w:tmpl w:val="9592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9C412E"/>
    <w:multiLevelType w:val="multilevel"/>
    <w:tmpl w:val="7B54B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300286"/>
    <w:multiLevelType w:val="multilevel"/>
    <w:tmpl w:val="1F845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402661">
    <w:abstractNumId w:val="1"/>
  </w:num>
  <w:num w:numId="2" w16cid:durableId="1015619706">
    <w:abstractNumId w:val="4"/>
  </w:num>
  <w:num w:numId="3" w16cid:durableId="1438450110">
    <w:abstractNumId w:val="2"/>
  </w:num>
  <w:num w:numId="4" w16cid:durableId="1470123707">
    <w:abstractNumId w:val="0"/>
  </w:num>
  <w:num w:numId="5" w16cid:durableId="1422677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53"/>
    <w:rsid w:val="00160699"/>
    <w:rsid w:val="001865CE"/>
    <w:rsid w:val="00265E65"/>
    <w:rsid w:val="00343634"/>
    <w:rsid w:val="005F5453"/>
    <w:rsid w:val="00666D81"/>
    <w:rsid w:val="008D3627"/>
    <w:rsid w:val="00A21397"/>
    <w:rsid w:val="00B00A42"/>
    <w:rsid w:val="00B41E51"/>
    <w:rsid w:val="00CF1268"/>
    <w:rsid w:val="00D3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8AA38F"/>
  <w15:chartTrackingRefBased/>
  <w15:docId w15:val="{005F1DC4-E2D2-484E-B5CE-033E97E6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4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4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4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1E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0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tchedupprovider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2901</TotalTime>
  <Pages>4</Pages>
  <Words>692</Words>
  <Characters>3858</Characters>
  <Application>Microsoft Office Word</Application>
  <DocSecurity>0</DocSecurity>
  <Lines>98</Lines>
  <Paragraphs>56</Paragraphs>
  <ScaleCrop>false</ScaleCrop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Boyle</dc:creator>
  <cp:keywords/>
  <dc:description/>
  <cp:lastModifiedBy>Eddie Boyle</cp:lastModifiedBy>
  <cp:revision>3</cp:revision>
  <dcterms:created xsi:type="dcterms:W3CDTF">2025-10-01T00:40:00Z</dcterms:created>
  <dcterms:modified xsi:type="dcterms:W3CDTF">2025-10-09T20:51:00Z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bb362411-4778-4572-8e73-898aed67275b</vt:lpwstr>
  </property>
</Properties>
</file>