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55C9FB" w14:textId="77777777" w:rsidR="009156BF" w:rsidRDefault="009156BF" w:rsidP="009156BF">
      <w:pPr>
        <w:spacing w:before="100" w:beforeAutospacing="1" w:after="100" w:afterAutospacing="1"/>
        <w:outlineLvl w:val="1"/>
        <w:rPr>
          <w:rFonts w:ascii="Arial" w:eastAsia="Times New Roman" w:hAnsi="Arial" w:cs="Arial"/>
          <w:b/>
          <w:bCs/>
          <w:color w:val="000000"/>
          <w:kern w:val="36"/>
        </w:rPr>
      </w:pPr>
      <w:r w:rsidRPr="00484AE3">
        <w:rPr>
          <w:rFonts w:ascii="Arial" w:eastAsia="Times New Roman" w:hAnsi="Arial" w:cs="Arial"/>
          <w:color w:val="153D63" w:themeColor="text2" w:themeTint="E6"/>
          <w:kern w:val="36"/>
          <w:sz w:val="15"/>
          <w:szCs w:val="15"/>
        </w:rPr>
        <w:tab/>
      </w:r>
      <w:r w:rsidRPr="00484AE3">
        <w:rPr>
          <w:rFonts w:ascii="Arial" w:eastAsia="Times New Roman" w:hAnsi="Arial" w:cs="Arial"/>
          <w:color w:val="153D63" w:themeColor="text2" w:themeTint="E6"/>
          <w:kern w:val="36"/>
          <w:sz w:val="15"/>
          <w:szCs w:val="15"/>
        </w:rPr>
        <w:tab/>
      </w:r>
      <w:r w:rsidRPr="00484AE3">
        <w:rPr>
          <w:rFonts w:ascii="Arial" w:eastAsia="Times New Roman" w:hAnsi="Arial" w:cs="Arial"/>
          <w:color w:val="153D63" w:themeColor="text2" w:themeTint="E6"/>
          <w:kern w:val="36"/>
          <w:sz w:val="15"/>
          <w:szCs w:val="15"/>
        </w:rPr>
        <w:tab/>
      </w:r>
      <w:r w:rsidRPr="00484AE3">
        <w:rPr>
          <w:rFonts w:ascii="Arial" w:eastAsia="Times New Roman" w:hAnsi="Arial" w:cs="Arial"/>
          <w:color w:val="153D63" w:themeColor="text2" w:themeTint="E6"/>
          <w:kern w:val="36"/>
          <w:sz w:val="15"/>
          <w:szCs w:val="15"/>
        </w:rPr>
        <w:tab/>
      </w:r>
      <w:r w:rsidRPr="00484AE3">
        <w:rPr>
          <w:rFonts w:ascii="Arial" w:eastAsia="Times New Roman" w:hAnsi="Arial" w:cs="Arial"/>
          <w:color w:val="153D63" w:themeColor="text2" w:themeTint="E6"/>
          <w:kern w:val="36"/>
          <w:sz w:val="15"/>
          <w:szCs w:val="15"/>
        </w:rPr>
        <w:tab/>
      </w:r>
      <w:r w:rsidRPr="00484AE3">
        <w:rPr>
          <w:rFonts w:ascii="Arial" w:eastAsia="Times New Roman" w:hAnsi="Arial" w:cs="Arial"/>
          <w:color w:val="153D63" w:themeColor="text2" w:themeTint="E6"/>
          <w:kern w:val="36"/>
          <w:sz w:val="15"/>
          <w:szCs w:val="15"/>
        </w:rPr>
        <w:tab/>
      </w:r>
      <w:r w:rsidRPr="00484AE3">
        <w:rPr>
          <w:rFonts w:ascii="Arial" w:eastAsia="Times New Roman" w:hAnsi="Arial" w:cs="Arial"/>
          <w:color w:val="153D63" w:themeColor="text2" w:themeTint="E6"/>
          <w:kern w:val="36"/>
          <w:sz w:val="15"/>
          <w:szCs w:val="15"/>
        </w:rPr>
        <w:tab/>
      </w:r>
      <w:r w:rsidRPr="00484AE3">
        <w:rPr>
          <w:rFonts w:ascii="Arial" w:eastAsia="Times New Roman" w:hAnsi="Arial" w:cs="Arial"/>
          <w:color w:val="153D63" w:themeColor="text2" w:themeTint="E6"/>
          <w:kern w:val="36"/>
          <w:sz w:val="15"/>
          <w:szCs w:val="15"/>
        </w:rPr>
        <w:tab/>
      </w:r>
      <w:r w:rsidRPr="00484AE3">
        <w:rPr>
          <w:rFonts w:ascii="Arial" w:eastAsia="Times New Roman" w:hAnsi="Arial" w:cs="Arial"/>
          <w:color w:val="153D63" w:themeColor="text2" w:themeTint="E6"/>
          <w:kern w:val="36"/>
          <w:sz w:val="15"/>
          <w:szCs w:val="15"/>
        </w:rPr>
        <w:tab/>
      </w:r>
      <w:r w:rsidRPr="00484AE3">
        <w:rPr>
          <w:rFonts w:ascii="Arial" w:eastAsia="Times New Roman" w:hAnsi="Arial" w:cs="Arial"/>
          <w:color w:val="153D63" w:themeColor="text2" w:themeTint="E6"/>
          <w:kern w:val="36"/>
          <w:sz w:val="15"/>
          <w:szCs w:val="15"/>
        </w:rPr>
        <w:tab/>
      </w:r>
      <w:r>
        <w:rPr>
          <w:rFonts w:ascii="Arial" w:eastAsia="Times New Roman" w:hAnsi="Arial" w:cs="Arial"/>
          <w:color w:val="153D63" w:themeColor="text2" w:themeTint="E6"/>
          <w:kern w:val="36"/>
          <w:sz w:val="15"/>
          <w:szCs w:val="15"/>
        </w:rPr>
        <w:t xml:space="preserve">       </w:t>
      </w:r>
      <w:r w:rsidRPr="00484AE3">
        <w:rPr>
          <w:rFonts w:ascii="Montserrat" w:eastAsia="Times New Roman" w:hAnsi="Montserrat" w:cs="Arial"/>
          <w:color w:val="153D63" w:themeColor="text2" w:themeTint="E6"/>
          <w:kern w:val="36"/>
          <w:sz w:val="15"/>
          <w:szCs w:val="15"/>
        </w:rPr>
        <w:t>The Grayling Society</w:t>
      </w:r>
      <w:r w:rsidRPr="00484AE3">
        <w:rPr>
          <w:rFonts w:ascii="Arial" w:eastAsia="Times New Roman" w:hAnsi="Arial" w:cs="Arial"/>
          <w:color w:val="153D63" w:themeColor="text2" w:themeTint="E6"/>
          <w:kern w:val="36"/>
          <w:sz w:val="15"/>
          <w:szCs w:val="15"/>
        </w:rPr>
        <w:tab/>
      </w:r>
      <w:r w:rsidRPr="00484AE3">
        <w:rPr>
          <w:rFonts w:ascii="Arial" w:eastAsia="Times New Roman" w:hAnsi="Arial" w:cs="Arial"/>
          <w:color w:val="153D63" w:themeColor="text2" w:themeTint="E6"/>
          <w:kern w:val="36"/>
          <w:sz w:val="15"/>
          <w:szCs w:val="15"/>
        </w:rPr>
        <w:tab/>
      </w:r>
      <w:r w:rsidRPr="00484AE3">
        <w:rPr>
          <w:rFonts w:ascii="Arial" w:eastAsia="Times New Roman" w:hAnsi="Arial" w:cs="Arial"/>
          <w:color w:val="153D63" w:themeColor="text2" w:themeTint="E6"/>
          <w:kern w:val="36"/>
          <w:sz w:val="15"/>
          <w:szCs w:val="15"/>
        </w:rPr>
        <w:tab/>
      </w:r>
      <w:r w:rsidRPr="00484AE3">
        <w:rPr>
          <w:rFonts w:ascii="Arial" w:eastAsia="Times New Roman" w:hAnsi="Arial" w:cs="Arial"/>
          <w:color w:val="153D63" w:themeColor="text2" w:themeTint="E6"/>
          <w:kern w:val="36"/>
          <w:sz w:val="15"/>
          <w:szCs w:val="15"/>
        </w:rPr>
        <w:tab/>
      </w:r>
      <w:r w:rsidRPr="00484AE3">
        <w:rPr>
          <w:rFonts w:ascii="Arial" w:eastAsia="Times New Roman" w:hAnsi="Arial" w:cs="Arial"/>
          <w:color w:val="153D63" w:themeColor="text2" w:themeTint="E6"/>
          <w:kern w:val="36"/>
          <w:sz w:val="15"/>
          <w:szCs w:val="15"/>
        </w:rPr>
        <w:tab/>
      </w:r>
      <w:r w:rsidRPr="00484AE3">
        <w:rPr>
          <w:rFonts w:ascii="Arial" w:eastAsia="Times New Roman" w:hAnsi="Arial" w:cs="Arial"/>
          <w:color w:val="153D63" w:themeColor="text2" w:themeTint="E6"/>
          <w:kern w:val="36"/>
          <w:sz w:val="15"/>
          <w:szCs w:val="15"/>
        </w:rPr>
        <w:tab/>
      </w:r>
      <w:r w:rsidRPr="00484AE3">
        <w:rPr>
          <w:rFonts w:ascii="Arial" w:eastAsia="Times New Roman" w:hAnsi="Arial" w:cs="Arial"/>
          <w:color w:val="153D63" w:themeColor="text2" w:themeTint="E6"/>
          <w:kern w:val="36"/>
          <w:sz w:val="15"/>
          <w:szCs w:val="15"/>
        </w:rPr>
        <w:tab/>
      </w:r>
      <w:r w:rsidRPr="00484AE3">
        <w:rPr>
          <w:rFonts w:ascii="Arial" w:eastAsia="Times New Roman" w:hAnsi="Arial" w:cs="Arial"/>
          <w:color w:val="153D63" w:themeColor="text2" w:themeTint="E6"/>
          <w:kern w:val="36"/>
          <w:sz w:val="15"/>
          <w:szCs w:val="15"/>
        </w:rPr>
        <w:tab/>
      </w:r>
      <w:r w:rsidRPr="00484AE3">
        <w:rPr>
          <w:rFonts w:ascii="Arial" w:eastAsia="Times New Roman" w:hAnsi="Arial" w:cs="Arial"/>
          <w:color w:val="153D63" w:themeColor="text2" w:themeTint="E6"/>
          <w:kern w:val="36"/>
          <w:sz w:val="15"/>
          <w:szCs w:val="15"/>
        </w:rPr>
        <w:tab/>
      </w:r>
      <w:r w:rsidRPr="00484AE3">
        <w:rPr>
          <w:rFonts w:ascii="Arial" w:eastAsia="Times New Roman" w:hAnsi="Arial" w:cs="Arial"/>
          <w:color w:val="153D63" w:themeColor="text2" w:themeTint="E6"/>
          <w:kern w:val="36"/>
          <w:sz w:val="15"/>
          <w:szCs w:val="15"/>
        </w:rPr>
        <w:tab/>
      </w:r>
      <w:r>
        <w:rPr>
          <w:rFonts w:ascii="Arial" w:eastAsia="Times New Roman" w:hAnsi="Arial" w:cs="Arial"/>
          <w:b/>
          <w:bCs/>
          <w:color w:val="000000"/>
          <w:kern w:val="36"/>
        </w:rPr>
        <w:tab/>
      </w:r>
    </w:p>
    <w:p w14:paraId="48B7EACE" w14:textId="2C99A73F" w:rsidR="00DD697F" w:rsidRPr="009156BF" w:rsidRDefault="00000000" w:rsidP="009156BF">
      <w:pPr>
        <w:spacing w:after="40"/>
        <w:jc w:val="center"/>
        <w:rPr>
          <w:rFonts w:ascii="Arial" w:hAnsi="Arial" w:cs="Arial"/>
        </w:rPr>
      </w:pPr>
      <w:r w:rsidRPr="009156BF">
        <w:rPr>
          <w:rFonts w:ascii="Arial" w:hAnsi="Arial" w:cs="Arial"/>
          <w:b/>
          <w:bCs/>
          <w:color w:val="1F4E79"/>
          <w:sz w:val="40"/>
          <w:szCs w:val="40"/>
        </w:rPr>
        <w:t>Grayling Conservation Priorities</w:t>
      </w:r>
    </w:p>
    <w:p w14:paraId="52B7BD85" w14:textId="77777777" w:rsidR="00DD697F" w:rsidRPr="009156BF" w:rsidRDefault="00000000">
      <w:pPr>
        <w:spacing w:after="200"/>
        <w:jc w:val="center"/>
        <w:rPr>
          <w:rFonts w:ascii="Arial" w:hAnsi="Arial" w:cs="Arial"/>
        </w:rPr>
      </w:pPr>
      <w:r w:rsidRPr="009156BF">
        <w:rPr>
          <w:rFonts w:ascii="Arial" w:hAnsi="Arial" w:cs="Arial"/>
          <w:color w:val="666666"/>
          <w:sz w:val="26"/>
          <w:szCs w:val="26"/>
        </w:rPr>
        <w:t>A Guide for Grant Applicants</w:t>
      </w:r>
    </w:p>
    <w:tbl>
      <w:tblPr>
        <w:tblW w:w="9026" w:type="dxa"/>
        <w:tblBorders>
          <w:top w:val="single" w:sz="4" w:space="0" w:color="1F4E79"/>
          <w:left w:val="single" w:sz="4" w:space="0" w:color="1F4E79"/>
          <w:bottom w:val="single" w:sz="4" w:space="0" w:color="1F4E79"/>
          <w:right w:val="single" w:sz="4" w:space="0" w:color="1F4E79"/>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026"/>
      </w:tblGrid>
      <w:tr w:rsidR="00DD697F" w:rsidRPr="009156BF" w14:paraId="747228E7" w14:textId="77777777">
        <w:tblPrEx>
          <w:tblCellMar>
            <w:top w:w="0" w:type="dxa"/>
            <w:bottom w:w="0" w:type="dxa"/>
          </w:tblCellMar>
        </w:tblPrEx>
        <w:tc>
          <w:tcPr>
            <w:tcW w:w="9026" w:type="dxa"/>
            <w:shd w:val="clear" w:color="auto" w:fill="DCE6F1"/>
            <w:tcMar>
              <w:top w:w="140" w:type="dxa"/>
              <w:left w:w="180" w:type="dxa"/>
              <w:bottom w:w="140" w:type="dxa"/>
              <w:right w:w="180" w:type="dxa"/>
            </w:tcMar>
          </w:tcPr>
          <w:p w14:paraId="6DEE8B9A" w14:textId="77777777" w:rsidR="00DD697F" w:rsidRPr="009156BF" w:rsidRDefault="00000000">
            <w:pPr>
              <w:spacing w:after="80"/>
              <w:rPr>
                <w:rFonts w:ascii="Arial" w:hAnsi="Arial" w:cs="Arial"/>
              </w:rPr>
            </w:pPr>
            <w:r w:rsidRPr="009156BF">
              <w:rPr>
                <w:rFonts w:ascii="Arial" w:hAnsi="Arial" w:cs="Arial"/>
                <w:b/>
                <w:bCs/>
                <w:color w:val="1F4E79"/>
              </w:rPr>
              <w:t>Purpose of this guide</w:t>
            </w:r>
          </w:p>
          <w:p w14:paraId="736E8F8C" w14:textId="1DB14EB7" w:rsidR="00DD697F" w:rsidRPr="009156BF" w:rsidRDefault="00000000">
            <w:pPr>
              <w:spacing w:after="140"/>
              <w:rPr>
                <w:rFonts w:ascii="Arial" w:hAnsi="Arial" w:cs="Arial"/>
              </w:rPr>
            </w:pPr>
            <w:r w:rsidRPr="009156BF">
              <w:rPr>
                <w:rFonts w:ascii="Arial" w:hAnsi="Arial" w:cs="Arial"/>
              </w:rPr>
              <w:t>This guide accompanies the Conservation Grant Application Form. It summarises the practical, grayling-specific findings of the Grayling Research Trust's European Grayling Conservation, Ecology &amp; Management: A Practical Conservation Guide for the United Kingdom (Cove, Taylor &amp; Gardiner, 2018), so that applicants can judge which projects will benefit grayling</w:t>
            </w:r>
            <w:r w:rsidR="00C37302">
              <w:rPr>
                <w:rFonts w:ascii="Arial" w:hAnsi="Arial" w:cs="Arial"/>
              </w:rPr>
              <w:t xml:space="preserve"> specifically</w:t>
            </w:r>
            <w:r w:rsidRPr="009156BF">
              <w:rPr>
                <w:rFonts w:ascii="Arial" w:hAnsi="Arial" w:cs="Arial"/>
              </w:rPr>
              <w:t>.</w:t>
            </w:r>
          </w:p>
          <w:p w14:paraId="7385F0C2" w14:textId="36257761" w:rsidR="00DD697F" w:rsidRPr="009156BF" w:rsidRDefault="00000000">
            <w:pPr>
              <w:spacing w:after="140"/>
              <w:rPr>
                <w:rFonts w:ascii="Arial" w:hAnsi="Arial" w:cs="Arial"/>
              </w:rPr>
            </w:pPr>
            <w:r w:rsidRPr="009156BF">
              <w:rPr>
                <w:rFonts w:ascii="Arial" w:hAnsi="Arial" w:cs="Arial"/>
                <w:b/>
                <w:bCs/>
              </w:rPr>
              <w:t xml:space="preserve">The single most important message of that guide: </w:t>
            </w:r>
            <w:r w:rsidRPr="009156BF">
              <w:rPr>
                <w:rFonts w:ascii="Arial" w:hAnsi="Arial" w:cs="Arial"/>
                <w:i/>
                <w:iCs/>
              </w:rPr>
              <w:t xml:space="preserve">"there is a misperception that grayling have identical habitat and feeding requirements to brown trout simply because they are often found co-existing in the same stretches of river." </w:t>
            </w:r>
            <w:r w:rsidRPr="009156BF">
              <w:rPr>
                <w:rFonts w:ascii="Arial" w:hAnsi="Arial" w:cs="Arial"/>
              </w:rPr>
              <w:t>They don't and a scheme designed purely around trout can miss, or even work against, what grayling need.</w:t>
            </w:r>
          </w:p>
        </w:tc>
      </w:tr>
    </w:tbl>
    <w:p w14:paraId="5A980B72" w14:textId="77777777" w:rsidR="00DD697F" w:rsidRPr="009156BF" w:rsidRDefault="00000000">
      <w:pPr>
        <w:pStyle w:val="Heading1"/>
        <w:rPr>
          <w:rFonts w:ascii="Arial" w:hAnsi="Arial" w:cs="Arial"/>
        </w:rPr>
      </w:pPr>
      <w:r w:rsidRPr="009156BF">
        <w:rPr>
          <w:rFonts w:ascii="Arial" w:hAnsi="Arial" w:cs="Arial"/>
        </w:rPr>
        <w:t>1. How grayling habitat differs from trout habitat</w:t>
      </w:r>
    </w:p>
    <w:p w14:paraId="15FBF30D" w14:textId="77777777" w:rsidR="00DD697F" w:rsidRPr="009156BF" w:rsidRDefault="00000000">
      <w:pPr>
        <w:spacing w:after="140"/>
        <w:rPr>
          <w:rFonts w:ascii="Arial" w:hAnsi="Arial" w:cs="Arial"/>
        </w:rPr>
      </w:pPr>
      <w:r w:rsidRPr="009156BF">
        <w:rPr>
          <w:rFonts w:ascii="Arial" w:hAnsi="Arial" w:cs="Arial"/>
        </w:rPr>
        <w:t xml:space="preserve">Rivers can be divided into 'trout', 'grayling', 'barbel' and 'bream' zones based on gradient, substrate and water character (Huet, 1959). Grayling </w:t>
      </w:r>
      <w:proofErr w:type="gramStart"/>
      <w:r w:rsidRPr="009156BF">
        <w:rPr>
          <w:rFonts w:ascii="Arial" w:hAnsi="Arial" w:cs="Arial"/>
        </w:rPr>
        <w:t>occupy</w:t>
      </w:r>
      <w:proofErr w:type="gramEnd"/>
      <w:r w:rsidRPr="009156BF">
        <w:rPr>
          <w:rFonts w:ascii="Arial" w:hAnsi="Arial" w:cs="Arial"/>
        </w:rPr>
        <w:t xml:space="preserve"> the zone just downstream of trout water, but their requirements diverge from </w:t>
      </w:r>
      <w:proofErr w:type="gramStart"/>
      <w:r w:rsidRPr="009156BF">
        <w:rPr>
          <w:rFonts w:ascii="Arial" w:hAnsi="Arial" w:cs="Arial"/>
        </w:rPr>
        <w:t>trout's</w:t>
      </w:r>
      <w:proofErr w:type="gramEnd"/>
      <w:r w:rsidRPr="009156BF">
        <w:rPr>
          <w:rFonts w:ascii="Arial" w:hAnsi="Arial" w:cs="Arial"/>
        </w:rPr>
        <w:t xml:space="preserve"> in several practical ways that matter for project design:</w:t>
      </w:r>
    </w:p>
    <w:tbl>
      <w:tblPr>
        <w:tblW w:w="902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1472"/>
        <w:gridCol w:w="3597"/>
        <w:gridCol w:w="3957"/>
      </w:tblGrid>
      <w:tr w:rsidR="00DD697F" w:rsidRPr="009156BF" w14:paraId="18B6B041" w14:textId="77777777">
        <w:tblPrEx>
          <w:tblCellMar>
            <w:top w:w="0" w:type="dxa"/>
            <w:bottom w:w="0" w:type="dxa"/>
          </w:tblCellMar>
        </w:tblPrEx>
        <w:trPr>
          <w:cantSplit/>
          <w:tblHeader/>
        </w:trPr>
        <w:tc>
          <w:tcPr>
            <w:tcW w:w="1444" w:type="dxa"/>
            <w:shd w:val="clear" w:color="auto" w:fill="D9D9D9"/>
            <w:tcMar>
              <w:top w:w="80" w:type="dxa"/>
              <w:left w:w="100" w:type="dxa"/>
              <w:bottom w:w="80" w:type="dxa"/>
              <w:right w:w="100" w:type="dxa"/>
            </w:tcMar>
            <w:vAlign w:val="center"/>
          </w:tcPr>
          <w:p w14:paraId="7DA7FD01" w14:textId="77777777" w:rsidR="00DD697F" w:rsidRPr="009156BF" w:rsidRDefault="00000000">
            <w:pPr>
              <w:rPr>
                <w:rFonts w:ascii="Arial" w:hAnsi="Arial" w:cs="Arial"/>
              </w:rPr>
            </w:pPr>
            <w:r w:rsidRPr="009156BF">
              <w:rPr>
                <w:rFonts w:ascii="Arial" w:hAnsi="Arial" w:cs="Arial"/>
                <w:b/>
                <w:bCs/>
                <w:color w:val="000000"/>
              </w:rPr>
              <w:t>Aspect</w:t>
            </w:r>
          </w:p>
        </w:tc>
        <w:tc>
          <w:tcPr>
            <w:tcW w:w="3610" w:type="dxa"/>
            <w:shd w:val="clear" w:color="auto" w:fill="D9D9D9"/>
            <w:tcMar>
              <w:top w:w="80" w:type="dxa"/>
              <w:left w:w="100" w:type="dxa"/>
              <w:bottom w:w="80" w:type="dxa"/>
              <w:right w:w="100" w:type="dxa"/>
            </w:tcMar>
            <w:vAlign w:val="center"/>
          </w:tcPr>
          <w:p w14:paraId="30A213EA" w14:textId="77777777" w:rsidR="00DD697F" w:rsidRPr="009156BF" w:rsidRDefault="00000000">
            <w:pPr>
              <w:rPr>
                <w:rFonts w:ascii="Arial" w:hAnsi="Arial" w:cs="Arial"/>
              </w:rPr>
            </w:pPr>
            <w:r w:rsidRPr="009156BF">
              <w:rPr>
                <w:rFonts w:ascii="Arial" w:hAnsi="Arial" w:cs="Arial"/>
                <w:color w:val="000000"/>
              </w:rPr>
              <w:t>Trout</w:t>
            </w:r>
          </w:p>
        </w:tc>
        <w:tc>
          <w:tcPr>
            <w:tcW w:w="3971" w:type="dxa"/>
            <w:shd w:val="clear" w:color="auto" w:fill="D9D9D9"/>
            <w:tcMar>
              <w:top w:w="80" w:type="dxa"/>
              <w:left w:w="100" w:type="dxa"/>
              <w:bottom w:w="80" w:type="dxa"/>
              <w:right w:w="100" w:type="dxa"/>
            </w:tcMar>
            <w:vAlign w:val="center"/>
          </w:tcPr>
          <w:p w14:paraId="54E2B7EC" w14:textId="77777777" w:rsidR="00DD697F" w:rsidRPr="009156BF" w:rsidRDefault="00000000">
            <w:pPr>
              <w:rPr>
                <w:rFonts w:ascii="Arial" w:hAnsi="Arial" w:cs="Arial"/>
              </w:rPr>
            </w:pPr>
            <w:r w:rsidRPr="009156BF">
              <w:rPr>
                <w:rFonts w:ascii="Arial" w:hAnsi="Arial" w:cs="Arial"/>
                <w:color w:val="000000"/>
              </w:rPr>
              <w:t>Grayling</w:t>
            </w:r>
          </w:p>
        </w:tc>
      </w:tr>
      <w:tr w:rsidR="00DD697F" w:rsidRPr="009156BF" w14:paraId="65BB2945" w14:textId="77777777">
        <w:tblPrEx>
          <w:tblCellMar>
            <w:top w:w="0" w:type="dxa"/>
            <w:bottom w:w="0" w:type="dxa"/>
          </w:tblCellMar>
        </w:tblPrEx>
        <w:trPr>
          <w:cantSplit/>
        </w:trPr>
        <w:tc>
          <w:tcPr>
            <w:tcW w:w="1444" w:type="dxa"/>
            <w:shd w:val="clear" w:color="auto" w:fill="F2F2F2"/>
            <w:tcMar>
              <w:top w:w="80" w:type="dxa"/>
              <w:left w:w="100" w:type="dxa"/>
              <w:bottom w:w="80" w:type="dxa"/>
              <w:right w:w="100" w:type="dxa"/>
            </w:tcMar>
            <w:vAlign w:val="center"/>
          </w:tcPr>
          <w:p w14:paraId="33946716" w14:textId="77777777" w:rsidR="00DD697F" w:rsidRPr="009156BF" w:rsidRDefault="00000000">
            <w:pPr>
              <w:rPr>
                <w:rFonts w:ascii="Arial" w:hAnsi="Arial" w:cs="Arial"/>
              </w:rPr>
            </w:pPr>
            <w:r w:rsidRPr="009156BF">
              <w:rPr>
                <w:rFonts w:ascii="Arial" w:hAnsi="Arial" w:cs="Arial"/>
                <w:b/>
                <w:bCs/>
                <w:color w:val="000000"/>
              </w:rPr>
              <w:t>River zone</w:t>
            </w:r>
          </w:p>
        </w:tc>
        <w:tc>
          <w:tcPr>
            <w:tcW w:w="3610" w:type="dxa"/>
            <w:tcMar>
              <w:top w:w="80" w:type="dxa"/>
              <w:left w:w="100" w:type="dxa"/>
              <w:bottom w:w="80" w:type="dxa"/>
              <w:right w:w="100" w:type="dxa"/>
            </w:tcMar>
            <w:vAlign w:val="center"/>
          </w:tcPr>
          <w:p w14:paraId="5F4376AE" w14:textId="77777777" w:rsidR="00DD697F" w:rsidRPr="009156BF" w:rsidRDefault="00000000">
            <w:pPr>
              <w:rPr>
                <w:rFonts w:ascii="Arial" w:hAnsi="Arial" w:cs="Arial"/>
              </w:rPr>
            </w:pPr>
            <w:r w:rsidRPr="009156BF">
              <w:rPr>
                <w:rFonts w:ascii="Arial" w:hAnsi="Arial" w:cs="Arial"/>
                <w:color w:val="000000"/>
              </w:rPr>
              <w:t>Upland, very steep gradient; bed of rock, boulders and pebbles.</w:t>
            </w:r>
          </w:p>
        </w:tc>
        <w:tc>
          <w:tcPr>
            <w:tcW w:w="3971" w:type="dxa"/>
            <w:shd w:val="clear" w:color="auto" w:fill="EAF3EA"/>
            <w:tcMar>
              <w:top w:w="80" w:type="dxa"/>
              <w:left w:w="100" w:type="dxa"/>
              <w:bottom w:w="80" w:type="dxa"/>
              <w:right w:w="100" w:type="dxa"/>
            </w:tcMar>
            <w:vAlign w:val="center"/>
          </w:tcPr>
          <w:p w14:paraId="3A2CDA30" w14:textId="77777777" w:rsidR="00DD697F" w:rsidRPr="009156BF" w:rsidRDefault="00000000">
            <w:pPr>
              <w:rPr>
                <w:rFonts w:ascii="Arial" w:hAnsi="Arial" w:cs="Arial"/>
              </w:rPr>
            </w:pPr>
            <w:r w:rsidRPr="009156BF">
              <w:rPr>
                <w:rFonts w:ascii="Arial" w:hAnsi="Arial" w:cs="Arial"/>
                <w:color w:val="000000"/>
              </w:rPr>
              <w:t>Further downstream than trout water; still a steep gradient (typically ~5.7 m/km) but wider, with a gravel/sand bed. Rarely found in channels under 5m wide even where the gradient suits.</w:t>
            </w:r>
          </w:p>
        </w:tc>
      </w:tr>
      <w:tr w:rsidR="00DD697F" w:rsidRPr="009156BF" w14:paraId="0E784725" w14:textId="77777777">
        <w:tblPrEx>
          <w:tblCellMar>
            <w:top w:w="0" w:type="dxa"/>
            <w:bottom w:w="0" w:type="dxa"/>
          </w:tblCellMar>
        </w:tblPrEx>
        <w:trPr>
          <w:cantSplit/>
        </w:trPr>
        <w:tc>
          <w:tcPr>
            <w:tcW w:w="1444" w:type="dxa"/>
            <w:shd w:val="clear" w:color="auto" w:fill="F2F2F2"/>
            <w:tcMar>
              <w:top w:w="80" w:type="dxa"/>
              <w:left w:w="100" w:type="dxa"/>
              <w:bottom w:w="80" w:type="dxa"/>
              <w:right w:w="100" w:type="dxa"/>
            </w:tcMar>
            <w:vAlign w:val="center"/>
          </w:tcPr>
          <w:p w14:paraId="582B20FE" w14:textId="77777777" w:rsidR="00DD697F" w:rsidRPr="009156BF" w:rsidRDefault="00000000">
            <w:pPr>
              <w:rPr>
                <w:rFonts w:ascii="Arial" w:hAnsi="Arial" w:cs="Arial"/>
              </w:rPr>
            </w:pPr>
            <w:r w:rsidRPr="009156BF">
              <w:rPr>
                <w:rFonts w:ascii="Arial" w:hAnsi="Arial" w:cs="Arial"/>
                <w:b/>
                <w:bCs/>
                <w:color w:val="000000"/>
              </w:rPr>
              <w:t>Habitat structure</w:t>
            </w:r>
          </w:p>
        </w:tc>
        <w:tc>
          <w:tcPr>
            <w:tcW w:w="3610" w:type="dxa"/>
            <w:tcMar>
              <w:top w:w="80" w:type="dxa"/>
              <w:left w:w="100" w:type="dxa"/>
              <w:bottom w:w="80" w:type="dxa"/>
              <w:right w:w="100" w:type="dxa"/>
            </w:tcMar>
            <w:vAlign w:val="center"/>
          </w:tcPr>
          <w:p w14:paraId="099DA3D1" w14:textId="77777777" w:rsidR="00DD697F" w:rsidRPr="009156BF" w:rsidRDefault="00000000">
            <w:pPr>
              <w:rPr>
                <w:rFonts w:ascii="Arial" w:hAnsi="Arial" w:cs="Arial"/>
              </w:rPr>
            </w:pPr>
            <w:r w:rsidRPr="009156BF">
              <w:rPr>
                <w:rFonts w:ascii="Arial" w:hAnsi="Arial" w:cs="Arial"/>
                <w:color w:val="000000"/>
              </w:rPr>
              <w:t>Favours pools, undercut banks and marginal cover (roots, woody debris) as refuges.</w:t>
            </w:r>
          </w:p>
        </w:tc>
        <w:tc>
          <w:tcPr>
            <w:tcW w:w="3971" w:type="dxa"/>
            <w:shd w:val="clear" w:color="auto" w:fill="EAF3EA"/>
            <w:tcMar>
              <w:top w:w="80" w:type="dxa"/>
              <w:left w:w="100" w:type="dxa"/>
              <w:bottom w:w="80" w:type="dxa"/>
              <w:right w:w="100" w:type="dxa"/>
            </w:tcMar>
            <w:vAlign w:val="center"/>
          </w:tcPr>
          <w:p w14:paraId="7FA23FD8" w14:textId="77777777" w:rsidR="00DD697F" w:rsidRPr="009156BF" w:rsidRDefault="00000000">
            <w:pPr>
              <w:rPr>
                <w:rFonts w:ascii="Arial" w:hAnsi="Arial" w:cs="Arial"/>
              </w:rPr>
            </w:pPr>
            <w:r w:rsidRPr="009156BF">
              <w:rPr>
                <w:rFonts w:ascii="Arial" w:hAnsi="Arial" w:cs="Arial"/>
                <w:color w:val="000000"/>
              </w:rPr>
              <w:t>Needs a good sequence of pool–riffle–glide–run with strong connectivity between them through the year; tends to occupy the open main channel rather than margins.</w:t>
            </w:r>
          </w:p>
        </w:tc>
      </w:tr>
      <w:tr w:rsidR="00DD697F" w:rsidRPr="009156BF" w14:paraId="624B8A0E" w14:textId="77777777">
        <w:tblPrEx>
          <w:tblCellMar>
            <w:top w:w="0" w:type="dxa"/>
            <w:bottom w:w="0" w:type="dxa"/>
          </w:tblCellMar>
        </w:tblPrEx>
        <w:trPr>
          <w:cantSplit/>
        </w:trPr>
        <w:tc>
          <w:tcPr>
            <w:tcW w:w="1444" w:type="dxa"/>
            <w:shd w:val="clear" w:color="auto" w:fill="F2F2F2"/>
            <w:tcMar>
              <w:top w:w="80" w:type="dxa"/>
              <w:left w:w="100" w:type="dxa"/>
              <w:bottom w:w="80" w:type="dxa"/>
              <w:right w:w="100" w:type="dxa"/>
            </w:tcMar>
            <w:vAlign w:val="center"/>
          </w:tcPr>
          <w:p w14:paraId="374E0BB7" w14:textId="77777777" w:rsidR="00DD697F" w:rsidRPr="009156BF" w:rsidRDefault="00000000">
            <w:pPr>
              <w:rPr>
                <w:rFonts w:ascii="Arial" w:hAnsi="Arial" w:cs="Arial"/>
              </w:rPr>
            </w:pPr>
            <w:r w:rsidRPr="009156BF">
              <w:rPr>
                <w:rFonts w:ascii="Arial" w:hAnsi="Arial" w:cs="Arial"/>
                <w:b/>
                <w:bCs/>
                <w:color w:val="000000"/>
              </w:rPr>
              <w:t>In-stream cover / weed</w:t>
            </w:r>
          </w:p>
        </w:tc>
        <w:tc>
          <w:tcPr>
            <w:tcW w:w="3610" w:type="dxa"/>
            <w:tcMar>
              <w:top w:w="80" w:type="dxa"/>
              <w:left w:w="100" w:type="dxa"/>
              <w:bottom w:w="80" w:type="dxa"/>
              <w:right w:w="100" w:type="dxa"/>
            </w:tcMar>
            <w:vAlign w:val="center"/>
          </w:tcPr>
          <w:p w14:paraId="48244AF0" w14:textId="77777777" w:rsidR="00DD697F" w:rsidRPr="009156BF" w:rsidRDefault="00000000">
            <w:pPr>
              <w:rPr>
                <w:rFonts w:ascii="Arial" w:hAnsi="Arial" w:cs="Arial"/>
              </w:rPr>
            </w:pPr>
            <w:r w:rsidRPr="009156BF">
              <w:rPr>
                <w:rFonts w:ascii="Arial" w:hAnsi="Arial" w:cs="Arial"/>
                <w:color w:val="000000"/>
              </w:rPr>
              <w:t>Actively seeks marginal and woody cover.</w:t>
            </w:r>
          </w:p>
        </w:tc>
        <w:tc>
          <w:tcPr>
            <w:tcW w:w="3971" w:type="dxa"/>
            <w:shd w:val="clear" w:color="auto" w:fill="EAF3EA"/>
            <w:tcMar>
              <w:top w:w="80" w:type="dxa"/>
              <w:left w:w="100" w:type="dxa"/>
              <w:bottom w:w="80" w:type="dxa"/>
              <w:right w:w="100" w:type="dxa"/>
            </w:tcMar>
            <w:vAlign w:val="center"/>
          </w:tcPr>
          <w:p w14:paraId="335BC2C3" w14:textId="77777777" w:rsidR="00DD697F" w:rsidRPr="009156BF" w:rsidRDefault="00000000">
            <w:pPr>
              <w:rPr>
                <w:rFonts w:ascii="Arial" w:hAnsi="Arial" w:cs="Arial"/>
              </w:rPr>
            </w:pPr>
            <w:r w:rsidRPr="009156BF">
              <w:rPr>
                <w:rFonts w:ascii="Arial" w:hAnsi="Arial" w:cs="Arial"/>
                <w:color w:val="000000"/>
              </w:rPr>
              <w:t xml:space="preserve">Actively avoids dense macrophyte cover and marginal/woody refuge habitat when adult; weed still matters as invertebrate food and fry </w:t>
            </w:r>
            <w:proofErr w:type="gramStart"/>
            <w:r w:rsidRPr="009156BF">
              <w:rPr>
                <w:rFonts w:ascii="Arial" w:hAnsi="Arial" w:cs="Arial"/>
                <w:color w:val="000000"/>
              </w:rPr>
              <w:t>refuge, but</w:t>
            </w:r>
            <w:proofErr w:type="gramEnd"/>
            <w:r w:rsidRPr="009156BF">
              <w:rPr>
                <w:rFonts w:ascii="Arial" w:hAnsi="Arial" w:cs="Arial"/>
                <w:color w:val="000000"/>
              </w:rPr>
              <w:t xml:space="preserve"> is not a substitute for open riffle-glide-run habitat.</w:t>
            </w:r>
          </w:p>
        </w:tc>
      </w:tr>
      <w:tr w:rsidR="00DD697F" w:rsidRPr="009156BF" w14:paraId="1A5EB8D7" w14:textId="77777777">
        <w:tblPrEx>
          <w:tblCellMar>
            <w:top w:w="0" w:type="dxa"/>
            <w:bottom w:w="0" w:type="dxa"/>
          </w:tblCellMar>
        </w:tblPrEx>
        <w:trPr>
          <w:cantSplit/>
        </w:trPr>
        <w:tc>
          <w:tcPr>
            <w:tcW w:w="1444" w:type="dxa"/>
            <w:shd w:val="clear" w:color="auto" w:fill="F2F2F2"/>
            <w:tcMar>
              <w:top w:w="80" w:type="dxa"/>
              <w:left w:w="100" w:type="dxa"/>
              <w:bottom w:w="80" w:type="dxa"/>
              <w:right w:w="100" w:type="dxa"/>
            </w:tcMar>
            <w:vAlign w:val="center"/>
          </w:tcPr>
          <w:p w14:paraId="06FC256A" w14:textId="77777777" w:rsidR="00DD697F" w:rsidRPr="009156BF" w:rsidRDefault="00000000">
            <w:pPr>
              <w:rPr>
                <w:rFonts w:ascii="Arial" w:hAnsi="Arial" w:cs="Arial"/>
              </w:rPr>
            </w:pPr>
            <w:r w:rsidRPr="009156BF">
              <w:rPr>
                <w:rFonts w:ascii="Arial" w:hAnsi="Arial" w:cs="Arial"/>
                <w:b/>
                <w:bCs/>
                <w:color w:val="000000"/>
              </w:rPr>
              <w:t>Spawning</w:t>
            </w:r>
          </w:p>
        </w:tc>
        <w:tc>
          <w:tcPr>
            <w:tcW w:w="3610" w:type="dxa"/>
            <w:tcMar>
              <w:top w:w="80" w:type="dxa"/>
              <w:left w:w="100" w:type="dxa"/>
              <w:bottom w:w="80" w:type="dxa"/>
              <w:right w:w="100" w:type="dxa"/>
            </w:tcMar>
            <w:vAlign w:val="center"/>
          </w:tcPr>
          <w:p w14:paraId="1233FD52" w14:textId="77777777" w:rsidR="00DD697F" w:rsidRPr="009156BF" w:rsidRDefault="00000000">
            <w:pPr>
              <w:rPr>
                <w:rFonts w:ascii="Arial" w:hAnsi="Arial" w:cs="Arial"/>
              </w:rPr>
            </w:pPr>
            <w:r w:rsidRPr="009156BF">
              <w:rPr>
                <w:rFonts w:ascii="Arial" w:hAnsi="Arial" w:cs="Arial"/>
                <w:color w:val="000000"/>
              </w:rPr>
              <w:t>Autumn/winter; digs a large redd.</w:t>
            </w:r>
          </w:p>
        </w:tc>
        <w:tc>
          <w:tcPr>
            <w:tcW w:w="3971" w:type="dxa"/>
            <w:shd w:val="clear" w:color="auto" w:fill="EAF3EA"/>
            <w:tcMar>
              <w:top w:w="80" w:type="dxa"/>
              <w:left w:w="100" w:type="dxa"/>
              <w:bottom w:w="80" w:type="dxa"/>
              <w:right w:w="100" w:type="dxa"/>
            </w:tcMar>
            <w:vAlign w:val="center"/>
          </w:tcPr>
          <w:p w14:paraId="6F89F3E6" w14:textId="77777777" w:rsidR="00DD697F" w:rsidRPr="009156BF" w:rsidRDefault="00000000">
            <w:pPr>
              <w:rPr>
                <w:rFonts w:ascii="Arial" w:hAnsi="Arial" w:cs="Arial"/>
              </w:rPr>
            </w:pPr>
            <w:r w:rsidRPr="009156BF">
              <w:rPr>
                <w:rFonts w:ascii="Arial" w:hAnsi="Arial" w:cs="Arial"/>
                <w:color w:val="000000"/>
              </w:rPr>
              <w:t>Spring (March–mid-May), water 3–11°C; does not excavate a large redd. Needs clean, silt-free gravel 2–8cm (optimal 16–32mm), ~30–40cm water depth and 50–60cm/s velocity.</w:t>
            </w:r>
          </w:p>
        </w:tc>
      </w:tr>
      <w:tr w:rsidR="00DD697F" w:rsidRPr="009156BF" w14:paraId="240BA2EF" w14:textId="77777777">
        <w:tblPrEx>
          <w:tblCellMar>
            <w:top w:w="0" w:type="dxa"/>
            <w:bottom w:w="0" w:type="dxa"/>
          </w:tblCellMar>
        </w:tblPrEx>
        <w:trPr>
          <w:cantSplit/>
        </w:trPr>
        <w:tc>
          <w:tcPr>
            <w:tcW w:w="1444" w:type="dxa"/>
            <w:shd w:val="clear" w:color="auto" w:fill="F2F2F2"/>
            <w:tcMar>
              <w:top w:w="80" w:type="dxa"/>
              <w:left w:w="100" w:type="dxa"/>
              <w:bottom w:w="80" w:type="dxa"/>
              <w:right w:w="100" w:type="dxa"/>
            </w:tcMar>
            <w:vAlign w:val="center"/>
          </w:tcPr>
          <w:p w14:paraId="3EE5D45E" w14:textId="77777777" w:rsidR="00DD697F" w:rsidRPr="009156BF" w:rsidRDefault="00000000">
            <w:pPr>
              <w:rPr>
                <w:rFonts w:ascii="Arial" w:hAnsi="Arial" w:cs="Arial"/>
              </w:rPr>
            </w:pPr>
            <w:r w:rsidRPr="009156BF">
              <w:rPr>
                <w:rFonts w:ascii="Arial" w:hAnsi="Arial" w:cs="Arial"/>
                <w:b/>
                <w:bCs/>
                <w:color w:val="000000"/>
              </w:rPr>
              <w:lastRenderedPageBreak/>
              <w:t>Pollution / temperature tolerance</w:t>
            </w:r>
          </w:p>
        </w:tc>
        <w:tc>
          <w:tcPr>
            <w:tcW w:w="3610" w:type="dxa"/>
            <w:tcMar>
              <w:top w:w="80" w:type="dxa"/>
              <w:left w:w="100" w:type="dxa"/>
              <w:bottom w:w="80" w:type="dxa"/>
              <w:right w:w="100" w:type="dxa"/>
            </w:tcMar>
            <w:vAlign w:val="center"/>
          </w:tcPr>
          <w:p w14:paraId="1210DFD6" w14:textId="77777777" w:rsidR="00DD697F" w:rsidRPr="009156BF" w:rsidRDefault="00000000">
            <w:pPr>
              <w:rPr>
                <w:rFonts w:ascii="Arial" w:hAnsi="Arial" w:cs="Arial"/>
              </w:rPr>
            </w:pPr>
            <w:r w:rsidRPr="009156BF">
              <w:rPr>
                <w:rFonts w:ascii="Arial" w:hAnsi="Arial" w:cs="Arial"/>
                <w:color w:val="000000"/>
              </w:rPr>
              <w:t>Liver-to-body-weight ratio ~2.0% (salmon 1.12%, rainbow trout 1.53%).</w:t>
            </w:r>
          </w:p>
        </w:tc>
        <w:tc>
          <w:tcPr>
            <w:tcW w:w="3971" w:type="dxa"/>
            <w:shd w:val="clear" w:color="auto" w:fill="EAF3EA"/>
            <w:tcMar>
              <w:top w:w="80" w:type="dxa"/>
              <w:left w:w="100" w:type="dxa"/>
              <w:bottom w:w="80" w:type="dxa"/>
              <w:right w:w="100" w:type="dxa"/>
            </w:tcMar>
            <w:vAlign w:val="center"/>
          </w:tcPr>
          <w:p w14:paraId="2C67C55F" w14:textId="7E9C2D58" w:rsidR="00DD697F" w:rsidRPr="009156BF" w:rsidRDefault="00000000">
            <w:pPr>
              <w:rPr>
                <w:rFonts w:ascii="Arial" w:hAnsi="Arial" w:cs="Arial"/>
              </w:rPr>
            </w:pPr>
            <w:r w:rsidRPr="009156BF">
              <w:rPr>
                <w:rFonts w:ascii="Arial" w:hAnsi="Arial" w:cs="Arial"/>
                <w:color w:val="000000"/>
              </w:rPr>
              <w:t xml:space="preserve">Liver-to-body-weight ratio only ~0.95% – the lowest of UK salmonids – consistent with grayling succumbing to organic pollution and high temperature more readily than trout. Sustained </w:t>
            </w:r>
            <w:r w:rsidR="00C37302">
              <w:rPr>
                <w:rFonts w:ascii="Arial" w:hAnsi="Arial" w:cs="Arial"/>
                <w:color w:val="000000"/>
              </w:rPr>
              <w:t xml:space="preserve">dissolved </w:t>
            </w:r>
            <w:proofErr w:type="spellStart"/>
            <w:r w:rsidR="00C37302">
              <w:rPr>
                <w:rFonts w:ascii="Arial" w:hAnsi="Arial" w:cs="Arial"/>
                <w:color w:val="000000"/>
              </w:rPr>
              <w:t>oxigen</w:t>
            </w:r>
            <w:proofErr w:type="spellEnd"/>
            <w:r w:rsidRPr="009156BF">
              <w:rPr>
                <w:rFonts w:ascii="Arial" w:hAnsi="Arial" w:cs="Arial"/>
                <w:color w:val="000000"/>
              </w:rPr>
              <w:t xml:space="preserve"> &lt;4mg/l or water &gt;25°C is fatal.</w:t>
            </w:r>
          </w:p>
        </w:tc>
      </w:tr>
      <w:tr w:rsidR="00DD697F" w:rsidRPr="009156BF" w14:paraId="3F5B827B" w14:textId="77777777">
        <w:tblPrEx>
          <w:tblCellMar>
            <w:top w:w="0" w:type="dxa"/>
            <w:bottom w:w="0" w:type="dxa"/>
          </w:tblCellMar>
        </w:tblPrEx>
        <w:trPr>
          <w:cantSplit/>
        </w:trPr>
        <w:tc>
          <w:tcPr>
            <w:tcW w:w="1444" w:type="dxa"/>
            <w:shd w:val="clear" w:color="auto" w:fill="F2F2F2"/>
            <w:tcMar>
              <w:top w:w="80" w:type="dxa"/>
              <w:left w:w="100" w:type="dxa"/>
              <w:bottom w:w="80" w:type="dxa"/>
              <w:right w:w="100" w:type="dxa"/>
            </w:tcMar>
            <w:vAlign w:val="center"/>
          </w:tcPr>
          <w:p w14:paraId="6D7660FF" w14:textId="77777777" w:rsidR="00DD697F" w:rsidRPr="009156BF" w:rsidRDefault="00000000">
            <w:pPr>
              <w:rPr>
                <w:rFonts w:ascii="Arial" w:hAnsi="Arial" w:cs="Arial"/>
              </w:rPr>
            </w:pPr>
            <w:r w:rsidRPr="009156BF">
              <w:rPr>
                <w:rFonts w:ascii="Arial" w:hAnsi="Arial" w:cs="Arial"/>
                <w:b/>
                <w:bCs/>
                <w:color w:val="000000"/>
              </w:rPr>
              <w:t>Juvenile behaviour</w:t>
            </w:r>
          </w:p>
        </w:tc>
        <w:tc>
          <w:tcPr>
            <w:tcW w:w="3610" w:type="dxa"/>
            <w:tcMar>
              <w:top w:w="80" w:type="dxa"/>
              <w:left w:w="100" w:type="dxa"/>
              <w:bottom w:w="80" w:type="dxa"/>
              <w:right w:w="100" w:type="dxa"/>
            </w:tcMar>
            <w:vAlign w:val="center"/>
          </w:tcPr>
          <w:p w14:paraId="7173FCFC" w14:textId="77777777" w:rsidR="00DD697F" w:rsidRPr="009156BF" w:rsidRDefault="00000000">
            <w:pPr>
              <w:rPr>
                <w:rFonts w:ascii="Arial" w:hAnsi="Arial" w:cs="Arial"/>
              </w:rPr>
            </w:pPr>
            <w:r w:rsidRPr="009156BF">
              <w:rPr>
                <w:rFonts w:ascii="Arial" w:hAnsi="Arial" w:cs="Arial"/>
                <w:color w:val="000000"/>
              </w:rPr>
              <w:t>Nocturnal; shelters in margins/cover.</w:t>
            </w:r>
          </w:p>
        </w:tc>
        <w:tc>
          <w:tcPr>
            <w:tcW w:w="3971" w:type="dxa"/>
            <w:shd w:val="clear" w:color="auto" w:fill="EAF3EA"/>
            <w:tcMar>
              <w:top w:w="80" w:type="dxa"/>
              <w:left w:w="100" w:type="dxa"/>
              <w:bottom w:w="80" w:type="dxa"/>
              <w:right w:w="100" w:type="dxa"/>
            </w:tcMar>
            <w:vAlign w:val="center"/>
          </w:tcPr>
          <w:p w14:paraId="09BD5466" w14:textId="77777777" w:rsidR="00DD697F" w:rsidRPr="009156BF" w:rsidRDefault="00000000">
            <w:pPr>
              <w:rPr>
                <w:rFonts w:ascii="Arial" w:hAnsi="Arial" w:cs="Arial"/>
              </w:rPr>
            </w:pPr>
            <w:r w:rsidRPr="009156BF">
              <w:rPr>
                <w:rFonts w:ascii="Arial" w:hAnsi="Arial" w:cs="Arial"/>
                <w:color w:val="000000"/>
              </w:rPr>
              <w:t xml:space="preserve">Diurnal – fry emerge and feed by day, unlike other salmonids. Post-emergent fry </w:t>
            </w:r>
            <w:proofErr w:type="gramStart"/>
            <w:r w:rsidRPr="009156BF">
              <w:rPr>
                <w:rFonts w:ascii="Arial" w:hAnsi="Arial" w:cs="Arial"/>
                <w:color w:val="000000"/>
              </w:rPr>
              <w:t>occupy</w:t>
            </w:r>
            <w:proofErr w:type="gramEnd"/>
            <w:r w:rsidRPr="009156BF">
              <w:rPr>
                <w:rFonts w:ascii="Arial" w:hAnsi="Arial" w:cs="Arial"/>
                <w:color w:val="000000"/>
              </w:rPr>
              <w:t xml:space="preserve"> the slow-flow marginal 'Dead Zone' before moving through a 'Transition Zone' to the Main Channel as they grow past ~6cm.</w:t>
            </w:r>
          </w:p>
        </w:tc>
      </w:tr>
      <w:tr w:rsidR="00DD697F" w:rsidRPr="009156BF" w14:paraId="6C14D552" w14:textId="77777777">
        <w:tblPrEx>
          <w:tblCellMar>
            <w:top w:w="0" w:type="dxa"/>
            <w:bottom w:w="0" w:type="dxa"/>
          </w:tblCellMar>
        </w:tblPrEx>
        <w:trPr>
          <w:cantSplit/>
        </w:trPr>
        <w:tc>
          <w:tcPr>
            <w:tcW w:w="1444" w:type="dxa"/>
            <w:shd w:val="clear" w:color="auto" w:fill="F2F2F2"/>
            <w:tcMar>
              <w:top w:w="80" w:type="dxa"/>
              <w:left w:w="100" w:type="dxa"/>
              <w:bottom w:w="80" w:type="dxa"/>
              <w:right w:w="100" w:type="dxa"/>
            </w:tcMar>
            <w:vAlign w:val="center"/>
          </w:tcPr>
          <w:p w14:paraId="34A96FB7" w14:textId="77777777" w:rsidR="00DD697F" w:rsidRPr="009156BF" w:rsidRDefault="00000000">
            <w:pPr>
              <w:rPr>
                <w:rFonts w:ascii="Arial" w:hAnsi="Arial" w:cs="Arial"/>
              </w:rPr>
            </w:pPr>
            <w:r w:rsidRPr="009156BF">
              <w:rPr>
                <w:rFonts w:ascii="Arial" w:hAnsi="Arial" w:cs="Arial"/>
                <w:b/>
                <w:bCs/>
                <w:color w:val="000000"/>
              </w:rPr>
              <w:t>Feeding</w:t>
            </w:r>
          </w:p>
        </w:tc>
        <w:tc>
          <w:tcPr>
            <w:tcW w:w="3610" w:type="dxa"/>
            <w:tcMar>
              <w:top w:w="80" w:type="dxa"/>
              <w:left w:w="100" w:type="dxa"/>
              <w:bottom w:w="80" w:type="dxa"/>
              <w:right w:w="100" w:type="dxa"/>
            </w:tcMar>
            <w:vAlign w:val="center"/>
          </w:tcPr>
          <w:p w14:paraId="632FA0CF" w14:textId="77777777" w:rsidR="00DD697F" w:rsidRPr="009156BF" w:rsidRDefault="00000000">
            <w:pPr>
              <w:rPr>
                <w:rFonts w:ascii="Arial" w:hAnsi="Arial" w:cs="Arial"/>
              </w:rPr>
            </w:pPr>
            <w:r w:rsidRPr="009156BF">
              <w:rPr>
                <w:rFonts w:ascii="Arial" w:hAnsi="Arial" w:cs="Arial"/>
                <w:color w:val="000000"/>
              </w:rPr>
              <w:t>Opportunistic, includes larger prey and terrestrial drop-in.</w:t>
            </w:r>
          </w:p>
        </w:tc>
        <w:tc>
          <w:tcPr>
            <w:tcW w:w="3971" w:type="dxa"/>
            <w:shd w:val="clear" w:color="auto" w:fill="EAF3EA"/>
            <w:tcMar>
              <w:top w:w="80" w:type="dxa"/>
              <w:left w:w="100" w:type="dxa"/>
              <w:bottom w:w="80" w:type="dxa"/>
              <w:right w:w="100" w:type="dxa"/>
            </w:tcMar>
            <w:vAlign w:val="center"/>
          </w:tcPr>
          <w:p w14:paraId="35392388" w14:textId="77777777" w:rsidR="00DD697F" w:rsidRPr="009156BF" w:rsidRDefault="00000000">
            <w:pPr>
              <w:rPr>
                <w:rFonts w:ascii="Arial" w:hAnsi="Arial" w:cs="Arial"/>
              </w:rPr>
            </w:pPr>
            <w:r w:rsidRPr="009156BF">
              <w:rPr>
                <w:rFonts w:ascii="Arial" w:hAnsi="Arial" w:cs="Arial"/>
                <w:color w:val="000000"/>
              </w:rPr>
              <w:t>Fry feed pelagically on drifting chironomids in the upper water column; juveniles and adults become benthic feeders. Competition with trout is generally low because habitat and diet preferences differ.</w:t>
            </w:r>
          </w:p>
        </w:tc>
      </w:tr>
      <w:tr w:rsidR="00DD697F" w:rsidRPr="009156BF" w14:paraId="1BC39093" w14:textId="77777777">
        <w:tblPrEx>
          <w:tblCellMar>
            <w:top w:w="0" w:type="dxa"/>
            <w:bottom w:w="0" w:type="dxa"/>
          </w:tblCellMar>
        </w:tblPrEx>
        <w:trPr>
          <w:cantSplit/>
        </w:trPr>
        <w:tc>
          <w:tcPr>
            <w:tcW w:w="1444" w:type="dxa"/>
            <w:shd w:val="clear" w:color="auto" w:fill="F2F2F2"/>
            <w:tcMar>
              <w:top w:w="80" w:type="dxa"/>
              <w:left w:w="100" w:type="dxa"/>
              <w:bottom w:w="80" w:type="dxa"/>
              <w:right w:w="100" w:type="dxa"/>
            </w:tcMar>
            <w:vAlign w:val="center"/>
          </w:tcPr>
          <w:p w14:paraId="76489E7A" w14:textId="77777777" w:rsidR="00DD697F" w:rsidRPr="009156BF" w:rsidRDefault="00000000">
            <w:pPr>
              <w:rPr>
                <w:rFonts w:ascii="Arial" w:hAnsi="Arial" w:cs="Arial"/>
              </w:rPr>
            </w:pPr>
            <w:r w:rsidRPr="009156BF">
              <w:rPr>
                <w:rFonts w:ascii="Arial" w:hAnsi="Arial" w:cs="Arial"/>
                <w:b/>
                <w:bCs/>
                <w:color w:val="000000"/>
              </w:rPr>
              <w:t>Response to habitat works</w:t>
            </w:r>
          </w:p>
        </w:tc>
        <w:tc>
          <w:tcPr>
            <w:tcW w:w="3610" w:type="dxa"/>
            <w:tcMar>
              <w:top w:w="80" w:type="dxa"/>
              <w:left w:w="100" w:type="dxa"/>
              <w:bottom w:w="80" w:type="dxa"/>
              <w:right w:w="100" w:type="dxa"/>
            </w:tcMar>
            <w:vAlign w:val="center"/>
          </w:tcPr>
          <w:p w14:paraId="5AF4998B" w14:textId="77777777" w:rsidR="00DD697F" w:rsidRPr="009156BF" w:rsidRDefault="00000000">
            <w:pPr>
              <w:rPr>
                <w:rFonts w:ascii="Arial" w:hAnsi="Arial" w:cs="Arial"/>
              </w:rPr>
            </w:pPr>
            <w:r w:rsidRPr="009156BF">
              <w:rPr>
                <w:rFonts w:ascii="Arial" w:hAnsi="Arial" w:cs="Arial"/>
                <w:color w:val="000000"/>
              </w:rPr>
              <w:t>Benefits strongly from Large Woody Debris and marginal refuge creation.</w:t>
            </w:r>
          </w:p>
        </w:tc>
        <w:tc>
          <w:tcPr>
            <w:tcW w:w="3971" w:type="dxa"/>
            <w:shd w:val="clear" w:color="auto" w:fill="EAF3EA"/>
            <w:tcMar>
              <w:top w:w="80" w:type="dxa"/>
              <w:left w:w="100" w:type="dxa"/>
              <w:bottom w:w="80" w:type="dxa"/>
              <w:right w:w="100" w:type="dxa"/>
            </w:tcMar>
            <w:vAlign w:val="center"/>
          </w:tcPr>
          <w:p w14:paraId="74B340A3" w14:textId="77777777" w:rsidR="00DD697F" w:rsidRPr="009156BF" w:rsidRDefault="00000000">
            <w:pPr>
              <w:rPr>
                <w:rFonts w:ascii="Arial" w:hAnsi="Arial" w:cs="Arial"/>
              </w:rPr>
            </w:pPr>
            <w:r w:rsidRPr="009156BF">
              <w:rPr>
                <w:rFonts w:ascii="Arial" w:hAnsi="Arial" w:cs="Arial"/>
                <w:color w:val="000000"/>
              </w:rPr>
              <w:t>Gets comparatively little benefit from LWD/marginal refuge (may even avoid it); benefits more from open, diverse riffle-glide-run mosaics, spawning gravel and connectivity.</w:t>
            </w:r>
          </w:p>
        </w:tc>
      </w:tr>
    </w:tbl>
    <w:p w14:paraId="388E0556" w14:textId="77777777" w:rsidR="00DD697F" w:rsidRPr="009156BF" w:rsidRDefault="00000000">
      <w:pPr>
        <w:spacing w:before="60" w:after="40"/>
        <w:rPr>
          <w:rFonts w:ascii="Arial" w:hAnsi="Arial" w:cs="Arial"/>
        </w:rPr>
      </w:pPr>
      <w:r w:rsidRPr="009156BF">
        <w:rPr>
          <w:rFonts w:ascii="Arial" w:hAnsi="Arial" w:cs="Arial"/>
          <w:i/>
          <w:iCs/>
          <w:color w:val="555555"/>
          <w:sz w:val="20"/>
          <w:szCs w:val="20"/>
        </w:rPr>
        <w:t>Source: Grayling Research Trust, European Grayling Conservation, Ecology &amp; Management (2018), pp.1, 5–11, 58–63.</w:t>
      </w:r>
    </w:p>
    <w:p w14:paraId="3B6F74FB" w14:textId="4884916A" w:rsidR="00DD697F" w:rsidRPr="009156BF" w:rsidRDefault="00000000">
      <w:pPr>
        <w:pStyle w:val="Heading1"/>
        <w:rPr>
          <w:rFonts w:ascii="Arial" w:hAnsi="Arial" w:cs="Arial"/>
        </w:rPr>
      </w:pPr>
      <w:r w:rsidRPr="009156BF">
        <w:rPr>
          <w:rFonts w:ascii="Arial" w:hAnsi="Arial" w:cs="Arial"/>
        </w:rPr>
        <w:t>2. Priority initiatives for grant funding</w:t>
      </w:r>
    </w:p>
    <w:p w14:paraId="3DE798A0" w14:textId="77777777" w:rsidR="00DD697F" w:rsidRPr="009156BF" w:rsidRDefault="00000000">
      <w:pPr>
        <w:spacing w:after="140"/>
        <w:rPr>
          <w:rFonts w:ascii="Arial" w:hAnsi="Arial" w:cs="Arial"/>
        </w:rPr>
      </w:pPr>
      <w:r w:rsidRPr="009156BF">
        <w:rPr>
          <w:rFonts w:ascii="Arial" w:hAnsi="Arial" w:cs="Arial"/>
        </w:rPr>
        <w:t>These categories are drawn directly from the guide's own "River Restoration and Rehabilitation Techniques" chapter and its closing "Evidence Gaps and Opportunities." Use them to describe your project's rationale in Section 3 of the application form.</w:t>
      </w:r>
    </w:p>
    <w:p w14:paraId="78D70AFD" w14:textId="77777777" w:rsidR="00DD697F" w:rsidRPr="009156BF" w:rsidRDefault="00000000">
      <w:pPr>
        <w:pStyle w:val="Heading2"/>
        <w:rPr>
          <w:rFonts w:ascii="Arial" w:hAnsi="Arial" w:cs="Arial"/>
        </w:rPr>
      </w:pPr>
      <w:r w:rsidRPr="009156BF">
        <w:rPr>
          <w:rFonts w:ascii="Arial" w:hAnsi="Arial" w:cs="Arial"/>
        </w:rPr>
        <w:t>High priority – strong, evidence-backed grayling benefit</w:t>
      </w:r>
    </w:p>
    <w:tbl>
      <w:tblPr>
        <w:tblW w:w="902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2708"/>
        <w:gridCol w:w="6318"/>
      </w:tblGrid>
      <w:tr w:rsidR="00DD697F" w:rsidRPr="009156BF" w14:paraId="79713CBB" w14:textId="77777777">
        <w:tblPrEx>
          <w:tblCellMar>
            <w:top w:w="0" w:type="dxa"/>
            <w:bottom w:w="0" w:type="dxa"/>
          </w:tblCellMar>
        </w:tblPrEx>
        <w:trPr>
          <w:cantSplit/>
          <w:tblHeader/>
        </w:trPr>
        <w:tc>
          <w:tcPr>
            <w:tcW w:w="2708" w:type="dxa"/>
            <w:shd w:val="clear" w:color="auto" w:fill="D9D9D9"/>
            <w:tcMar>
              <w:top w:w="80" w:type="dxa"/>
              <w:left w:w="100" w:type="dxa"/>
              <w:bottom w:w="80" w:type="dxa"/>
              <w:right w:w="100" w:type="dxa"/>
            </w:tcMar>
            <w:vAlign w:val="center"/>
          </w:tcPr>
          <w:p w14:paraId="6CCD7615" w14:textId="77777777" w:rsidR="00DD697F" w:rsidRPr="009156BF" w:rsidRDefault="00000000">
            <w:pPr>
              <w:rPr>
                <w:rFonts w:ascii="Arial" w:hAnsi="Arial" w:cs="Arial"/>
              </w:rPr>
            </w:pPr>
            <w:r w:rsidRPr="009156BF">
              <w:rPr>
                <w:rFonts w:ascii="Arial" w:hAnsi="Arial" w:cs="Arial"/>
                <w:b/>
                <w:bCs/>
                <w:color w:val="000000"/>
              </w:rPr>
              <w:t>Initiative</w:t>
            </w:r>
          </w:p>
        </w:tc>
        <w:tc>
          <w:tcPr>
            <w:tcW w:w="6318" w:type="dxa"/>
            <w:shd w:val="clear" w:color="auto" w:fill="D9D9D9"/>
            <w:tcMar>
              <w:top w:w="80" w:type="dxa"/>
              <w:left w:w="100" w:type="dxa"/>
              <w:bottom w:w="80" w:type="dxa"/>
              <w:right w:w="100" w:type="dxa"/>
            </w:tcMar>
            <w:vAlign w:val="center"/>
          </w:tcPr>
          <w:p w14:paraId="2137EC4E" w14:textId="77777777" w:rsidR="00DD697F" w:rsidRPr="009156BF" w:rsidRDefault="00000000">
            <w:pPr>
              <w:rPr>
                <w:rFonts w:ascii="Arial" w:hAnsi="Arial" w:cs="Arial"/>
              </w:rPr>
            </w:pPr>
            <w:r w:rsidRPr="009156BF">
              <w:rPr>
                <w:rFonts w:ascii="Arial" w:hAnsi="Arial" w:cs="Arial"/>
                <w:b/>
                <w:bCs/>
                <w:color w:val="000000"/>
              </w:rPr>
              <w:t>Why it matters for grayling</w:t>
            </w:r>
          </w:p>
        </w:tc>
      </w:tr>
      <w:tr w:rsidR="00DD697F" w:rsidRPr="009156BF" w14:paraId="07BE48EF" w14:textId="77777777">
        <w:tblPrEx>
          <w:tblCellMar>
            <w:top w:w="0" w:type="dxa"/>
            <w:bottom w:w="0" w:type="dxa"/>
          </w:tblCellMar>
        </w:tblPrEx>
        <w:trPr>
          <w:cantSplit/>
        </w:trPr>
        <w:tc>
          <w:tcPr>
            <w:tcW w:w="2708" w:type="dxa"/>
            <w:shd w:val="clear" w:color="auto" w:fill="E2EFDA"/>
            <w:tcMar>
              <w:top w:w="80" w:type="dxa"/>
              <w:left w:w="100" w:type="dxa"/>
              <w:bottom w:w="80" w:type="dxa"/>
              <w:right w:w="100" w:type="dxa"/>
            </w:tcMar>
            <w:vAlign w:val="center"/>
          </w:tcPr>
          <w:p w14:paraId="0833CE51" w14:textId="77777777" w:rsidR="00DD697F" w:rsidRPr="009156BF" w:rsidRDefault="00000000">
            <w:pPr>
              <w:rPr>
                <w:rFonts w:ascii="Arial" w:hAnsi="Arial" w:cs="Arial"/>
              </w:rPr>
            </w:pPr>
            <w:r w:rsidRPr="009156BF">
              <w:rPr>
                <w:rFonts w:ascii="Arial" w:hAnsi="Arial" w:cs="Arial"/>
                <w:b/>
                <w:bCs/>
                <w:color w:val="000000"/>
              </w:rPr>
              <w:t>Improving connectivity / fish passage</w:t>
            </w:r>
          </w:p>
        </w:tc>
        <w:tc>
          <w:tcPr>
            <w:tcW w:w="6318" w:type="dxa"/>
            <w:tcMar>
              <w:top w:w="80" w:type="dxa"/>
              <w:left w:w="100" w:type="dxa"/>
              <w:bottom w:w="80" w:type="dxa"/>
              <w:right w:w="100" w:type="dxa"/>
            </w:tcMar>
            <w:vAlign w:val="center"/>
          </w:tcPr>
          <w:p w14:paraId="467EC0FB" w14:textId="77777777" w:rsidR="00DD697F" w:rsidRPr="009156BF" w:rsidRDefault="00000000">
            <w:pPr>
              <w:rPr>
                <w:rFonts w:ascii="Arial" w:hAnsi="Arial" w:cs="Arial"/>
              </w:rPr>
            </w:pPr>
            <w:r w:rsidRPr="009156BF">
              <w:rPr>
                <w:rFonts w:ascii="Arial" w:hAnsi="Arial" w:cs="Arial"/>
                <w:color w:val="000000"/>
              </w:rPr>
              <w:t>Barriers to migration are one of the guide's top evidence gaps: there are over 1,000 gauging weirs in the UK, and grayling have proved less able than trout to pass barriers, especially where flow is turbulent. Restoring ancestral connectivity to spawning and refuge habitat is high value, particularly on rivers with native populations.</w:t>
            </w:r>
          </w:p>
        </w:tc>
      </w:tr>
      <w:tr w:rsidR="00DD697F" w:rsidRPr="009156BF" w14:paraId="4E11DF2E" w14:textId="77777777">
        <w:tblPrEx>
          <w:tblCellMar>
            <w:top w:w="0" w:type="dxa"/>
            <w:bottom w:w="0" w:type="dxa"/>
          </w:tblCellMar>
        </w:tblPrEx>
        <w:trPr>
          <w:cantSplit/>
        </w:trPr>
        <w:tc>
          <w:tcPr>
            <w:tcW w:w="2708" w:type="dxa"/>
            <w:shd w:val="clear" w:color="auto" w:fill="E2EFDA"/>
            <w:tcMar>
              <w:top w:w="80" w:type="dxa"/>
              <w:left w:w="100" w:type="dxa"/>
              <w:bottom w:w="80" w:type="dxa"/>
              <w:right w:w="100" w:type="dxa"/>
            </w:tcMar>
            <w:vAlign w:val="center"/>
          </w:tcPr>
          <w:p w14:paraId="2A00B3F2" w14:textId="77777777" w:rsidR="00DD697F" w:rsidRPr="009156BF" w:rsidRDefault="00000000">
            <w:pPr>
              <w:rPr>
                <w:rFonts w:ascii="Arial" w:hAnsi="Arial" w:cs="Arial"/>
              </w:rPr>
            </w:pPr>
            <w:r w:rsidRPr="009156BF">
              <w:rPr>
                <w:rFonts w:ascii="Arial" w:hAnsi="Arial" w:cs="Arial"/>
                <w:b/>
                <w:bCs/>
                <w:color w:val="000000"/>
              </w:rPr>
              <w:t>Spawning gravel and riffle creation/protection</w:t>
            </w:r>
          </w:p>
        </w:tc>
        <w:tc>
          <w:tcPr>
            <w:tcW w:w="6318" w:type="dxa"/>
            <w:tcMar>
              <w:top w:w="80" w:type="dxa"/>
              <w:left w:w="100" w:type="dxa"/>
              <w:bottom w:w="80" w:type="dxa"/>
              <w:right w:w="100" w:type="dxa"/>
            </w:tcMar>
            <w:vAlign w:val="center"/>
          </w:tcPr>
          <w:p w14:paraId="78040A73" w14:textId="77777777" w:rsidR="00DD697F" w:rsidRPr="009156BF" w:rsidRDefault="00000000">
            <w:pPr>
              <w:rPr>
                <w:rFonts w:ascii="Arial" w:hAnsi="Arial" w:cs="Arial"/>
              </w:rPr>
            </w:pPr>
            <w:r w:rsidRPr="009156BF">
              <w:rPr>
                <w:rFonts w:ascii="Arial" w:hAnsi="Arial" w:cs="Arial"/>
                <w:color w:val="000000"/>
              </w:rPr>
              <w:t xml:space="preserve">Grayling </w:t>
            </w:r>
            <w:proofErr w:type="gramStart"/>
            <w:r w:rsidRPr="009156BF">
              <w:rPr>
                <w:rFonts w:ascii="Arial" w:hAnsi="Arial" w:cs="Arial"/>
                <w:color w:val="000000"/>
              </w:rPr>
              <w:t>need</w:t>
            </w:r>
            <w:proofErr w:type="gramEnd"/>
            <w:r w:rsidRPr="009156BF">
              <w:rPr>
                <w:rFonts w:ascii="Arial" w:hAnsi="Arial" w:cs="Arial"/>
                <w:color w:val="000000"/>
              </w:rPr>
              <w:t xml:space="preserve"> clean, silt-free gravel (2–8cm, optimal 16–32mm) at ~30–40cm depth with 50–60cm/s velocity, and do not build a large redd to clear their own site. Introducing gravel to create riffles (minimum ~15m long, ~50cm deep) or protecting existing gravel from sedimentation directly targets a known life-cycle bottleneck.</w:t>
            </w:r>
          </w:p>
        </w:tc>
      </w:tr>
      <w:tr w:rsidR="00DD697F" w:rsidRPr="009156BF" w14:paraId="2EDF16A4" w14:textId="77777777">
        <w:tblPrEx>
          <w:tblCellMar>
            <w:top w:w="0" w:type="dxa"/>
            <w:bottom w:w="0" w:type="dxa"/>
          </w:tblCellMar>
        </w:tblPrEx>
        <w:trPr>
          <w:cantSplit/>
        </w:trPr>
        <w:tc>
          <w:tcPr>
            <w:tcW w:w="2708" w:type="dxa"/>
            <w:shd w:val="clear" w:color="auto" w:fill="E2EFDA"/>
            <w:tcMar>
              <w:top w:w="80" w:type="dxa"/>
              <w:left w:w="100" w:type="dxa"/>
              <w:bottom w:w="80" w:type="dxa"/>
              <w:right w:w="100" w:type="dxa"/>
            </w:tcMar>
            <w:vAlign w:val="center"/>
          </w:tcPr>
          <w:p w14:paraId="1EABB5DD" w14:textId="77777777" w:rsidR="00DD697F" w:rsidRPr="009156BF" w:rsidRDefault="00000000">
            <w:pPr>
              <w:rPr>
                <w:rFonts w:ascii="Arial" w:hAnsi="Arial" w:cs="Arial"/>
              </w:rPr>
            </w:pPr>
            <w:r w:rsidRPr="009156BF">
              <w:rPr>
                <w:rFonts w:ascii="Arial" w:hAnsi="Arial" w:cs="Arial"/>
                <w:b/>
                <w:bCs/>
                <w:color w:val="000000"/>
              </w:rPr>
              <w:lastRenderedPageBreak/>
              <w:t>Livestock exclusion fencing and buffer strips</w:t>
            </w:r>
          </w:p>
        </w:tc>
        <w:tc>
          <w:tcPr>
            <w:tcW w:w="6318" w:type="dxa"/>
            <w:tcMar>
              <w:top w:w="80" w:type="dxa"/>
              <w:left w:w="100" w:type="dxa"/>
              <w:bottom w:w="80" w:type="dxa"/>
              <w:right w:w="100" w:type="dxa"/>
            </w:tcMar>
            <w:vAlign w:val="center"/>
          </w:tcPr>
          <w:p w14:paraId="3C6CA412" w14:textId="77777777" w:rsidR="00DD697F" w:rsidRPr="009156BF" w:rsidRDefault="00000000">
            <w:pPr>
              <w:rPr>
                <w:rFonts w:ascii="Arial" w:hAnsi="Arial" w:cs="Arial"/>
              </w:rPr>
            </w:pPr>
            <w:r w:rsidRPr="009156BF">
              <w:rPr>
                <w:rFonts w:ascii="Arial" w:hAnsi="Arial" w:cs="Arial"/>
                <w:color w:val="000000"/>
              </w:rPr>
              <w:t>Described in the guide as "probably the simplest and most cost-effective measure that will benefit a river." Fencing cuts poaching and sediment/faecal input and lets marginal vegetation regenerate. Retaining a shallow cattle drink just downstream of spawning gravel can even double as valuable nursery habitat for newly hatched fry.</w:t>
            </w:r>
          </w:p>
        </w:tc>
      </w:tr>
      <w:tr w:rsidR="00DD697F" w:rsidRPr="009156BF" w14:paraId="2106EB23" w14:textId="77777777">
        <w:tblPrEx>
          <w:tblCellMar>
            <w:top w:w="0" w:type="dxa"/>
            <w:bottom w:w="0" w:type="dxa"/>
          </w:tblCellMar>
        </w:tblPrEx>
        <w:trPr>
          <w:cantSplit/>
        </w:trPr>
        <w:tc>
          <w:tcPr>
            <w:tcW w:w="2708" w:type="dxa"/>
            <w:shd w:val="clear" w:color="auto" w:fill="E2EFDA"/>
            <w:tcMar>
              <w:top w:w="80" w:type="dxa"/>
              <w:left w:w="100" w:type="dxa"/>
              <w:bottom w:w="80" w:type="dxa"/>
              <w:right w:w="100" w:type="dxa"/>
            </w:tcMar>
            <w:vAlign w:val="center"/>
          </w:tcPr>
          <w:p w14:paraId="3F744BB9" w14:textId="77777777" w:rsidR="00DD697F" w:rsidRPr="009156BF" w:rsidRDefault="00000000">
            <w:pPr>
              <w:rPr>
                <w:rFonts w:ascii="Arial" w:hAnsi="Arial" w:cs="Arial"/>
              </w:rPr>
            </w:pPr>
            <w:r w:rsidRPr="009156BF">
              <w:rPr>
                <w:rFonts w:ascii="Arial" w:hAnsi="Arial" w:cs="Arial"/>
                <w:b/>
                <w:bCs/>
                <w:color w:val="000000"/>
              </w:rPr>
              <w:t>Riparian tree planting and shading</w:t>
            </w:r>
          </w:p>
        </w:tc>
        <w:tc>
          <w:tcPr>
            <w:tcW w:w="6318" w:type="dxa"/>
            <w:tcMar>
              <w:top w:w="80" w:type="dxa"/>
              <w:left w:w="100" w:type="dxa"/>
              <w:bottom w:w="80" w:type="dxa"/>
              <w:right w:w="100" w:type="dxa"/>
            </w:tcMar>
            <w:vAlign w:val="center"/>
          </w:tcPr>
          <w:p w14:paraId="6B89D03F" w14:textId="77777777" w:rsidR="00DD697F" w:rsidRPr="009156BF" w:rsidRDefault="00000000">
            <w:pPr>
              <w:rPr>
                <w:rFonts w:ascii="Arial" w:hAnsi="Arial" w:cs="Arial"/>
              </w:rPr>
            </w:pPr>
            <w:r w:rsidRPr="009156BF">
              <w:rPr>
                <w:rFonts w:ascii="Arial" w:hAnsi="Arial" w:cs="Arial"/>
                <w:color w:val="000000"/>
              </w:rPr>
              <w:t>Moderates summer water temperature (shaded reaches run 2–3°C cooler) and is the guide's suggested mitigation for climate change stress on this cold-water species, while also supporting natural flood management. Aim for a mosaic of light and shade rather than blanket cover, since open gravel riffles also need light for invertebrate productivity.</w:t>
            </w:r>
          </w:p>
        </w:tc>
      </w:tr>
      <w:tr w:rsidR="00DD697F" w:rsidRPr="009156BF" w14:paraId="27C76DA4" w14:textId="77777777">
        <w:tblPrEx>
          <w:tblCellMar>
            <w:top w:w="0" w:type="dxa"/>
            <w:bottom w:w="0" w:type="dxa"/>
          </w:tblCellMar>
        </w:tblPrEx>
        <w:trPr>
          <w:cantSplit/>
        </w:trPr>
        <w:tc>
          <w:tcPr>
            <w:tcW w:w="2708" w:type="dxa"/>
            <w:shd w:val="clear" w:color="auto" w:fill="E2EFDA"/>
            <w:tcMar>
              <w:top w:w="80" w:type="dxa"/>
              <w:left w:w="100" w:type="dxa"/>
              <w:bottom w:w="80" w:type="dxa"/>
              <w:right w:w="100" w:type="dxa"/>
            </w:tcMar>
            <w:vAlign w:val="center"/>
          </w:tcPr>
          <w:p w14:paraId="217766EC" w14:textId="77777777" w:rsidR="00DD697F" w:rsidRPr="009156BF" w:rsidRDefault="00000000">
            <w:pPr>
              <w:rPr>
                <w:rFonts w:ascii="Arial" w:hAnsi="Arial" w:cs="Arial"/>
              </w:rPr>
            </w:pPr>
            <w:r w:rsidRPr="009156BF">
              <w:rPr>
                <w:rFonts w:ascii="Arial" w:hAnsi="Arial" w:cs="Arial"/>
                <w:b/>
                <w:bCs/>
                <w:color w:val="000000"/>
              </w:rPr>
              <w:t>Reducing sediment and diffuse pollution</w:t>
            </w:r>
          </w:p>
        </w:tc>
        <w:tc>
          <w:tcPr>
            <w:tcW w:w="6318" w:type="dxa"/>
            <w:tcMar>
              <w:top w:w="80" w:type="dxa"/>
              <w:left w:w="100" w:type="dxa"/>
              <w:bottom w:w="80" w:type="dxa"/>
              <w:right w:w="100" w:type="dxa"/>
            </w:tcMar>
            <w:vAlign w:val="center"/>
          </w:tcPr>
          <w:p w14:paraId="7CB430F7" w14:textId="77777777" w:rsidR="00DD697F" w:rsidRPr="009156BF" w:rsidRDefault="00000000">
            <w:pPr>
              <w:rPr>
                <w:rFonts w:ascii="Arial" w:hAnsi="Arial" w:cs="Arial"/>
              </w:rPr>
            </w:pPr>
            <w:r w:rsidRPr="009156BF">
              <w:rPr>
                <w:rFonts w:ascii="Arial" w:hAnsi="Arial" w:cs="Arial"/>
                <w:color w:val="000000"/>
              </w:rPr>
              <w:t>Sedimentation smothers spawning gravel and is implicated in UK and European grayling declines. Buffer strips, careful land-drainage design and prompt reporting of pollution incidents all protect the water quality and gravel condition grayling depend on.</w:t>
            </w:r>
          </w:p>
        </w:tc>
      </w:tr>
      <w:tr w:rsidR="00DD697F" w:rsidRPr="009156BF" w14:paraId="0ADE5021" w14:textId="77777777">
        <w:tblPrEx>
          <w:tblCellMar>
            <w:top w:w="0" w:type="dxa"/>
            <w:bottom w:w="0" w:type="dxa"/>
          </w:tblCellMar>
        </w:tblPrEx>
        <w:trPr>
          <w:cantSplit/>
        </w:trPr>
        <w:tc>
          <w:tcPr>
            <w:tcW w:w="2708" w:type="dxa"/>
            <w:shd w:val="clear" w:color="auto" w:fill="E2EFDA"/>
            <w:tcMar>
              <w:top w:w="80" w:type="dxa"/>
              <w:left w:w="100" w:type="dxa"/>
              <w:bottom w:w="80" w:type="dxa"/>
              <w:right w:w="100" w:type="dxa"/>
            </w:tcMar>
            <w:vAlign w:val="center"/>
          </w:tcPr>
          <w:p w14:paraId="28C5F470" w14:textId="77777777" w:rsidR="00DD697F" w:rsidRPr="009156BF" w:rsidRDefault="00000000">
            <w:pPr>
              <w:rPr>
                <w:rFonts w:ascii="Arial" w:hAnsi="Arial" w:cs="Arial"/>
              </w:rPr>
            </w:pPr>
            <w:r w:rsidRPr="009156BF">
              <w:rPr>
                <w:rFonts w:ascii="Arial" w:hAnsi="Arial" w:cs="Arial"/>
                <w:b/>
                <w:bCs/>
                <w:color w:val="000000"/>
              </w:rPr>
              <w:t>Population monitoring and survey work</w:t>
            </w:r>
          </w:p>
        </w:tc>
        <w:tc>
          <w:tcPr>
            <w:tcW w:w="6318" w:type="dxa"/>
            <w:tcMar>
              <w:top w:w="80" w:type="dxa"/>
              <w:left w:w="100" w:type="dxa"/>
              <w:bottom w:w="80" w:type="dxa"/>
              <w:right w:w="100" w:type="dxa"/>
            </w:tcMar>
            <w:vAlign w:val="center"/>
          </w:tcPr>
          <w:p w14:paraId="4D3F2795" w14:textId="77777777" w:rsidR="00DD697F" w:rsidRPr="009156BF" w:rsidRDefault="00000000">
            <w:pPr>
              <w:rPr>
                <w:rFonts w:ascii="Arial" w:hAnsi="Arial" w:cs="Arial"/>
              </w:rPr>
            </w:pPr>
            <w:r w:rsidRPr="009156BF">
              <w:rPr>
                <w:rFonts w:ascii="Arial" w:hAnsi="Arial" w:cs="Arial"/>
                <w:color w:val="000000"/>
              </w:rPr>
              <w:t>The guide flags a lack of good abundance/trend data as a major gap. Angler logbook schemes, catch-return cards, and (where possible) multi-run electric fishing with stop nets on a small number of 'index' rivers build the evidence base needed to target future work and demonstrate a project's benefit.</w:t>
            </w:r>
          </w:p>
        </w:tc>
      </w:tr>
    </w:tbl>
    <w:p w14:paraId="444329A8" w14:textId="77777777" w:rsidR="00C37302" w:rsidRDefault="00C37302">
      <w:pPr>
        <w:pStyle w:val="Heading2"/>
        <w:rPr>
          <w:rFonts w:ascii="Arial" w:hAnsi="Arial" w:cs="Arial"/>
        </w:rPr>
      </w:pPr>
    </w:p>
    <w:p w14:paraId="0DB4C308" w14:textId="5F44D9D1" w:rsidR="00DD697F" w:rsidRPr="009156BF" w:rsidRDefault="00000000">
      <w:pPr>
        <w:pStyle w:val="Heading2"/>
        <w:rPr>
          <w:rFonts w:ascii="Arial" w:hAnsi="Arial" w:cs="Arial"/>
        </w:rPr>
      </w:pPr>
      <w:r w:rsidRPr="009156BF">
        <w:rPr>
          <w:rFonts w:ascii="Arial" w:hAnsi="Arial" w:cs="Arial"/>
        </w:rPr>
        <w:t>Use with care – seek advice before committing</w:t>
      </w:r>
    </w:p>
    <w:p w14:paraId="6AAAB07E" w14:textId="77777777" w:rsidR="00DD697F" w:rsidRPr="009156BF" w:rsidRDefault="00000000">
      <w:pPr>
        <w:spacing w:after="140"/>
        <w:rPr>
          <w:rFonts w:ascii="Arial" w:hAnsi="Arial" w:cs="Arial"/>
        </w:rPr>
      </w:pPr>
      <w:r w:rsidRPr="009156BF">
        <w:rPr>
          <w:rFonts w:ascii="Arial" w:hAnsi="Arial" w:cs="Arial"/>
        </w:rPr>
        <w:t>These techniques are well-established for river restoration generally, but the guide flags specific caveats for grayling. They are not disqualified – but an application relying on them should explain how the caveat has been considered, and an Advisory Visit from the Wild Trout Trust or Grayling Society is recommended beforehand.</w:t>
      </w:r>
    </w:p>
    <w:tbl>
      <w:tblPr>
        <w:tblW w:w="902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2708"/>
        <w:gridCol w:w="6318"/>
      </w:tblGrid>
      <w:tr w:rsidR="00DD697F" w:rsidRPr="009156BF" w14:paraId="47F79BA3" w14:textId="77777777">
        <w:tblPrEx>
          <w:tblCellMar>
            <w:top w:w="0" w:type="dxa"/>
            <w:bottom w:w="0" w:type="dxa"/>
          </w:tblCellMar>
        </w:tblPrEx>
        <w:trPr>
          <w:cantSplit/>
          <w:tblHeader/>
        </w:trPr>
        <w:tc>
          <w:tcPr>
            <w:tcW w:w="2708" w:type="dxa"/>
            <w:shd w:val="clear" w:color="auto" w:fill="D9D9D9"/>
            <w:tcMar>
              <w:top w:w="80" w:type="dxa"/>
              <w:left w:w="100" w:type="dxa"/>
              <w:bottom w:w="80" w:type="dxa"/>
              <w:right w:w="100" w:type="dxa"/>
            </w:tcMar>
            <w:vAlign w:val="center"/>
          </w:tcPr>
          <w:p w14:paraId="3141C085" w14:textId="77777777" w:rsidR="00DD697F" w:rsidRPr="009156BF" w:rsidRDefault="00000000">
            <w:pPr>
              <w:rPr>
                <w:rFonts w:ascii="Arial" w:hAnsi="Arial" w:cs="Arial"/>
              </w:rPr>
            </w:pPr>
            <w:r w:rsidRPr="009156BF">
              <w:rPr>
                <w:rFonts w:ascii="Arial" w:hAnsi="Arial" w:cs="Arial"/>
                <w:b/>
                <w:bCs/>
                <w:color w:val="000000"/>
              </w:rPr>
              <w:t>Initiative</w:t>
            </w:r>
          </w:p>
        </w:tc>
        <w:tc>
          <w:tcPr>
            <w:tcW w:w="6318" w:type="dxa"/>
            <w:shd w:val="clear" w:color="auto" w:fill="D9D9D9"/>
            <w:tcMar>
              <w:top w:w="80" w:type="dxa"/>
              <w:left w:w="100" w:type="dxa"/>
              <w:bottom w:w="80" w:type="dxa"/>
              <w:right w:w="100" w:type="dxa"/>
            </w:tcMar>
            <w:vAlign w:val="center"/>
          </w:tcPr>
          <w:p w14:paraId="428373A0" w14:textId="77777777" w:rsidR="00DD697F" w:rsidRPr="009156BF" w:rsidRDefault="00000000">
            <w:pPr>
              <w:rPr>
                <w:rFonts w:ascii="Arial" w:hAnsi="Arial" w:cs="Arial"/>
              </w:rPr>
            </w:pPr>
            <w:r w:rsidRPr="009156BF">
              <w:rPr>
                <w:rFonts w:ascii="Arial" w:hAnsi="Arial" w:cs="Arial"/>
                <w:b/>
                <w:bCs/>
                <w:color w:val="000000"/>
              </w:rPr>
              <w:t>Why it matters for grayling</w:t>
            </w:r>
          </w:p>
        </w:tc>
      </w:tr>
      <w:tr w:rsidR="00DD697F" w:rsidRPr="009156BF" w14:paraId="1A580C41" w14:textId="77777777">
        <w:tblPrEx>
          <w:tblCellMar>
            <w:top w:w="0" w:type="dxa"/>
            <w:bottom w:w="0" w:type="dxa"/>
          </w:tblCellMar>
        </w:tblPrEx>
        <w:trPr>
          <w:cantSplit/>
        </w:trPr>
        <w:tc>
          <w:tcPr>
            <w:tcW w:w="2708" w:type="dxa"/>
            <w:shd w:val="clear" w:color="auto" w:fill="FFF2CC"/>
            <w:tcMar>
              <w:top w:w="80" w:type="dxa"/>
              <w:left w:w="100" w:type="dxa"/>
              <w:bottom w:w="80" w:type="dxa"/>
              <w:right w:w="100" w:type="dxa"/>
            </w:tcMar>
            <w:vAlign w:val="center"/>
          </w:tcPr>
          <w:p w14:paraId="011AA63E" w14:textId="77777777" w:rsidR="00DD697F" w:rsidRPr="009156BF" w:rsidRDefault="00000000">
            <w:pPr>
              <w:rPr>
                <w:rFonts w:ascii="Arial" w:hAnsi="Arial" w:cs="Arial"/>
              </w:rPr>
            </w:pPr>
            <w:r w:rsidRPr="009156BF">
              <w:rPr>
                <w:rFonts w:ascii="Arial" w:hAnsi="Arial" w:cs="Arial"/>
                <w:b/>
                <w:bCs/>
                <w:color w:val="000000"/>
              </w:rPr>
              <w:t>Large Woody Debris (LWD)</w:t>
            </w:r>
          </w:p>
        </w:tc>
        <w:tc>
          <w:tcPr>
            <w:tcW w:w="6318" w:type="dxa"/>
            <w:tcMar>
              <w:top w:w="80" w:type="dxa"/>
              <w:left w:w="100" w:type="dxa"/>
              <w:bottom w:w="80" w:type="dxa"/>
              <w:right w:w="100" w:type="dxa"/>
            </w:tcMar>
            <w:vAlign w:val="center"/>
          </w:tcPr>
          <w:p w14:paraId="76684CD2" w14:textId="0D7EF426" w:rsidR="00DD697F" w:rsidRPr="009156BF" w:rsidRDefault="00000000">
            <w:pPr>
              <w:rPr>
                <w:rFonts w:ascii="Arial" w:hAnsi="Arial" w:cs="Arial"/>
              </w:rPr>
            </w:pPr>
            <w:r w:rsidRPr="009156BF">
              <w:rPr>
                <w:rFonts w:ascii="Arial" w:hAnsi="Arial" w:cs="Arial"/>
                <w:color w:val="000000"/>
              </w:rPr>
              <w:t xml:space="preserve">The staple technique for brown trout restoration, but research (Riley &amp; Pawson, 2010) found grayling generally avoid both marginal habitat and LWD as refuges, unlike trout. LWD still adds useful habitat diversity at the reach </w:t>
            </w:r>
            <w:proofErr w:type="gramStart"/>
            <w:r w:rsidRPr="009156BF">
              <w:rPr>
                <w:rFonts w:ascii="Arial" w:hAnsi="Arial" w:cs="Arial"/>
                <w:color w:val="000000"/>
              </w:rPr>
              <w:t>scale, but</w:t>
            </w:r>
            <w:proofErr w:type="gramEnd"/>
            <w:r w:rsidRPr="009156BF">
              <w:rPr>
                <w:rFonts w:ascii="Arial" w:hAnsi="Arial" w:cs="Arial"/>
                <w:color w:val="000000"/>
              </w:rPr>
              <w:t xml:space="preserve"> should not be assumed to benefit grayling to the same degree</w:t>
            </w:r>
            <w:r w:rsidR="00C37302">
              <w:rPr>
                <w:rFonts w:ascii="Arial" w:hAnsi="Arial" w:cs="Arial"/>
                <w:color w:val="000000"/>
              </w:rPr>
              <w:t>. D</w:t>
            </w:r>
            <w:r w:rsidRPr="009156BF">
              <w:rPr>
                <w:rFonts w:ascii="Arial" w:hAnsi="Arial" w:cs="Arial"/>
                <w:color w:val="000000"/>
              </w:rPr>
              <w:t>on't let it crowd out open riffle-glide-run habitat.</w:t>
            </w:r>
          </w:p>
        </w:tc>
      </w:tr>
      <w:tr w:rsidR="00DD697F" w:rsidRPr="009156BF" w14:paraId="730CE507" w14:textId="77777777">
        <w:tblPrEx>
          <w:tblCellMar>
            <w:top w:w="0" w:type="dxa"/>
            <w:bottom w:w="0" w:type="dxa"/>
          </w:tblCellMar>
        </w:tblPrEx>
        <w:trPr>
          <w:cantSplit/>
        </w:trPr>
        <w:tc>
          <w:tcPr>
            <w:tcW w:w="2708" w:type="dxa"/>
            <w:shd w:val="clear" w:color="auto" w:fill="FFF2CC"/>
            <w:tcMar>
              <w:top w:w="80" w:type="dxa"/>
              <w:left w:w="100" w:type="dxa"/>
              <w:bottom w:w="80" w:type="dxa"/>
              <w:right w:w="100" w:type="dxa"/>
            </w:tcMar>
            <w:vAlign w:val="center"/>
          </w:tcPr>
          <w:p w14:paraId="3EDAD123" w14:textId="77777777" w:rsidR="00DD697F" w:rsidRPr="009156BF" w:rsidRDefault="00000000">
            <w:pPr>
              <w:rPr>
                <w:rFonts w:ascii="Arial" w:hAnsi="Arial" w:cs="Arial"/>
              </w:rPr>
            </w:pPr>
            <w:r w:rsidRPr="009156BF">
              <w:rPr>
                <w:rFonts w:ascii="Arial" w:hAnsi="Arial" w:cs="Arial"/>
                <w:b/>
                <w:bCs/>
                <w:color w:val="000000"/>
              </w:rPr>
              <w:t>Channel narrowing</w:t>
            </w:r>
          </w:p>
        </w:tc>
        <w:tc>
          <w:tcPr>
            <w:tcW w:w="6318" w:type="dxa"/>
            <w:tcMar>
              <w:top w:w="80" w:type="dxa"/>
              <w:left w:w="100" w:type="dxa"/>
              <w:bottom w:w="80" w:type="dxa"/>
              <w:right w:w="100" w:type="dxa"/>
            </w:tcMar>
            <w:vAlign w:val="center"/>
          </w:tcPr>
          <w:p w14:paraId="6B95F60B" w14:textId="77777777" w:rsidR="00DD697F" w:rsidRPr="009156BF" w:rsidRDefault="00000000">
            <w:pPr>
              <w:rPr>
                <w:rFonts w:ascii="Arial" w:hAnsi="Arial" w:cs="Arial"/>
              </w:rPr>
            </w:pPr>
            <w:r w:rsidRPr="009156BF">
              <w:rPr>
                <w:rFonts w:ascii="Arial" w:hAnsi="Arial" w:cs="Arial"/>
                <w:color w:val="000000"/>
              </w:rPr>
              <w:t xml:space="preserve">Can reduce siltation and create useful deep-water </w:t>
            </w:r>
            <w:proofErr w:type="gramStart"/>
            <w:r w:rsidRPr="009156BF">
              <w:rPr>
                <w:rFonts w:ascii="Arial" w:hAnsi="Arial" w:cs="Arial"/>
                <w:color w:val="000000"/>
              </w:rPr>
              <w:t>refuges, but</w:t>
            </w:r>
            <w:proofErr w:type="gramEnd"/>
            <w:r w:rsidRPr="009156BF">
              <w:rPr>
                <w:rFonts w:ascii="Arial" w:hAnsi="Arial" w:cs="Arial"/>
                <w:color w:val="000000"/>
              </w:rPr>
              <w:t xml:space="preserve"> is easily overused: over-narrowing reduces the habitat diversity grayling rely on and tends to favour trout instead. Shallow "overwide" channels are often good grayling nursery habitat and should not automatically be narrowed away.</w:t>
            </w:r>
          </w:p>
        </w:tc>
      </w:tr>
      <w:tr w:rsidR="00DD697F" w:rsidRPr="009156BF" w14:paraId="2D061E02" w14:textId="77777777">
        <w:tblPrEx>
          <w:tblCellMar>
            <w:top w:w="0" w:type="dxa"/>
            <w:bottom w:w="0" w:type="dxa"/>
          </w:tblCellMar>
        </w:tblPrEx>
        <w:trPr>
          <w:cantSplit/>
        </w:trPr>
        <w:tc>
          <w:tcPr>
            <w:tcW w:w="2708" w:type="dxa"/>
            <w:shd w:val="clear" w:color="auto" w:fill="FFF2CC"/>
            <w:tcMar>
              <w:top w:w="80" w:type="dxa"/>
              <w:left w:w="100" w:type="dxa"/>
              <w:bottom w:w="80" w:type="dxa"/>
              <w:right w:w="100" w:type="dxa"/>
            </w:tcMar>
            <w:vAlign w:val="center"/>
          </w:tcPr>
          <w:p w14:paraId="50BB2013" w14:textId="77777777" w:rsidR="00DD697F" w:rsidRPr="009156BF" w:rsidRDefault="00000000">
            <w:pPr>
              <w:rPr>
                <w:rFonts w:ascii="Arial" w:hAnsi="Arial" w:cs="Arial"/>
              </w:rPr>
            </w:pPr>
            <w:r w:rsidRPr="009156BF">
              <w:rPr>
                <w:rFonts w:ascii="Arial" w:hAnsi="Arial" w:cs="Arial"/>
                <w:b/>
                <w:bCs/>
                <w:color w:val="000000"/>
              </w:rPr>
              <w:t>Gravel cleaning (jetting/raking)</w:t>
            </w:r>
          </w:p>
        </w:tc>
        <w:tc>
          <w:tcPr>
            <w:tcW w:w="6318" w:type="dxa"/>
            <w:tcMar>
              <w:top w:w="80" w:type="dxa"/>
              <w:left w:w="100" w:type="dxa"/>
              <w:bottom w:w="80" w:type="dxa"/>
              <w:right w:w="100" w:type="dxa"/>
            </w:tcMar>
            <w:vAlign w:val="center"/>
          </w:tcPr>
          <w:p w14:paraId="35CA4D59" w14:textId="77777777" w:rsidR="00DD697F" w:rsidRPr="009156BF" w:rsidRDefault="00000000">
            <w:pPr>
              <w:rPr>
                <w:rFonts w:ascii="Arial" w:hAnsi="Arial" w:cs="Arial"/>
              </w:rPr>
            </w:pPr>
            <w:r w:rsidRPr="009156BF">
              <w:rPr>
                <w:rFonts w:ascii="Arial" w:hAnsi="Arial" w:cs="Arial"/>
                <w:color w:val="000000"/>
              </w:rPr>
              <w:t>Offers only a temporary fix where recruitment is poor, and reported experience suggests it is rarely successful in the long term. Preferable to first identify and address the upstream source of the sediment.</w:t>
            </w:r>
          </w:p>
        </w:tc>
      </w:tr>
      <w:tr w:rsidR="00DD697F" w:rsidRPr="009156BF" w14:paraId="1B4FBB40" w14:textId="77777777">
        <w:tblPrEx>
          <w:tblCellMar>
            <w:top w:w="0" w:type="dxa"/>
            <w:bottom w:w="0" w:type="dxa"/>
          </w:tblCellMar>
        </w:tblPrEx>
        <w:trPr>
          <w:cantSplit/>
        </w:trPr>
        <w:tc>
          <w:tcPr>
            <w:tcW w:w="2708" w:type="dxa"/>
            <w:shd w:val="clear" w:color="auto" w:fill="FFF2CC"/>
            <w:tcMar>
              <w:top w:w="80" w:type="dxa"/>
              <w:left w:w="100" w:type="dxa"/>
              <w:bottom w:w="80" w:type="dxa"/>
              <w:right w:w="100" w:type="dxa"/>
            </w:tcMar>
            <w:vAlign w:val="center"/>
          </w:tcPr>
          <w:p w14:paraId="5EBA01ED" w14:textId="77777777" w:rsidR="00DD697F" w:rsidRPr="009156BF" w:rsidRDefault="00000000">
            <w:pPr>
              <w:rPr>
                <w:rFonts w:ascii="Arial" w:hAnsi="Arial" w:cs="Arial"/>
              </w:rPr>
            </w:pPr>
            <w:r w:rsidRPr="009156BF">
              <w:rPr>
                <w:rFonts w:ascii="Arial" w:hAnsi="Arial" w:cs="Arial"/>
                <w:b/>
                <w:bCs/>
                <w:color w:val="000000"/>
              </w:rPr>
              <w:lastRenderedPageBreak/>
              <w:t>Stocking or translocation</w:t>
            </w:r>
          </w:p>
        </w:tc>
        <w:tc>
          <w:tcPr>
            <w:tcW w:w="6318" w:type="dxa"/>
            <w:tcMar>
              <w:top w:w="80" w:type="dxa"/>
              <w:left w:w="100" w:type="dxa"/>
              <w:bottom w:w="80" w:type="dxa"/>
              <w:right w:w="100" w:type="dxa"/>
            </w:tcMar>
            <w:vAlign w:val="center"/>
          </w:tcPr>
          <w:p w14:paraId="20E8BAB7" w14:textId="77777777" w:rsidR="00DD697F" w:rsidRPr="009156BF" w:rsidRDefault="00000000">
            <w:pPr>
              <w:rPr>
                <w:rFonts w:ascii="Arial" w:hAnsi="Arial" w:cs="Arial"/>
              </w:rPr>
            </w:pPr>
            <w:r w:rsidRPr="009156BF">
              <w:rPr>
                <w:rFonts w:ascii="Arial" w:hAnsi="Arial" w:cs="Arial"/>
                <w:color w:val="000000"/>
              </w:rPr>
              <w:t>Must comply with National Trout and Grayling Fisheries Strategy guidance, be evidence-based, and be a last resort after the cause of a decline has been investigated. "Enhancement" stocking (topping up an already viable population) is not supported by the guide; restoration stocking should accompany, not substitute for, habitat improvement.</w:t>
            </w:r>
          </w:p>
        </w:tc>
      </w:tr>
      <w:tr w:rsidR="00DD697F" w:rsidRPr="009156BF" w14:paraId="63A8F687" w14:textId="77777777">
        <w:tblPrEx>
          <w:tblCellMar>
            <w:top w:w="0" w:type="dxa"/>
            <w:bottom w:w="0" w:type="dxa"/>
          </w:tblCellMar>
        </w:tblPrEx>
        <w:trPr>
          <w:cantSplit/>
        </w:trPr>
        <w:tc>
          <w:tcPr>
            <w:tcW w:w="2708" w:type="dxa"/>
            <w:shd w:val="clear" w:color="auto" w:fill="FFF2CC"/>
            <w:tcMar>
              <w:top w:w="80" w:type="dxa"/>
              <w:left w:w="100" w:type="dxa"/>
              <w:bottom w:w="80" w:type="dxa"/>
              <w:right w:w="100" w:type="dxa"/>
            </w:tcMar>
            <w:vAlign w:val="center"/>
          </w:tcPr>
          <w:p w14:paraId="5CCF45A3" w14:textId="77777777" w:rsidR="00DD697F" w:rsidRPr="009156BF" w:rsidRDefault="00000000">
            <w:pPr>
              <w:rPr>
                <w:rFonts w:ascii="Arial" w:hAnsi="Arial" w:cs="Arial"/>
              </w:rPr>
            </w:pPr>
            <w:r w:rsidRPr="009156BF">
              <w:rPr>
                <w:rFonts w:ascii="Arial" w:hAnsi="Arial" w:cs="Arial"/>
                <w:b/>
                <w:bCs/>
                <w:color w:val="000000"/>
              </w:rPr>
              <w:t>Predator control (cormorant/goosander licensing)</w:t>
            </w:r>
          </w:p>
        </w:tc>
        <w:tc>
          <w:tcPr>
            <w:tcW w:w="6318" w:type="dxa"/>
            <w:tcMar>
              <w:top w:w="80" w:type="dxa"/>
              <w:left w:w="100" w:type="dxa"/>
              <w:bottom w:w="80" w:type="dxa"/>
              <w:right w:w="100" w:type="dxa"/>
            </w:tcMar>
            <w:vAlign w:val="center"/>
          </w:tcPr>
          <w:p w14:paraId="16AF71AF" w14:textId="77777777" w:rsidR="00DD697F" w:rsidRPr="009156BF" w:rsidRDefault="00000000">
            <w:pPr>
              <w:rPr>
                <w:rFonts w:ascii="Arial" w:hAnsi="Arial" w:cs="Arial"/>
              </w:rPr>
            </w:pPr>
            <w:r w:rsidRPr="009156BF">
              <w:rPr>
                <w:rFonts w:ascii="Arial" w:hAnsi="Arial" w:cs="Arial"/>
                <w:color w:val="000000"/>
              </w:rPr>
              <w:t xml:space="preserve">May be justified locally where avian predation is demonstrably </w:t>
            </w:r>
            <w:proofErr w:type="gramStart"/>
            <w:r w:rsidRPr="009156BF">
              <w:rPr>
                <w:rFonts w:ascii="Arial" w:hAnsi="Arial" w:cs="Arial"/>
                <w:color w:val="000000"/>
              </w:rPr>
              <w:t>heavy, but</w:t>
            </w:r>
            <w:proofErr w:type="gramEnd"/>
            <w:r w:rsidRPr="009156BF">
              <w:rPr>
                <w:rFonts w:ascii="Arial" w:hAnsi="Arial" w:cs="Arial"/>
                <w:color w:val="000000"/>
              </w:rPr>
              <w:t xml:space="preserve"> requires a licence (birds are protected under the Wildlife and Countryside Act 1981) and works best alongside habitat measures that give fish more refuge and shoaling opportunity, not as a stand-alone fix.</w:t>
            </w:r>
          </w:p>
        </w:tc>
      </w:tr>
    </w:tbl>
    <w:p w14:paraId="0BB28B08" w14:textId="77777777" w:rsidR="00C37302" w:rsidRDefault="00C37302">
      <w:pPr>
        <w:pStyle w:val="Heading2"/>
        <w:rPr>
          <w:rFonts w:ascii="Arial" w:hAnsi="Arial" w:cs="Arial"/>
        </w:rPr>
      </w:pPr>
    </w:p>
    <w:p w14:paraId="64067C79" w14:textId="5A6910B3" w:rsidR="00DD697F" w:rsidRPr="009156BF" w:rsidRDefault="00000000">
      <w:pPr>
        <w:pStyle w:val="Heading2"/>
        <w:rPr>
          <w:rFonts w:ascii="Arial" w:hAnsi="Arial" w:cs="Arial"/>
        </w:rPr>
      </w:pPr>
      <w:r w:rsidRPr="009156BF">
        <w:rPr>
          <w:rFonts w:ascii="Arial" w:hAnsi="Arial" w:cs="Arial"/>
        </w:rPr>
        <w:t>Not supported by the evidence</w:t>
      </w:r>
    </w:p>
    <w:tbl>
      <w:tblPr>
        <w:tblW w:w="902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2708"/>
        <w:gridCol w:w="6318"/>
      </w:tblGrid>
      <w:tr w:rsidR="00DD697F" w:rsidRPr="009156BF" w14:paraId="427C23F8" w14:textId="77777777">
        <w:tblPrEx>
          <w:tblCellMar>
            <w:top w:w="0" w:type="dxa"/>
            <w:bottom w:w="0" w:type="dxa"/>
          </w:tblCellMar>
        </w:tblPrEx>
        <w:trPr>
          <w:cantSplit/>
          <w:tblHeader/>
        </w:trPr>
        <w:tc>
          <w:tcPr>
            <w:tcW w:w="2708" w:type="dxa"/>
            <w:shd w:val="clear" w:color="auto" w:fill="D9D9D9"/>
            <w:tcMar>
              <w:top w:w="80" w:type="dxa"/>
              <w:left w:w="100" w:type="dxa"/>
              <w:bottom w:w="80" w:type="dxa"/>
              <w:right w:w="100" w:type="dxa"/>
            </w:tcMar>
            <w:vAlign w:val="center"/>
          </w:tcPr>
          <w:p w14:paraId="67E20938" w14:textId="77777777" w:rsidR="00DD697F" w:rsidRPr="009156BF" w:rsidRDefault="00000000">
            <w:pPr>
              <w:rPr>
                <w:rFonts w:ascii="Arial" w:hAnsi="Arial" w:cs="Arial"/>
              </w:rPr>
            </w:pPr>
            <w:r w:rsidRPr="009156BF">
              <w:rPr>
                <w:rFonts w:ascii="Arial" w:hAnsi="Arial" w:cs="Arial"/>
                <w:b/>
                <w:bCs/>
                <w:color w:val="000000"/>
              </w:rPr>
              <w:t>Initiative</w:t>
            </w:r>
          </w:p>
        </w:tc>
        <w:tc>
          <w:tcPr>
            <w:tcW w:w="6318" w:type="dxa"/>
            <w:shd w:val="clear" w:color="auto" w:fill="D9D9D9"/>
            <w:tcMar>
              <w:top w:w="80" w:type="dxa"/>
              <w:left w:w="100" w:type="dxa"/>
              <w:bottom w:w="80" w:type="dxa"/>
              <w:right w:w="100" w:type="dxa"/>
            </w:tcMar>
            <w:vAlign w:val="center"/>
          </w:tcPr>
          <w:p w14:paraId="65888C52" w14:textId="77777777" w:rsidR="00DD697F" w:rsidRPr="009156BF" w:rsidRDefault="00000000">
            <w:pPr>
              <w:rPr>
                <w:rFonts w:ascii="Arial" w:hAnsi="Arial" w:cs="Arial"/>
              </w:rPr>
            </w:pPr>
            <w:r w:rsidRPr="009156BF">
              <w:rPr>
                <w:rFonts w:ascii="Arial" w:hAnsi="Arial" w:cs="Arial"/>
                <w:b/>
                <w:bCs/>
                <w:color w:val="000000"/>
              </w:rPr>
              <w:t>Why it matters for grayling</w:t>
            </w:r>
          </w:p>
        </w:tc>
      </w:tr>
      <w:tr w:rsidR="00DD697F" w:rsidRPr="009156BF" w14:paraId="7F95F415" w14:textId="77777777">
        <w:tblPrEx>
          <w:tblCellMar>
            <w:top w:w="0" w:type="dxa"/>
            <w:bottom w:w="0" w:type="dxa"/>
          </w:tblCellMar>
        </w:tblPrEx>
        <w:trPr>
          <w:cantSplit/>
        </w:trPr>
        <w:tc>
          <w:tcPr>
            <w:tcW w:w="2708" w:type="dxa"/>
            <w:shd w:val="clear" w:color="auto" w:fill="FCE4E4"/>
            <w:tcMar>
              <w:top w:w="80" w:type="dxa"/>
              <w:left w:w="100" w:type="dxa"/>
              <w:bottom w:w="80" w:type="dxa"/>
              <w:right w:w="100" w:type="dxa"/>
            </w:tcMar>
            <w:vAlign w:val="center"/>
          </w:tcPr>
          <w:p w14:paraId="2F7CB670" w14:textId="77777777" w:rsidR="00DD697F" w:rsidRPr="009156BF" w:rsidRDefault="00000000">
            <w:pPr>
              <w:rPr>
                <w:rFonts w:ascii="Arial" w:hAnsi="Arial" w:cs="Arial"/>
              </w:rPr>
            </w:pPr>
            <w:r w:rsidRPr="009156BF">
              <w:rPr>
                <w:rFonts w:ascii="Arial" w:hAnsi="Arial" w:cs="Arial"/>
                <w:b/>
                <w:bCs/>
                <w:color w:val="000000"/>
              </w:rPr>
              <w:t>Grayling culls to "protect" trout fishing</w:t>
            </w:r>
          </w:p>
        </w:tc>
        <w:tc>
          <w:tcPr>
            <w:tcW w:w="6318" w:type="dxa"/>
            <w:tcMar>
              <w:top w:w="80" w:type="dxa"/>
              <w:left w:w="100" w:type="dxa"/>
              <w:bottom w:w="80" w:type="dxa"/>
              <w:right w:w="100" w:type="dxa"/>
            </w:tcMar>
            <w:vAlign w:val="center"/>
          </w:tcPr>
          <w:p w14:paraId="5E6FBC41" w14:textId="77777777" w:rsidR="00DD697F" w:rsidRPr="009156BF" w:rsidRDefault="00000000">
            <w:pPr>
              <w:rPr>
                <w:rFonts w:ascii="Arial" w:hAnsi="Arial" w:cs="Arial"/>
              </w:rPr>
            </w:pPr>
            <w:r w:rsidRPr="009156BF">
              <w:rPr>
                <w:rFonts w:ascii="Arial" w:hAnsi="Arial" w:cs="Arial"/>
                <w:color w:val="000000"/>
              </w:rPr>
              <w:t>The guide is explicit that historic grayling culls on chalk streams did not improve trout fishing and instead reduced grayling size and age structure. Competition between the species is generally low because habitat and diet preferences differ; this is no longer supported practice.</w:t>
            </w:r>
          </w:p>
        </w:tc>
      </w:tr>
      <w:tr w:rsidR="00DD697F" w:rsidRPr="009156BF" w14:paraId="3296D9E2" w14:textId="77777777">
        <w:tblPrEx>
          <w:tblCellMar>
            <w:top w:w="0" w:type="dxa"/>
            <w:bottom w:w="0" w:type="dxa"/>
          </w:tblCellMar>
        </w:tblPrEx>
        <w:trPr>
          <w:cantSplit/>
        </w:trPr>
        <w:tc>
          <w:tcPr>
            <w:tcW w:w="2708" w:type="dxa"/>
            <w:shd w:val="clear" w:color="auto" w:fill="FCE4E4"/>
            <w:tcMar>
              <w:top w:w="80" w:type="dxa"/>
              <w:left w:w="100" w:type="dxa"/>
              <w:bottom w:w="80" w:type="dxa"/>
              <w:right w:w="100" w:type="dxa"/>
            </w:tcMar>
            <w:vAlign w:val="center"/>
          </w:tcPr>
          <w:p w14:paraId="36C1CE1A" w14:textId="77777777" w:rsidR="00DD697F" w:rsidRPr="009156BF" w:rsidRDefault="00000000">
            <w:pPr>
              <w:rPr>
                <w:rFonts w:ascii="Arial" w:hAnsi="Arial" w:cs="Arial"/>
              </w:rPr>
            </w:pPr>
            <w:r w:rsidRPr="009156BF">
              <w:rPr>
                <w:rFonts w:ascii="Arial" w:hAnsi="Arial" w:cs="Arial"/>
                <w:b/>
                <w:bCs/>
                <w:color w:val="000000"/>
              </w:rPr>
              <w:t>Generic "trout-style" habitat schemes with no grayling-specific design</w:t>
            </w:r>
          </w:p>
        </w:tc>
        <w:tc>
          <w:tcPr>
            <w:tcW w:w="6318" w:type="dxa"/>
            <w:tcMar>
              <w:top w:w="80" w:type="dxa"/>
              <w:left w:w="100" w:type="dxa"/>
              <w:bottom w:w="80" w:type="dxa"/>
              <w:right w:w="100" w:type="dxa"/>
            </w:tcMar>
            <w:vAlign w:val="center"/>
          </w:tcPr>
          <w:p w14:paraId="440C9AAE" w14:textId="77777777" w:rsidR="00DD697F" w:rsidRPr="009156BF" w:rsidRDefault="00000000">
            <w:pPr>
              <w:rPr>
                <w:rFonts w:ascii="Arial" w:hAnsi="Arial" w:cs="Arial"/>
              </w:rPr>
            </w:pPr>
            <w:r w:rsidRPr="009156BF">
              <w:rPr>
                <w:rFonts w:ascii="Arial" w:hAnsi="Arial" w:cs="Arial"/>
                <w:color w:val="000000"/>
              </w:rPr>
              <w:t>The guide notes there are no known UK habitat schemes specifically targeted at grayling – most are designed for trout/salmon on the assumption grayling benefit equally, which is often not the case (see comparison table). Projects should show they have considered grayling's own habitat needs, not simply extended a trout scheme.</w:t>
            </w:r>
          </w:p>
        </w:tc>
      </w:tr>
    </w:tbl>
    <w:p w14:paraId="60317051" w14:textId="77777777" w:rsidR="00DD697F" w:rsidRPr="009156BF" w:rsidRDefault="00000000">
      <w:pPr>
        <w:rPr>
          <w:rFonts w:ascii="Arial" w:hAnsi="Arial" w:cs="Arial"/>
        </w:rPr>
      </w:pPr>
      <w:r w:rsidRPr="009156BF">
        <w:rPr>
          <w:rFonts w:ascii="Arial" w:hAnsi="Arial" w:cs="Arial"/>
        </w:rPr>
        <w:br w:type="page"/>
      </w:r>
    </w:p>
    <w:p w14:paraId="63AEBCA0" w14:textId="77777777" w:rsidR="00DD697F" w:rsidRPr="009156BF" w:rsidRDefault="00000000">
      <w:pPr>
        <w:pStyle w:val="Heading1"/>
        <w:rPr>
          <w:rFonts w:ascii="Arial" w:hAnsi="Arial" w:cs="Arial"/>
        </w:rPr>
      </w:pPr>
      <w:r w:rsidRPr="009156BF">
        <w:rPr>
          <w:rFonts w:ascii="Arial" w:hAnsi="Arial" w:cs="Arial"/>
        </w:rPr>
        <w:lastRenderedPageBreak/>
        <w:t>3. Site self-assessment checklist</w:t>
      </w:r>
    </w:p>
    <w:p w14:paraId="418720DD" w14:textId="77777777" w:rsidR="00DD697F" w:rsidRPr="009156BF" w:rsidRDefault="00000000">
      <w:pPr>
        <w:spacing w:after="140"/>
        <w:rPr>
          <w:rFonts w:ascii="Arial" w:hAnsi="Arial" w:cs="Arial"/>
        </w:rPr>
      </w:pPr>
      <w:r w:rsidRPr="009156BF">
        <w:rPr>
          <w:rFonts w:ascii="Arial" w:hAnsi="Arial" w:cs="Arial"/>
        </w:rPr>
        <w:t xml:space="preserve">Adapted from Appendix II of the guide ("Grayling River Checklist"). Working through this before you apply will help you describe current site conditions accurately in Section 2 of the application </w:t>
      </w:r>
      <w:proofErr w:type="gramStart"/>
      <w:r w:rsidRPr="009156BF">
        <w:rPr>
          <w:rFonts w:ascii="Arial" w:hAnsi="Arial" w:cs="Arial"/>
        </w:rPr>
        <w:t>form, and</w:t>
      </w:r>
      <w:proofErr w:type="gramEnd"/>
      <w:r w:rsidRPr="009156BF">
        <w:rPr>
          <w:rFonts w:ascii="Arial" w:hAnsi="Arial" w:cs="Arial"/>
        </w:rPr>
        <w:t xml:space="preserve"> identify which life-stage bottleneck your project should target. It can also be used as a precursor to </w:t>
      </w:r>
      <w:proofErr w:type="gramStart"/>
      <w:r w:rsidRPr="009156BF">
        <w:rPr>
          <w:rFonts w:ascii="Arial" w:hAnsi="Arial" w:cs="Arial"/>
        </w:rPr>
        <w:t>requesting</w:t>
      </w:r>
      <w:proofErr w:type="gramEnd"/>
      <w:r w:rsidRPr="009156BF">
        <w:rPr>
          <w:rFonts w:ascii="Arial" w:hAnsi="Arial" w:cs="Arial"/>
        </w:rPr>
        <w:t xml:space="preserve"> a joint Advisory Visit from the Wild Trout Trust or The Grayling Society.</w:t>
      </w:r>
    </w:p>
    <w:p w14:paraId="780496D9" w14:textId="77777777" w:rsidR="00DD697F" w:rsidRPr="009156BF" w:rsidRDefault="00000000">
      <w:pPr>
        <w:spacing w:before="160" w:after="60"/>
        <w:rPr>
          <w:rFonts w:ascii="Arial" w:hAnsi="Arial" w:cs="Arial"/>
        </w:rPr>
      </w:pPr>
      <w:r w:rsidRPr="009156BF">
        <w:rPr>
          <w:rFonts w:ascii="Arial" w:hAnsi="Arial" w:cs="Arial"/>
          <w:b/>
          <w:bCs/>
          <w:color w:val="1F4E79"/>
        </w:rPr>
        <w:t>Basic river requirements</w:t>
      </w:r>
    </w:p>
    <w:p w14:paraId="631BF77E" w14:textId="77777777" w:rsidR="00DD697F" w:rsidRPr="009156BF" w:rsidRDefault="00000000">
      <w:pPr>
        <w:spacing w:after="60"/>
        <w:rPr>
          <w:rFonts w:ascii="Arial" w:hAnsi="Arial" w:cs="Arial"/>
        </w:rPr>
      </w:pPr>
      <w:proofErr w:type="gramStart"/>
      <w:r w:rsidRPr="009156BF">
        <w:rPr>
          <w:rFonts w:ascii="Segoe UI Symbol" w:hAnsi="Segoe UI Symbol" w:cs="Segoe UI Symbol"/>
          <w:sz w:val="24"/>
          <w:szCs w:val="24"/>
        </w:rPr>
        <w:t>☐</w:t>
      </w:r>
      <w:r w:rsidRPr="009156BF">
        <w:rPr>
          <w:rFonts w:ascii="Arial" w:hAnsi="Arial" w:cs="Arial"/>
          <w:sz w:val="24"/>
          <w:szCs w:val="24"/>
        </w:rPr>
        <w:t xml:space="preserve">  </w:t>
      </w:r>
      <w:r w:rsidRPr="009156BF">
        <w:rPr>
          <w:rFonts w:ascii="Arial" w:hAnsi="Arial" w:cs="Arial"/>
        </w:rPr>
        <w:t>pH</w:t>
      </w:r>
      <w:proofErr w:type="gramEnd"/>
      <w:r w:rsidRPr="009156BF">
        <w:rPr>
          <w:rFonts w:ascii="Arial" w:hAnsi="Arial" w:cs="Arial"/>
        </w:rPr>
        <w:t xml:space="preserve"> between 6.5–9.0 (ideally around 7)</w:t>
      </w:r>
    </w:p>
    <w:p w14:paraId="42F295EF" w14:textId="77777777" w:rsidR="00DD697F" w:rsidRPr="009156BF" w:rsidRDefault="00000000">
      <w:pPr>
        <w:spacing w:after="60"/>
        <w:rPr>
          <w:rFonts w:ascii="Arial" w:hAnsi="Arial" w:cs="Arial"/>
        </w:rPr>
      </w:pPr>
      <w:proofErr w:type="gramStart"/>
      <w:r w:rsidRPr="009156BF">
        <w:rPr>
          <w:rFonts w:ascii="Segoe UI Symbol" w:hAnsi="Segoe UI Symbol" w:cs="Segoe UI Symbol"/>
          <w:sz w:val="24"/>
          <w:szCs w:val="24"/>
        </w:rPr>
        <w:t>☐</w:t>
      </w:r>
      <w:r w:rsidRPr="009156BF">
        <w:rPr>
          <w:rFonts w:ascii="Arial" w:hAnsi="Arial" w:cs="Arial"/>
          <w:sz w:val="24"/>
          <w:szCs w:val="24"/>
        </w:rPr>
        <w:t xml:space="preserve">  </w:t>
      </w:r>
      <w:r w:rsidRPr="009156BF">
        <w:rPr>
          <w:rFonts w:ascii="Arial" w:hAnsi="Arial" w:cs="Arial"/>
        </w:rPr>
        <w:t>Summer</w:t>
      </w:r>
      <w:proofErr w:type="gramEnd"/>
      <w:r w:rsidRPr="009156BF">
        <w:rPr>
          <w:rFonts w:ascii="Arial" w:hAnsi="Arial" w:cs="Arial"/>
        </w:rPr>
        <w:t xml:space="preserve"> and winter water temperatures between 4–18°C; maximum below 25°C</w:t>
      </w:r>
    </w:p>
    <w:p w14:paraId="6F6EC0A5" w14:textId="77777777" w:rsidR="00DD697F" w:rsidRPr="009156BF" w:rsidRDefault="00000000">
      <w:pPr>
        <w:spacing w:after="60"/>
        <w:rPr>
          <w:rFonts w:ascii="Arial" w:hAnsi="Arial" w:cs="Arial"/>
        </w:rPr>
      </w:pPr>
      <w:proofErr w:type="gramStart"/>
      <w:r w:rsidRPr="009156BF">
        <w:rPr>
          <w:rFonts w:ascii="Segoe UI Symbol" w:hAnsi="Segoe UI Symbol" w:cs="Segoe UI Symbol"/>
          <w:sz w:val="24"/>
          <w:szCs w:val="24"/>
        </w:rPr>
        <w:t>☐</w:t>
      </w:r>
      <w:r w:rsidRPr="009156BF">
        <w:rPr>
          <w:rFonts w:ascii="Arial" w:hAnsi="Arial" w:cs="Arial"/>
          <w:sz w:val="24"/>
          <w:szCs w:val="24"/>
        </w:rPr>
        <w:t xml:space="preserve">  </w:t>
      </w:r>
      <w:r w:rsidRPr="009156BF">
        <w:rPr>
          <w:rFonts w:ascii="Arial" w:hAnsi="Arial" w:cs="Arial"/>
        </w:rPr>
        <w:t>Dissolved</w:t>
      </w:r>
      <w:proofErr w:type="gramEnd"/>
      <w:r w:rsidRPr="009156BF">
        <w:rPr>
          <w:rFonts w:ascii="Arial" w:hAnsi="Arial" w:cs="Arial"/>
        </w:rPr>
        <w:t xml:space="preserve"> oxygen greater than 5–7mg/l</w:t>
      </w:r>
    </w:p>
    <w:p w14:paraId="06E17D72" w14:textId="77777777" w:rsidR="00DD697F" w:rsidRPr="009156BF" w:rsidRDefault="00000000">
      <w:pPr>
        <w:spacing w:after="60"/>
        <w:rPr>
          <w:rFonts w:ascii="Arial" w:hAnsi="Arial" w:cs="Arial"/>
        </w:rPr>
      </w:pPr>
      <w:proofErr w:type="gramStart"/>
      <w:r w:rsidRPr="009156BF">
        <w:rPr>
          <w:rFonts w:ascii="Segoe UI Symbol" w:hAnsi="Segoe UI Symbol" w:cs="Segoe UI Symbol"/>
          <w:sz w:val="24"/>
          <w:szCs w:val="24"/>
        </w:rPr>
        <w:t>☐</w:t>
      </w:r>
      <w:r w:rsidRPr="009156BF">
        <w:rPr>
          <w:rFonts w:ascii="Arial" w:hAnsi="Arial" w:cs="Arial"/>
          <w:sz w:val="24"/>
          <w:szCs w:val="24"/>
        </w:rPr>
        <w:t xml:space="preserve">  </w:t>
      </w:r>
      <w:r w:rsidRPr="009156BF">
        <w:rPr>
          <w:rFonts w:ascii="Arial" w:hAnsi="Arial" w:cs="Arial"/>
        </w:rPr>
        <w:t>Ammonia</w:t>
      </w:r>
      <w:proofErr w:type="gramEnd"/>
      <w:r w:rsidRPr="009156BF">
        <w:rPr>
          <w:rFonts w:ascii="Arial" w:hAnsi="Arial" w:cs="Arial"/>
        </w:rPr>
        <w:t xml:space="preserve"> less than 0.2mg/l</w:t>
      </w:r>
    </w:p>
    <w:p w14:paraId="13962980" w14:textId="77777777" w:rsidR="00DD697F" w:rsidRPr="009156BF" w:rsidRDefault="00000000">
      <w:pPr>
        <w:spacing w:after="60"/>
        <w:rPr>
          <w:rFonts w:ascii="Arial" w:hAnsi="Arial" w:cs="Arial"/>
        </w:rPr>
      </w:pPr>
      <w:proofErr w:type="gramStart"/>
      <w:r w:rsidRPr="009156BF">
        <w:rPr>
          <w:rFonts w:ascii="Segoe UI Symbol" w:hAnsi="Segoe UI Symbol" w:cs="Segoe UI Symbol"/>
          <w:sz w:val="24"/>
          <w:szCs w:val="24"/>
        </w:rPr>
        <w:t>☐</w:t>
      </w:r>
      <w:r w:rsidRPr="009156BF">
        <w:rPr>
          <w:rFonts w:ascii="Arial" w:hAnsi="Arial" w:cs="Arial"/>
          <w:sz w:val="24"/>
          <w:szCs w:val="24"/>
        </w:rPr>
        <w:t xml:space="preserve">  </w:t>
      </w:r>
      <w:r w:rsidRPr="009156BF">
        <w:rPr>
          <w:rFonts w:ascii="Arial" w:hAnsi="Arial" w:cs="Arial"/>
        </w:rPr>
        <w:t>Gradient</w:t>
      </w:r>
      <w:proofErr w:type="gramEnd"/>
      <w:r w:rsidRPr="009156BF">
        <w:rPr>
          <w:rFonts w:ascii="Arial" w:hAnsi="Arial" w:cs="Arial"/>
        </w:rPr>
        <w:t xml:space="preserve"> of the reach akin to 5.7m/km; channel wider than 5m</w:t>
      </w:r>
    </w:p>
    <w:p w14:paraId="02C2D7FD" w14:textId="77777777" w:rsidR="00DD697F" w:rsidRPr="009156BF" w:rsidRDefault="00000000">
      <w:pPr>
        <w:spacing w:after="60"/>
        <w:rPr>
          <w:rFonts w:ascii="Arial" w:hAnsi="Arial" w:cs="Arial"/>
        </w:rPr>
      </w:pPr>
      <w:proofErr w:type="gramStart"/>
      <w:r w:rsidRPr="009156BF">
        <w:rPr>
          <w:rFonts w:ascii="Segoe UI Symbol" w:hAnsi="Segoe UI Symbol" w:cs="Segoe UI Symbol"/>
          <w:sz w:val="24"/>
          <w:szCs w:val="24"/>
        </w:rPr>
        <w:t>☐</w:t>
      </w:r>
      <w:r w:rsidRPr="009156BF">
        <w:rPr>
          <w:rFonts w:ascii="Arial" w:hAnsi="Arial" w:cs="Arial"/>
          <w:sz w:val="24"/>
          <w:szCs w:val="24"/>
        </w:rPr>
        <w:t xml:space="preserve">  </w:t>
      </w:r>
      <w:r w:rsidRPr="009156BF">
        <w:rPr>
          <w:rFonts w:ascii="Arial" w:hAnsi="Arial" w:cs="Arial"/>
        </w:rPr>
        <w:t>BMWP</w:t>
      </w:r>
      <w:proofErr w:type="gramEnd"/>
      <w:r w:rsidRPr="009156BF">
        <w:rPr>
          <w:rFonts w:ascii="Arial" w:hAnsi="Arial" w:cs="Arial"/>
        </w:rPr>
        <w:t xml:space="preserve"> score greater than 71 (ideally 100+)</w:t>
      </w:r>
    </w:p>
    <w:p w14:paraId="07E4B924" w14:textId="77777777" w:rsidR="00DD697F" w:rsidRPr="009156BF" w:rsidRDefault="00000000">
      <w:pPr>
        <w:spacing w:before="160" w:after="60"/>
        <w:rPr>
          <w:rFonts w:ascii="Arial" w:hAnsi="Arial" w:cs="Arial"/>
        </w:rPr>
      </w:pPr>
      <w:r w:rsidRPr="009156BF">
        <w:rPr>
          <w:rFonts w:ascii="Arial" w:hAnsi="Arial" w:cs="Arial"/>
          <w:b/>
          <w:bCs/>
          <w:color w:val="1F4E79"/>
        </w:rPr>
        <w:t>Spawning / recruitment (March–mid-May)</w:t>
      </w:r>
    </w:p>
    <w:p w14:paraId="6C9F3E58" w14:textId="77777777" w:rsidR="00DD697F" w:rsidRPr="009156BF" w:rsidRDefault="00000000">
      <w:pPr>
        <w:spacing w:after="60"/>
        <w:rPr>
          <w:rFonts w:ascii="Arial" w:hAnsi="Arial" w:cs="Arial"/>
        </w:rPr>
      </w:pPr>
      <w:proofErr w:type="gramStart"/>
      <w:r w:rsidRPr="009156BF">
        <w:rPr>
          <w:rFonts w:ascii="Segoe UI Symbol" w:hAnsi="Segoe UI Symbol" w:cs="Segoe UI Symbol"/>
          <w:sz w:val="24"/>
          <w:szCs w:val="24"/>
        </w:rPr>
        <w:t>☐</w:t>
      </w:r>
      <w:r w:rsidRPr="009156BF">
        <w:rPr>
          <w:rFonts w:ascii="Arial" w:hAnsi="Arial" w:cs="Arial"/>
          <w:sz w:val="24"/>
          <w:szCs w:val="24"/>
        </w:rPr>
        <w:t xml:space="preserve">  </w:t>
      </w:r>
      <w:r w:rsidRPr="009156BF">
        <w:rPr>
          <w:rFonts w:ascii="Arial" w:hAnsi="Arial" w:cs="Arial"/>
        </w:rPr>
        <w:t>Water</w:t>
      </w:r>
      <w:proofErr w:type="gramEnd"/>
      <w:r w:rsidRPr="009156BF">
        <w:rPr>
          <w:rFonts w:ascii="Arial" w:hAnsi="Arial" w:cs="Arial"/>
        </w:rPr>
        <w:t xml:space="preserve"> depth over spawning riffles/gravel 10–50cm</w:t>
      </w:r>
    </w:p>
    <w:p w14:paraId="3427A381" w14:textId="77777777" w:rsidR="00DD697F" w:rsidRPr="009156BF" w:rsidRDefault="00000000">
      <w:pPr>
        <w:spacing w:after="60"/>
        <w:rPr>
          <w:rFonts w:ascii="Arial" w:hAnsi="Arial" w:cs="Arial"/>
        </w:rPr>
      </w:pPr>
      <w:proofErr w:type="gramStart"/>
      <w:r w:rsidRPr="009156BF">
        <w:rPr>
          <w:rFonts w:ascii="Segoe UI Symbol" w:hAnsi="Segoe UI Symbol" w:cs="Segoe UI Symbol"/>
          <w:sz w:val="24"/>
          <w:szCs w:val="24"/>
        </w:rPr>
        <w:t>☐</w:t>
      </w:r>
      <w:r w:rsidRPr="009156BF">
        <w:rPr>
          <w:rFonts w:ascii="Arial" w:hAnsi="Arial" w:cs="Arial"/>
          <w:sz w:val="24"/>
          <w:szCs w:val="24"/>
        </w:rPr>
        <w:t xml:space="preserve">  </w:t>
      </w:r>
      <w:r w:rsidRPr="009156BF">
        <w:rPr>
          <w:rFonts w:ascii="Arial" w:hAnsi="Arial" w:cs="Arial"/>
        </w:rPr>
        <w:t>Flow</w:t>
      </w:r>
      <w:proofErr w:type="gramEnd"/>
      <w:r w:rsidRPr="009156BF">
        <w:rPr>
          <w:rFonts w:ascii="Arial" w:hAnsi="Arial" w:cs="Arial"/>
        </w:rPr>
        <w:t xml:space="preserve"> over spawning riffles/gravel 23–91.7cm/s</w:t>
      </w:r>
    </w:p>
    <w:p w14:paraId="6FB86BD8" w14:textId="77777777" w:rsidR="00DD697F" w:rsidRPr="009156BF" w:rsidRDefault="00000000">
      <w:pPr>
        <w:spacing w:after="60"/>
        <w:rPr>
          <w:rFonts w:ascii="Arial" w:hAnsi="Arial" w:cs="Arial"/>
        </w:rPr>
      </w:pPr>
      <w:proofErr w:type="gramStart"/>
      <w:r w:rsidRPr="009156BF">
        <w:rPr>
          <w:rFonts w:ascii="Segoe UI Symbol" w:hAnsi="Segoe UI Symbol" w:cs="Segoe UI Symbol"/>
          <w:sz w:val="24"/>
          <w:szCs w:val="24"/>
        </w:rPr>
        <w:t>☐</w:t>
      </w:r>
      <w:r w:rsidRPr="009156BF">
        <w:rPr>
          <w:rFonts w:ascii="Arial" w:hAnsi="Arial" w:cs="Arial"/>
          <w:sz w:val="24"/>
          <w:szCs w:val="24"/>
        </w:rPr>
        <w:t xml:space="preserve">  </w:t>
      </w:r>
      <w:r w:rsidRPr="009156BF">
        <w:rPr>
          <w:rFonts w:ascii="Arial" w:hAnsi="Arial" w:cs="Arial"/>
        </w:rPr>
        <w:t>Gravel</w:t>
      </w:r>
      <w:proofErr w:type="gramEnd"/>
      <w:r w:rsidRPr="009156BF">
        <w:rPr>
          <w:rFonts w:ascii="Arial" w:hAnsi="Arial" w:cs="Arial"/>
        </w:rPr>
        <w:t xml:space="preserve"> 2–8cm in diameter, clean of fine sediment, to a depth of &gt;5cm</w:t>
      </w:r>
    </w:p>
    <w:p w14:paraId="110E3176" w14:textId="77777777" w:rsidR="00DD697F" w:rsidRPr="009156BF" w:rsidRDefault="00000000">
      <w:pPr>
        <w:spacing w:before="160" w:after="60"/>
        <w:rPr>
          <w:rFonts w:ascii="Arial" w:hAnsi="Arial" w:cs="Arial"/>
        </w:rPr>
      </w:pPr>
      <w:r w:rsidRPr="009156BF">
        <w:rPr>
          <w:rFonts w:ascii="Arial" w:hAnsi="Arial" w:cs="Arial"/>
          <w:b/>
          <w:bCs/>
          <w:color w:val="1F4E79"/>
        </w:rPr>
        <w:t>Fry and juvenile habitat</w:t>
      </w:r>
    </w:p>
    <w:p w14:paraId="688C363C" w14:textId="77777777" w:rsidR="00DD697F" w:rsidRPr="009156BF" w:rsidRDefault="00000000">
      <w:pPr>
        <w:spacing w:after="60"/>
        <w:rPr>
          <w:rFonts w:ascii="Arial" w:hAnsi="Arial" w:cs="Arial"/>
        </w:rPr>
      </w:pPr>
      <w:proofErr w:type="gramStart"/>
      <w:r w:rsidRPr="009156BF">
        <w:rPr>
          <w:rFonts w:ascii="Segoe UI Symbol" w:hAnsi="Segoe UI Symbol" w:cs="Segoe UI Symbol"/>
          <w:sz w:val="24"/>
          <w:szCs w:val="24"/>
        </w:rPr>
        <w:t>☐</w:t>
      </w:r>
      <w:r w:rsidRPr="009156BF">
        <w:rPr>
          <w:rFonts w:ascii="Arial" w:hAnsi="Arial" w:cs="Arial"/>
          <w:sz w:val="24"/>
          <w:szCs w:val="24"/>
        </w:rPr>
        <w:t xml:space="preserve">  </w:t>
      </w:r>
      <w:r w:rsidRPr="009156BF">
        <w:rPr>
          <w:rFonts w:ascii="Arial" w:hAnsi="Arial" w:cs="Arial"/>
        </w:rPr>
        <w:t>Sand</w:t>
      </w:r>
      <w:proofErr w:type="gramEnd"/>
      <w:r w:rsidRPr="009156BF">
        <w:rPr>
          <w:rFonts w:ascii="Arial" w:hAnsi="Arial" w:cs="Arial"/>
        </w:rPr>
        <w:t>/silt/gravel bed substrate with a slow-flow "Dead Zone" margin (depth 45–90cm, velocity &lt;10cm/s)</w:t>
      </w:r>
    </w:p>
    <w:p w14:paraId="660988BE" w14:textId="77777777" w:rsidR="00DD697F" w:rsidRPr="009156BF" w:rsidRDefault="00000000">
      <w:pPr>
        <w:spacing w:after="60"/>
        <w:rPr>
          <w:rFonts w:ascii="Arial" w:hAnsi="Arial" w:cs="Arial"/>
        </w:rPr>
      </w:pPr>
      <w:proofErr w:type="gramStart"/>
      <w:r w:rsidRPr="009156BF">
        <w:rPr>
          <w:rFonts w:ascii="Segoe UI Symbol" w:hAnsi="Segoe UI Symbol" w:cs="Segoe UI Symbol"/>
          <w:sz w:val="24"/>
          <w:szCs w:val="24"/>
        </w:rPr>
        <w:t>☐</w:t>
      </w:r>
      <w:r w:rsidRPr="009156BF">
        <w:rPr>
          <w:rFonts w:ascii="Arial" w:hAnsi="Arial" w:cs="Arial"/>
          <w:sz w:val="24"/>
          <w:szCs w:val="24"/>
        </w:rPr>
        <w:t xml:space="preserve">  </w:t>
      </w:r>
      <w:r w:rsidRPr="009156BF">
        <w:rPr>
          <w:rFonts w:ascii="Arial" w:hAnsi="Arial" w:cs="Arial"/>
        </w:rPr>
        <w:t>Chironomid</w:t>
      </w:r>
      <w:proofErr w:type="gramEnd"/>
      <w:r w:rsidRPr="009156BF">
        <w:rPr>
          <w:rFonts w:ascii="Arial" w:hAnsi="Arial" w:cs="Arial"/>
        </w:rPr>
        <w:t xml:space="preserve"> larvae/pupae or other dipteran larvae present as a food source</w:t>
      </w:r>
    </w:p>
    <w:p w14:paraId="16CFBEE9" w14:textId="77777777" w:rsidR="00DD697F" w:rsidRPr="009156BF" w:rsidRDefault="00000000">
      <w:pPr>
        <w:spacing w:after="60"/>
        <w:rPr>
          <w:rFonts w:ascii="Arial" w:hAnsi="Arial" w:cs="Arial"/>
        </w:rPr>
      </w:pPr>
      <w:proofErr w:type="gramStart"/>
      <w:r w:rsidRPr="009156BF">
        <w:rPr>
          <w:rFonts w:ascii="Segoe UI Symbol" w:hAnsi="Segoe UI Symbol" w:cs="Segoe UI Symbol"/>
          <w:sz w:val="24"/>
          <w:szCs w:val="24"/>
        </w:rPr>
        <w:t>☐</w:t>
      </w:r>
      <w:r w:rsidRPr="009156BF">
        <w:rPr>
          <w:rFonts w:ascii="Arial" w:hAnsi="Arial" w:cs="Arial"/>
          <w:sz w:val="24"/>
          <w:szCs w:val="24"/>
        </w:rPr>
        <w:t xml:space="preserve">  </w:t>
      </w:r>
      <w:r w:rsidRPr="009156BF">
        <w:rPr>
          <w:rFonts w:ascii="Arial" w:hAnsi="Arial" w:cs="Arial"/>
        </w:rPr>
        <w:t>Diverse</w:t>
      </w:r>
      <w:proofErr w:type="gramEnd"/>
      <w:r w:rsidRPr="009156BF">
        <w:rPr>
          <w:rFonts w:ascii="Arial" w:hAnsi="Arial" w:cs="Arial"/>
        </w:rPr>
        <w:t xml:space="preserve"> pebble/cobble/boulder substrate for older juveniles</w:t>
      </w:r>
    </w:p>
    <w:p w14:paraId="3ADBBAF9" w14:textId="77777777" w:rsidR="00DD697F" w:rsidRPr="009156BF" w:rsidRDefault="00000000">
      <w:pPr>
        <w:spacing w:before="160" w:after="60"/>
        <w:rPr>
          <w:rFonts w:ascii="Arial" w:hAnsi="Arial" w:cs="Arial"/>
        </w:rPr>
      </w:pPr>
      <w:r w:rsidRPr="009156BF">
        <w:rPr>
          <w:rFonts w:ascii="Arial" w:hAnsi="Arial" w:cs="Arial"/>
          <w:b/>
          <w:bCs/>
          <w:color w:val="1F4E79"/>
        </w:rPr>
        <w:t>Adult habitat and pressures</w:t>
      </w:r>
    </w:p>
    <w:p w14:paraId="1AA0C37E" w14:textId="77777777" w:rsidR="00DD697F" w:rsidRPr="009156BF" w:rsidRDefault="00000000">
      <w:pPr>
        <w:spacing w:after="60"/>
        <w:rPr>
          <w:rFonts w:ascii="Arial" w:hAnsi="Arial" w:cs="Arial"/>
        </w:rPr>
      </w:pPr>
      <w:proofErr w:type="gramStart"/>
      <w:r w:rsidRPr="009156BF">
        <w:rPr>
          <w:rFonts w:ascii="Segoe UI Symbol" w:hAnsi="Segoe UI Symbol" w:cs="Segoe UI Symbol"/>
          <w:sz w:val="24"/>
          <w:szCs w:val="24"/>
        </w:rPr>
        <w:t>☐</w:t>
      </w:r>
      <w:r w:rsidRPr="009156BF">
        <w:rPr>
          <w:rFonts w:ascii="Arial" w:hAnsi="Arial" w:cs="Arial"/>
          <w:sz w:val="24"/>
          <w:szCs w:val="24"/>
        </w:rPr>
        <w:t xml:space="preserve">  </w:t>
      </w:r>
      <w:r w:rsidRPr="009156BF">
        <w:rPr>
          <w:rFonts w:ascii="Arial" w:hAnsi="Arial" w:cs="Arial"/>
        </w:rPr>
        <w:t>Depth</w:t>
      </w:r>
      <w:proofErr w:type="gramEnd"/>
      <w:r w:rsidRPr="009156BF">
        <w:rPr>
          <w:rFonts w:ascii="Arial" w:hAnsi="Arial" w:cs="Arial"/>
        </w:rPr>
        <w:t xml:space="preserve"> 75–165cm with velocities 20–50cm/s; deep-water refuges available</w:t>
      </w:r>
    </w:p>
    <w:p w14:paraId="247874DE" w14:textId="77777777" w:rsidR="00DD697F" w:rsidRPr="009156BF" w:rsidRDefault="00000000">
      <w:pPr>
        <w:spacing w:after="60"/>
        <w:rPr>
          <w:rFonts w:ascii="Arial" w:hAnsi="Arial" w:cs="Arial"/>
        </w:rPr>
      </w:pPr>
      <w:proofErr w:type="gramStart"/>
      <w:r w:rsidRPr="009156BF">
        <w:rPr>
          <w:rFonts w:ascii="Segoe UI Symbol" w:hAnsi="Segoe UI Symbol" w:cs="Segoe UI Symbol"/>
          <w:sz w:val="24"/>
          <w:szCs w:val="24"/>
        </w:rPr>
        <w:t>☐</w:t>
      </w:r>
      <w:r w:rsidRPr="009156BF">
        <w:rPr>
          <w:rFonts w:ascii="Arial" w:hAnsi="Arial" w:cs="Arial"/>
          <w:sz w:val="24"/>
          <w:szCs w:val="24"/>
        </w:rPr>
        <w:t xml:space="preserve">  </w:t>
      </w:r>
      <w:r w:rsidRPr="009156BF">
        <w:rPr>
          <w:rFonts w:ascii="Arial" w:hAnsi="Arial" w:cs="Arial"/>
        </w:rPr>
        <w:t>Feeding</w:t>
      </w:r>
      <w:proofErr w:type="gramEnd"/>
      <w:r w:rsidRPr="009156BF">
        <w:rPr>
          <w:rFonts w:ascii="Arial" w:hAnsi="Arial" w:cs="Arial"/>
        </w:rPr>
        <w:t xml:space="preserve"> areas relatively free of dense in-river vegetation</w:t>
      </w:r>
    </w:p>
    <w:p w14:paraId="3C28360D" w14:textId="77777777" w:rsidR="00DD697F" w:rsidRPr="009156BF" w:rsidRDefault="00000000">
      <w:pPr>
        <w:spacing w:after="60"/>
        <w:rPr>
          <w:rFonts w:ascii="Arial" w:hAnsi="Arial" w:cs="Arial"/>
        </w:rPr>
      </w:pPr>
      <w:proofErr w:type="gramStart"/>
      <w:r w:rsidRPr="009156BF">
        <w:rPr>
          <w:rFonts w:ascii="Segoe UI Symbol" w:hAnsi="Segoe UI Symbol" w:cs="Segoe UI Symbol"/>
          <w:sz w:val="24"/>
          <w:szCs w:val="24"/>
        </w:rPr>
        <w:t>☐</w:t>
      </w:r>
      <w:r w:rsidRPr="009156BF">
        <w:rPr>
          <w:rFonts w:ascii="Arial" w:hAnsi="Arial" w:cs="Arial"/>
          <w:sz w:val="24"/>
          <w:szCs w:val="24"/>
        </w:rPr>
        <w:t xml:space="preserve">  </w:t>
      </w:r>
      <w:r w:rsidRPr="009156BF">
        <w:rPr>
          <w:rFonts w:ascii="Arial" w:hAnsi="Arial" w:cs="Arial"/>
        </w:rPr>
        <w:t>No</w:t>
      </w:r>
      <w:proofErr w:type="gramEnd"/>
      <w:r w:rsidRPr="009156BF">
        <w:rPr>
          <w:rFonts w:ascii="Arial" w:hAnsi="Arial" w:cs="Arial"/>
        </w:rPr>
        <w:t xml:space="preserve"> stocked rainbow trout or unmanaged grayling/coarse fish stocking nearby</w:t>
      </w:r>
    </w:p>
    <w:p w14:paraId="6DAE5C8C" w14:textId="77777777" w:rsidR="00DD697F" w:rsidRPr="009156BF" w:rsidRDefault="00000000">
      <w:pPr>
        <w:spacing w:after="60"/>
        <w:rPr>
          <w:rFonts w:ascii="Arial" w:hAnsi="Arial" w:cs="Arial"/>
        </w:rPr>
      </w:pPr>
      <w:proofErr w:type="gramStart"/>
      <w:r w:rsidRPr="009156BF">
        <w:rPr>
          <w:rFonts w:ascii="Segoe UI Symbol" w:hAnsi="Segoe UI Symbol" w:cs="Segoe UI Symbol"/>
          <w:sz w:val="24"/>
          <w:szCs w:val="24"/>
        </w:rPr>
        <w:t>☐</w:t>
      </w:r>
      <w:r w:rsidRPr="009156BF">
        <w:rPr>
          <w:rFonts w:ascii="Arial" w:hAnsi="Arial" w:cs="Arial"/>
          <w:sz w:val="24"/>
          <w:szCs w:val="24"/>
        </w:rPr>
        <w:t xml:space="preserve">  </w:t>
      </w:r>
      <w:r w:rsidRPr="009156BF">
        <w:rPr>
          <w:rFonts w:ascii="Arial" w:hAnsi="Arial" w:cs="Arial"/>
        </w:rPr>
        <w:t>No</w:t>
      </w:r>
      <w:proofErr w:type="gramEnd"/>
      <w:r w:rsidRPr="009156BF">
        <w:rPr>
          <w:rFonts w:ascii="Arial" w:hAnsi="Arial" w:cs="Arial"/>
        </w:rPr>
        <w:t xml:space="preserve"> sewage, industrial, agricultural, road, fish-farm or mine-water discharge within 2km</w:t>
      </w:r>
    </w:p>
    <w:p w14:paraId="5521602B" w14:textId="77777777" w:rsidR="00DD697F" w:rsidRPr="009156BF" w:rsidRDefault="00000000">
      <w:pPr>
        <w:spacing w:after="60"/>
        <w:rPr>
          <w:rFonts w:ascii="Arial" w:hAnsi="Arial" w:cs="Arial"/>
        </w:rPr>
      </w:pPr>
      <w:proofErr w:type="gramStart"/>
      <w:r w:rsidRPr="009156BF">
        <w:rPr>
          <w:rFonts w:ascii="Segoe UI Symbol" w:hAnsi="Segoe UI Symbol" w:cs="Segoe UI Symbol"/>
          <w:sz w:val="24"/>
          <w:szCs w:val="24"/>
        </w:rPr>
        <w:t>☐</w:t>
      </w:r>
      <w:r w:rsidRPr="009156BF">
        <w:rPr>
          <w:rFonts w:ascii="Arial" w:hAnsi="Arial" w:cs="Arial"/>
          <w:sz w:val="24"/>
          <w:szCs w:val="24"/>
        </w:rPr>
        <w:t xml:space="preserve">  </w:t>
      </w:r>
      <w:r w:rsidRPr="009156BF">
        <w:rPr>
          <w:rFonts w:ascii="Arial" w:hAnsi="Arial" w:cs="Arial"/>
        </w:rPr>
        <w:t>No</w:t>
      </w:r>
      <w:proofErr w:type="gramEnd"/>
      <w:r w:rsidRPr="009156BF">
        <w:rPr>
          <w:rFonts w:ascii="Arial" w:hAnsi="Arial" w:cs="Arial"/>
        </w:rPr>
        <w:t xml:space="preserve"> unaddressed barriers to migration within 1km</w:t>
      </w:r>
    </w:p>
    <w:p w14:paraId="7C732E74" w14:textId="77777777" w:rsidR="00DD697F" w:rsidRPr="009156BF" w:rsidRDefault="00000000">
      <w:pPr>
        <w:pStyle w:val="Heading1"/>
        <w:rPr>
          <w:rFonts w:ascii="Arial" w:hAnsi="Arial" w:cs="Arial"/>
        </w:rPr>
      </w:pPr>
      <w:r w:rsidRPr="009156BF">
        <w:rPr>
          <w:rFonts w:ascii="Arial" w:hAnsi="Arial" w:cs="Arial"/>
        </w:rPr>
        <w:t>4. A simple route to diagnosing the problem</w:t>
      </w:r>
    </w:p>
    <w:p w14:paraId="69CA1A5D" w14:textId="77777777" w:rsidR="00DD697F" w:rsidRPr="009156BF" w:rsidRDefault="00000000">
      <w:pPr>
        <w:spacing w:after="140"/>
        <w:rPr>
          <w:rFonts w:ascii="Arial" w:hAnsi="Arial" w:cs="Arial"/>
        </w:rPr>
      </w:pPr>
      <w:r w:rsidRPr="009156BF">
        <w:rPr>
          <w:rFonts w:ascii="Arial" w:hAnsi="Arial" w:cs="Arial"/>
        </w:rPr>
        <w:t>The guide's own decision flow (Appendix III) boils down to four questions worth answering before choosing a project:</w:t>
      </w:r>
    </w:p>
    <w:p w14:paraId="09625627" w14:textId="77777777" w:rsidR="00DD697F" w:rsidRPr="009156BF" w:rsidRDefault="00000000">
      <w:pPr>
        <w:pStyle w:val="ListParagraph"/>
        <w:numPr>
          <w:ilvl w:val="0"/>
          <w:numId w:val="1"/>
        </w:numPr>
        <w:spacing w:after="80"/>
        <w:rPr>
          <w:rFonts w:ascii="Arial" w:hAnsi="Arial" w:cs="Arial"/>
        </w:rPr>
      </w:pPr>
      <w:r w:rsidRPr="009156BF">
        <w:rPr>
          <w:rFonts w:ascii="Arial" w:hAnsi="Arial" w:cs="Arial"/>
        </w:rPr>
        <w:t>Are grayling present now, or historically, in this reach or catchment? If neither, a grayling-specific scheme is not appropriate here.</w:t>
      </w:r>
    </w:p>
    <w:p w14:paraId="1C8FCD05" w14:textId="77777777" w:rsidR="00DD697F" w:rsidRPr="009156BF" w:rsidRDefault="00000000">
      <w:pPr>
        <w:pStyle w:val="ListParagraph"/>
        <w:numPr>
          <w:ilvl w:val="0"/>
          <w:numId w:val="1"/>
        </w:numPr>
        <w:spacing w:after="80"/>
        <w:rPr>
          <w:rFonts w:ascii="Arial" w:hAnsi="Arial" w:cs="Arial"/>
        </w:rPr>
      </w:pPr>
      <w:r w:rsidRPr="009156BF">
        <w:rPr>
          <w:rFonts w:ascii="Arial" w:hAnsi="Arial" w:cs="Arial"/>
        </w:rPr>
        <w:t>Is the physical habitat (pool-riffle-glide-run mosaic, connectivity between the Dead Zone, Transition Zone and Main Channel) in good condition? If poor, seek advice on habitat restoration before anything else.</w:t>
      </w:r>
    </w:p>
    <w:p w14:paraId="53B8EACB" w14:textId="77777777" w:rsidR="00DD697F" w:rsidRPr="009156BF" w:rsidRDefault="00000000">
      <w:pPr>
        <w:pStyle w:val="ListParagraph"/>
        <w:numPr>
          <w:ilvl w:val="0"/>
          <w:numId w:val="1"/>
        </w:numPr>
        <w:spacing w:after="80"/>
        <w:rPr>
          <w:rFonts w:ascii="Arial" w:hAnsi="Arial" w:cs="Arial"/>
        </w:rPr>
      </w:pPr>
      <w:r w:rsidRPr="009156BF">
        <w:rPr>
          <w:rFonts w:ascii="Arial" w:hAnsi="Arial" w:cs="Arial"/>
        </w:rPr>
        <w:t xml:space="preserve">Where habitat is </w:t>
      </w:r>
      <w:proofErr w:type="gramStart"/>
      <w:r w:rsidRPr="009156BF">
        <w:rPr>
          <w:rFonts w:ascii="Arial" w:hAnsi="Arial" w:cs="Arial"/>
        </w:rPr>
        <w:t>good</w:t>
      </w:r>
      <w:proofErr w:type="gramEnd"/>
      <w:r w:rsidRPr="009156BF">
        <w:rPr>
          <w:rFonts w:ascii="Arial" w:hAnsi="Arial" w:cs="Arial"/>
        </w:rPr>
        <w:t xml:space="preserve"> but the population is not, is the shortfall in juveniles or in adults? A juvenile deficiency points to poor spawning habitat; an adult deficiency points to barriers to migration, exploitation, or predation.</w:t>
      </w:r>
    </w:p>
    <w:p w14:paraId="78144D80" w14:textId="77777777" w:rsidR="00DD697F" w:rsidRPr="009156BF" w:rsidRDefault="00000000">
      <w:pPr>
        <w:pStyle w:val="ListParagraph"/>
        <w:numPr>
          <w:ilvl w:val="0"/>
          <w:numId w:val="1"/>
        </w:numPr>
        <w:spacing w:after="80"/>
        <w:rPr>
          <w:rFonts w:ascii="Arial" w:hAnsi="Arial" w:cs="Arial"/>
        </w:rPr>
      </w:pPr>
      <w:r w:rsidRPr="009156BF">
        <w:rPr>
          <w:rFonts w:ascii="Arial" w:hAnsi="Arial" w:cs="Arial"/>
        </w:rPr>
        <w:lastRenderedPageBreak/>
        <w:t>Only once the underlying cause is identified and, where possible, addressed should stocking be considered – and then only as a genetics-aware, evidence-based last step.</w:t>
      </w:r>
    </w:p>
    <w:p w14:paraId="3DEE2CF3" w14:textId="77777777" w:rsidR="00DD697F" w:rsidRPr="009156BF" w:rsidRDefault="00000000">
      <w:pPr>
        <w:pStyle w:val="Heading1"/>
        <w:rPr>
          <w:rFonts w:ascii="Arial" w:hAnsi="Arial" w:cs="Arial"/>
        </w:rPr>
      </w:pPr>
      <w:r w:rsidRPr="009156BF">
        <w:rPr>
          <w:rFonts w:ascii="Arial" w:hAnsi="Arial" w:cs="Arial"/>
        </w:rPr>
        <w:t>5. Further advice</w:t>
      </w:r>
    </w:p>
    <w:p w14:paraId="753F2D15" w14:textId="77777777" w:rsidR="00DD697F" w:rsidRPr="009156BF" w:rsidRDefault="00000000">
      <w:pPr>
        <w:pStyle w:val="ListParagraph"/>
        <w:numPr>
          <w:ilvl w:val="0"/>
          <w:numId w:val="1"/>
        </w:numPr>
        <w:spacing w:after="80"/>
        <w:rPr>
          <w:rFonts w:ascii="Arial" w:hAnsi="Arial" w:cs="Arial"/>
        </w:rPr>
      </w:pPr>
      <w:r w:rsidRPr="009156BF">
        <w:rPr>
          <w:rFonts w:ascii="Arial" w:hAnsi="Arial" w:cs="Arial"/>
        </w:rPr>
        <w:t>The Grayling Society – graylingsociety.net – Area Secretaries and Advisory Visits.</w:t>
      </w:r>
    </w:p>
    <w:p w14:paraId="13B1716C" w14:textId="77777777" w:rsidR="00DD697F" w:rsidRPr="009156BF" w:rsidRDefault="00000000">
      <w:pPr>
        <w:pStyle w:val="ListParagraph"/>
        <w:numPr>
          <w:ilvl w:val="0"/>
          <w:numId w:val="1"/>
        </w:numPr>
        <w:spacing w:after="80"/>
        <w:rPr>
          <w:rFonts w:ascii="Arial" w:hAnsi="Arial" w:cs="Arial"/>
        </w:rPr>
      </w:pPr>
      <w:r w:rsidRPr="009156BF">
        <w:rPr>
          <w:rFonts w:ascii="Arial" w:hAnsi="Arial" w:cs="Arial"/>
        </w:rPr>
        <w:t>The Grayling Research Trust – graylingsociety.net/grayling-research-trust</w:t>
      </w:r>
    </w:p>
    <w:p w14:paraId="1958FA34" w14:textId="77777777" w:rsidR="00DD697F" w:rsidRPr="009156BF" w:rsidRDefault="00000000">
      <w:pPr>
        <w:pStyle w:val="ListParagraph"/>
        <w:numPr>
          <w:ilvl w:val="0"/>
          <w:numId w:val="1"/>
        </w:numPr>
        <w:spacing w:after="80"/>
        <w:rPr>
          <w:rFonts w:ascii="Arial" w:hAnsi="Arial" w:cs="Arial"/>
        </w:rPr>
      </w:pPr>
      <w:r w:rsidRPr="009156BF">
        <w:rPr>
          <w:rFonts w:ascii="Arial" w:hAnsi="Arial" w:cs="Arial"/>
        </w:rPr>
        <w:t>The Wild Trout Trust – wildtrout.org – Advisory Visits and river restoration guidance.</w:t>
      </w:r>
    </w:p>
    <w:p w14:paraId="058358B0" w14:textId="77777777" w:rsidR="00DD697F" w:rsidRPr="009156BF" w:rsidRDefault="00000000">
      <w:pPr>
        <w:pStyle w:val="ListParagraph"/>
        <w:numPr>
          <w:ilvl w:val="0"/>
          <w:numId w:val="1"/>
        </w:numPr>
        <w:spacing w:after="80"/>
        <w:rPr>
          <w:rFonts w:ascii="Arial" w:hAnsi="Arial" w:cs="Arial"/>
        </w:rPr>
      </w:pPr>
      <w:r w:rsidRPr="009156BF">
        <w:rPr>
          <w:rFonts w:ascii="Arial" w:hAnsi="Arial" w:cs="Arial"/>
        </w:rPr>
        <w:t>Your local Environment Agency, Natural Resources Wales, or SEPA fisheries officer – for consents (Land Drainage, abstraction, felling, SSSI/SAC) and technical advice.</w:t>
      </w:r>
    </w:p>
    <w:p w14:paraId="1AEE0978" w14:textId="77777777" w:rsidR="00DD697F" w:rsidRPr="009156BF" w:rsidRDefault="00000000">
      <w:pPr>
        <w:spacing w:before="240"/>
        <w:rPr>
          <w:rFonts w:ascii="Arial" w:hAnsi="Arial" w:cs="Arial"/>
        </w:rPr>
      </w:pPr>
      <w:r w:rsidRPr="009156BF">
        <w:rPr>
          <w:rFonts w:ascii="Arial" w:hAnsi="Arial" w:cs="Arial"/>
          <w:b/>
          <w:bCs/>
          <w:sz w:val="20"/>
          <w:szCs w:val="20"/>
        </w:rPr>
        <w:t>Source</w:t>
      </w:r>
    </w:p>
    <w:p w14:paraId="38EDF68B" w14:textId="77777777" w:rsidR="00DD697F" w:rsidRPr="009156BF" w:rsidRDefault="00000000">
      <w:pPr>
        <w:spacing w:after="40"/>
        <w:rPr>
          <w:rFonts w:ascii="Arial" w:hAnsi="Arial" w:cs="Arial"/>
        </w:rPr>
      </w:pPr>
      <w:r w:rsidRPr="009156BF">
        <w:rPr>
          <w:rFonts w:ascii="Arial" w:hAnsi="Arial" w:cs="Arial"/>
          <w:i/>
          <w:iCs/>
          <w:sz w:val="20"/>
          <w:szCs w:val="20"/>
        </w:rPr>
        <w:t>Cove, R.J., Taylor, R.J. and Gardiner, R. (2018). European Grayling Conservation, Ecology &amp; Management: A Practical Conservation Guide for the United Kingdom. Grayling Research Trust.</w:t>
      </w:r>
    </w:p>
    <w:sectPr w:rsidR="00DD697F" w:rsidRPr="009156BF" w:rsidSect="009156BF">
      <w:headerReference w:type="first" r:id="rId7"/>
      <w:pgSz w:w="11906" w:h="16838"/>
      <w:pgMar w:top="1440" w:right="1440" w:bottom="1440" w:left="144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999412F" w14:textId="77777777" w:rsidR="00F934A8" w:rsidRDefault="00F934A8" w:rsidP="009156BF">
      <w:r>
        <w:separator/>
      </w:r>
    </w:p>
  </w:endnote>
  <w:endnote w:type="continuationSeparator" w:id="0">
    <w:p w14:paraId="78977A5C" w14:textId="77777777" w:rsidR="00F934A8" w:rsidRDefault="00F934A8" w:rsidP="00915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Montserrat">
    <w:panose1 w:val="00000500000000000000"/>
    <w:charset w:val="4D"/>
    <w:family w:val="auto"/>
    <w:pitch w:val="variable"/>
    <w:sig w:usb0="2000020F" w:usb1="00000003"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04CD191" w14:textId="77777777" w:rsidR="00F934A8" w:rsidRDefault="00F934A8" w:rsidP="009156BF">
      <w:r>
        <w:separator/>
      </w:r>
    </w:p>
  </w:footnote>
  <w:footnote w:type="continuationSeparator" w:id="0">
    <w:p w14:paraId="3BEEE37C" w14:textId="77777777" w:rsidR="00F934A8" w:rsidRDefault="00F934A8" w:rsidP="009156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6BC562" w14:textId="149324E0" w:rsidR="009156BF" w:rsidRPr="009156BF" w:rsidRDefault="009156BF" w:rsidP="009156BF">
    <w:pPr>
      <w:spacing w:before="100" w:beforeAutospacing="1" w:after="100" w:afterAutospacing="1"/>
      <w:outlineLvl w:val="1"/>
      <w:rPr>
        <w:rFonts w:ascii="Arial" w:eastAsia="Times New Roman" w:hAnsi="Arial" w:cs="Arial"/>
        <w:b/>
        <w:bCs/>
        <w:color w:val="000000"/>
        <w:kern w:val="36"/>
      </w:rPr>
    </w:pPr>
    <w:r w:rsidRPr="00543651">
      <w:rPr>
        <w:noProof/>
      </w:rPr>
      <w:drawing>
        <wp:anchor distT="0" distB="0" distL="114300" distR="114300" simplePos="0" relativeHeight="251661312" behindDoc="0" locked="0" layoutInCell="1" allowOverlap="1" wp14:anchorId="6BFA6F7A" wp14:editId="6CACC449">
          <wp:simplePos x="0" y="0"/>
          <wp:positionH relativeFrom="column">
            <wp:posOffset>5044807</wp:posOffset>
          </wp:positionH>
          <wp:positionV relativeFrom="paragraph">
            <wp:posOffset>-254255</wp:posOffset>
          </wp:positionV>
          <wp:extent cx="716742" cy="716742"/>
          <wp:effectExtent l="0" t="0" r="0" b="0"/>
          <wp:wrapThrough wrapText="bothSides">
            <wp:wrapPolygon edited="0">
              <wp:start x="0" y="0"/>
              <wp:lineTo x="0" y="21064"/>
              <wp:lineTo x="21064" y="21064"/>
              <wp:lineTo x="21064" y="0"/>
              <wp:lineTo x="0" y="0"/>
            </wp:wrapPolygon>
          </wp:wrapThrough>
          <wp:docPr id="3300801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638148" name=""/>
                  <pic:cNvPicPr/>
                </pic:nvPicPr>
                <pic:blipFill>
                  <a:blip r:embed="rId1">
                    <a:extLst>
                      <a:ext uri="{28A0092B-C50C-407E-A947-70E740481C1C}">
                        <a14:useLocalDpi xmlns:a14="http://schemas.microsoft.com/office/drawing/2010/main" val="0"/>
                      </a:ext>
                    </a:extLst>
                  </a:blip>
                  <a:stretch>
                    <a:fillRect/>
                  </a:stretch>
                </pic:blipFill>
                <pic:spPr>
                  <a:xfrm>
                    <a:off x="0" y="0"/>
                    <a:ext cx="716742" cy="71674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6AC4098"/>
    <w:multiLevelType w:val="hybridMultilevel"/>
    <w:tmpl w:val="B61E1C9A"/>
    <w:lvl w:ilvl="0" w:tplc="C78829B2">
      <w:start w:val="1"/>
      <w:numFmt w:val="bullet"/>
      <w:lvlText w:val="●"/>
      <w:lvlJc w:val="left"/>
      <w:pPr>
        <w:ind w:left="720" w:hanging="360"/>
      </w:pPr>
    </w:lvl>
    <w:lvl w:ilvl="1" w:tplc="DB5860B4">
      <w:start w:val="1"/>
      <w:numFmt w:val="bullet"/>
      <w:lvlText w:val="○"/>
      <w:lvlJc w:val="left"/>
      <w:pPr>
        <w:ind w:left="1440" w:hanging="360"/>
      </w:pPr>
    </w:lvl>
    <w:lvl w:ilvl="2" w:tplc="5A143F6C">
      <w:start w:val="1"/>
      <w:numFmt w:val="bullet"/>
      <w:lvlText w:val="■"/>
      <w:lvlJc w:val="left"/>
      <w:pPr>
        <w:ind w:left="2160" w:hanging="360"/>
      </w:pPr>
    </w:lvl>
    <w:lvl w:ilvl="3" w:tplc="5FB63A32">
      <w:start w:val="1"/>
      <w:numFmt w:val="bullet"/>
      <w:lvlText w:val="●"/>
      <w:lvlJc w:val="left"/>
      <w:pPr>
        <w:ind w:left="2880" w:hanging="360"/>
      </w:pPr>
    </w:lvl>
    <w:lvl w:ilvl="4" w:tplc="F4EA4350">
      <w:start w:val="1"/>
      <w:numFmt w:val="bullet"/>
      <w:lvlText w:val="○"/>
      <w:lvlJc w:val="left"/>
      <w:pPr>
        <w:ind w:left="3600" w:hanging="360"/>
      </w:pPr>
    </w:lvl>
    <w:lvl w:ilvl="5" w:tplc="D3DAEF52">
      <w:start w:val="1"/>
      <w:numFmt w:val="bullet"/>
      <w:lvlText w:val="■"/>
      <w:lvlJc w:val="left"/>
      <w:pPr>
        <w:ind w:left="4320" w:hanging="360"/>
      </w:pPr>
    </w:lvl>
    <w:lvl w:ilvl="6" w:tplc="D5DE55D0">
      <w:start w:val="1"/>
      <w:numFmt w:val="bullet"/>
      <w:lvlText w:val="●"/>
      <w:lvlJc w:val="left"/>
      <w:pPr>
        <w:ind w:left="5040" w:hanging="360"/>
      </w:pPr>
    </w:lvl>
    <w:lvl w:ilvl="7" w:tplc="A6D6C862">
      <w:start w:val="1"/>
      <w:numFmt w:val="bullet"/>
      <w:lvlText w:val="●"/>
      <w:lvlJc w:val="left"/>
      <w:pPr>
        <w:ind w:left="5760" w:hanging="360"/>
      </w:pPr>
    </w:lvl>
    <w:lvl w:ilvl="8" w:tplc="01D8377E">
      <w:start w:val="1"/>
      <w:numFmt w:val="bullet"/>
      <w:lvlText w:val="●"/>
      <w:lvlJc w:val="left"/>
      <w:pPr>
        <w:ind w:left="6480" w:hanging="360"/>
      </w:pPr>
    </w:lvl>
  </w:abstractNum>
  <w:num w:numId="1" w16cid:durableId="1960723219">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697F"/>
    <w:rsid w:val="009156BF"/>
    <w:rsid w:val="00A643E2"/>
    <w:rsid w:val="00C37302"/>
    <w:rsid w:val="00DD697F"/>
    <w:rsid w:val="00F934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DC79291"/>
  <w15:docId w15:val="{8B59A585-AEDC-634D-84EC-AE525CC74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20" w:after="140"/>
      <w:outlineLvl w:val="0"/>
    </w:pPr>
    <w:rPr>
      <w:b/>
      <w:bCs/>
      <w:color w:val="1F4E79"/>
      <w:sz w:val="30"/>
      <w:szCs w:val="30"/>
    </w:rPr>
  </w:style>
  <w:style w:type="paragraph" w:styleId="Heading2">
    <w:name w:val="heading 2"/>
    <w:uiPriority w:val="9"/>
    <w:unhideWhenUsed/>
    <w:qFormat/>
    <w:pPr>
      <w:spacing w:before="220" w:after="100"/>
      <w:outlineLvl w:val="1"/>
    </w:pPr>
    <w:rPr>
      <w:b/>
      <w:bCs/>
      <w:color w:val="1F4E79"/>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156BF"/>
    <w:pPr>
      <w:tabs>
        <w:tab w:val="center" w:pos="4513"/>
        <w:tab w:val="right" w:pos="9026"/>
      </w:tabs>
    </w:pPr>
  </w:style>
  <w:style w:type="character" w:customStyle="1" w:styleId="HeaderChar">
    <w:name w:val="Header Char"/>
    <w:basedOn w:val="DefaultParagraphFont"/>
    <w:link w:val="Header"/>
    <w:uiPriority w:val="99"/>
    <w:rsid w:val="009156BF"/>
  </w:style>
  <w:style w:type="paragraph" w:styleId="Footer">
    <w:name w:val="footer"/>
    <w:basedOn w:val="Normal"/>
    <w:link w:val="FooterChar"/>
    <w:uiPriority w:val="99"/>
    <w:unhideWhenUsed/>
    <w:rsid w:val="009156BF"/>
    <w:pPr>
      <w:tabs>
        <w:tab w:val="center" w:pos="4513"/>
        <w:tab w:val="right" w:pos="9026"/>
      </w:tabs>
    </w:pPr>
  </w:style>
  <w:style w:type="character" w:customStyle="1" w:styleId="FooterChar">
    <w:name w:val="Footer Char"/>
    <w:basedOn w:val="DefaultParagraphFont"/>
    <w:link w:val="Footer"/>
    <w:uiPriority w:val="99"/>
    <w:rsid w:val="009156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6</Pages>
  <Words>1774</Words>
  <Characters>10236</Characters>
  <Application>Microsoft Office Word</Application>
  <DocSecurity>0</DocSecurity>
  <Lines>255</Lines>
  <Paragraphs>127</Paragraphs>
  <ScaleCrop>false</ScaleCrop>
  <Company/>
  <LinksUpToDate>false</LinksUpToDate>
  <CharactersWithSpaces>11883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Marnie Lovejoy</cp:lastModifiedBy>
  <cp:revision>3</cp:revision>
  <dcterms:created xsi:type="dcterms:W3CDTF">2026-08-28T08:37:00Z</dcterms:created>
  <dcterms:modified xsi:type="dcterms:W3CDTF">2026-08-28T08:52:00Z</dcterms:modified>
</cp:coreProperties>
</file>