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799DB5" w14:textId="5255DD32" w:rsidR="00955171" w:rsidRPr="007A29B2" w:rsidRDefault="007A29B2" w:rsidP="007A29B2">
      <w:pPr>
        <w:jc w:val="center"/>
        <w:rPr>
          <w:color w:val="004E9A"/>
          <w:sz w:val="24"/>
          <w:szCs w:val="24"/>
        </w:rPr>
      </w:pPr>
      <w:r w:rsidRPr="007A29B2">
        <w:rPr>
          <w:b/>
          <w:color w:val="004E9A"/>
          <w:sz w:val="48"/>
          <w:szCs w:val="48"/>
        </w:rPr>
        <w:t>FORMULA 1 ABU DHABI 2025</w:t>
      </w:r>
    </w:p>
    <w:p w14:paraId="64865B1C" w14:textId="77777777" w:rsidR="00955171" w:rsidRDefault="00955171"/>
    <w:tbl>
      <w:tblPr>
        <w:tblStyle w:val="Tablaconcuadrcula"/>
        <w:tblpPr w:leftFromText="141" w:rightFromText="141" w:vertAnchor="page" w:horzAnchor="margin" w:tblpXSpec="center" w:tblpY="2579"/>
        <w:tblW w:w="11082" w:type="dxa"/>
        <w:tblLook w:val="04A0" w:firstRow="1" w:lastRow="0" w:firstColumn="1" w:lastColumn="0" w:noHBand="0" w:noVBand="1"/>
      </w:tblPr>
      <w:tblGrid>
        <w:gridCol w:w="5400"/>
        <w:gridCol w:w="5682"/>
      </w:tblGrid>
      <w:tr w:rsidR="00C4219E" w14:paraId="0D8F3AA6" w14:textId="77777777" w:rsidTr="00C4219E">
        <w:trPr>
          <w:trHeight w:val="489"/>
        </w:trPr>
        <w:tc>
          <w:tcPr>
            <w:tcW w:w="5400" w:type="dxa"/>
            <w:shd w:val="clear" w:color="auto" w:fill="00B0F0"/>
            <w:vAlign w:val="center"/>
          </w:tcPr>
          <w:p w14:paraId="6CB6CA08" w14:textId="77777777" w:rsidR="00C4219E" w:rsidRPr="001729B4" w:rsidRDefault="00C4219E" w:rsidP="00C4219E">
            <w:pPr>
              <w:jc w:val="center"/>
              <w:rPr>
                <w:b/>
                <w:color w:val="FFFFFF" w:themeColor="background1"/>
                <w:sz w:val="24"/>
                <w:szCs w:val="24"/>
              </w:rPr>
            </w:pPr>
            <w:r w:rsidRPr="001729B4">
              <w:rPr>
                <w:b/>
                <w:color w:val="FFFFFF" w:themeColor="background1"/>
                <w:sz w:val="24"/>
                <w:szCs w:val="24"/>
              </w:rPr>
              <w:t>NUESTRO PLAN INCLUYE (POR PERSONA)</w:t>
            </w:r>
          </w:p>
        </w:tc>
        <w:tc>
          <w:tcPr>
            <w:tcW w:w="5682" w:type="dxa"/>
            <w:shd w:val="clear" w:color="auto" w:fill="0070C0"/>
            <w:vAlign w:val="center"/>
          </w:tcPr>
          <w:p w14:paraId="3B718885" w14:textId="77777777" w:rsidR="00C4219E" w:rsidRPr="001729B4" w:rsidRDefault="00C4219E" w:rsidP="00C4219E">
            <w:pPr>
              <w:jc w:val="center"/>
              <w:rPr>
                <w:b/>
                <w:color w:val="FFFFFF" w:themeColor="background1"/>
                <w:sz w:val="24"/>
                <w:szCs w:val="24"/>
              </w:rPr>
            </w:pPr>
            <w:r w:rsidRPr="001729B4">
              <w:rPr>
                <w:b/>
                <w:color w:val="FFFFFF" w:themeColor="background1"/>
                <w:sz w:val="24"/>
                <w:szCs w:val="24"/>
              </w:rPr>
              <w:t>NUESTRO PLAN NO INCLUYE (POR PERSONA)</w:t>
            </w:r>
          </w:p>
        </w:tc>
      </w:tr>
      <w:tr w:rsidR="00C4219E" w14:paraId="0B147FBC" w14:textId="77777777" w:rsidTr="00C4219E">
        <w:trPr>
          <w:trHeight w:val="4456"/>
        </w:trPr>
        <w:tc>
          <w:tcPr>
            <w:tcW w:w="5400" w:type="dxa"/>
            <w:vAlign w:val="center"/>
          </w:tcPr>
          <w:p w14:paraId="4AC9AE19" w14:textId="77777777" w:rsidR="00C4219E" w:rsidRDefault="00C4219E" w:rsidP="00943AD3">
            <w:pPr>
              <w:pStyle w:val="Prrafodelista"/>
              <w:numPr>
                <w:ilvl w:val="0"/>
                <w:numId w:val="2"/>
              </w:numPr>
              <w:jc w:val="both"/>
            </w:pPr>
            <w:r w:rsidRPr="007A29B2">
              <w:t xml:space="preserve">4 noches de </w:t>
            </w:r>
            <w:r>
              <w:t xml:space="preserve">alojamiento en </w:t>
            </w:r>
            <w:r w:rsidRPr="007A29B2">
              <w:t xml:space="preserve">hotel en Dubái </w:t>
            </w:r>
          </w:p>
          <w:p w14:paraId="3628CCF9" w14:textId="77777777" w:rsidR="00C4219E" w:rsidRDefault="00C4219E" w:rsidP="00943AD3">
            <w:pPr>
              <w:pStyle w:val="Prrafodelista"/>
              <w:numPr>
                <w:ilvl w:val="0"/>
                <w:numId w:val="2"/>
              </w:numPr>
              <w:jc w:val="both"/>
            </w:pPr>
            <w:r>
              <w:t>D</w:t>
            </w:r>
            <w:r w:rsidRPr="007A29B2">
              <w:t>esayuno buffet diario</w:t>
            </w:r>
          </w:p>
          <w:p w14:paraId="564C48C5" w14:textId="77777777" w:rsidR="00C4219E" w:rsidRDefault="00C4219E" w:rsidP="00943AD3">
            <w:pPr>
              <w:pStyle w:val="Prrafodelista"/>
              <w:numPr>
                <w:ilvl w:val="0"/>
                <w:numId w:val="2"/>
              </w:numPr>
              <w:jc w:val="both"/>
            </w:pPr>
            <w:r w:rsidRPr="007A29B2">
              <w:t xml:space="preserve">Traslado de llegada y salida </w:t>
            </w:r>
          </w:p>
          <w:p w14:paraId="47907F03" w14:textId="7869A7D3" w:rsidR="00C4219E" w:rsidRDefault="00C4219E" w:rsidP="00943AD3">
            <w:pPr>
              <w:pStyle w:val="Prrafodelista"/>
              <w:numPr>
                <w:ilvl w:val="0"/>
                <w:numId w:val="2"/>
              </w:numPr>
              <w:jc w:val="both"/>
            </w:pPr>
            <w:r w:rsidRPr="007A29B2">
              <w:t xml:space="preserve">Traslado los días 06 y 07 de dic. </w:t>
            </w:r>
            <w:r w:rsidR="00943AD3">
              <w:t>a</w:t>
            </w:r>
            <w:r w:rsidRPr="007A29B2">
              <w:t xml:space="preserve"> la carrera de la F1 en Abu Dhabi en regular </w:t>
            </w:r>
          </w:p>
          <w:p w14:paraId="0D6580F1" w14:textId="77777777" w:rsidR="00C4219E" w:rsidRDefault="00C4219E" w:rsidP="00943AD3">
            <w:pPr>
              <w:pStyle w:val="Prrafodelista"/>
              <w:numPr>
                <w:ilvl w:val="0"/>
                <w:numId w:val="2"/>
              </w:numPr>
              <w:jc w:val="both"/>
            </w:pPr>
            <w:r>
              <w:t xml:space="preserve">Entradas para </w:t>
            </w:r>
            <w:r w:rsidRPr="007A29B2">
              <w:t xml:space="preserve">2 días de carrera de la Fórmula 1 – Grandstand </w:t>
            </w:r>
          </w:p>
          <w:p w14:paraId="0A1051C8" w14:textId="77777777" w:rsidR="00C4219E" w:rsidRDefault="00C4219E" w:rsidP="00943AD3">
            <w:pPr>
              <w:pStyle w:val="Prrafodelista"/>
              <w:numPr>
                <w:ilvl w:val="0"/>
                <w:numId w:val="2"/>
              </w:numPr>
              <w:jc w:val="both"/>
            </w:pPr>
            <w:r w:rsidRPr="007A29B2">
              <w:t xml:space="preserve">Entrada al concierto durante los días del evento – Grandstand </w:t>
            </w:r>
          </w:p>
          <w:p w14:paraId="2F1E09EC" w14:textId="77777777" w:rsidR="00C4219E" w:rsidRDefault="00C4219E" w:rsidP="00943AD3">
            <w:pPr>
              <w:pStyle w:val="Prrafodelista"/>
              <w:numPr>
                <w:ilvl w:val="0"/>
                <w:numId w:val="2"/>
              </w:numPr>
              <w:jc w:val="both"/>
            </w:pPr>
            <w:r w:rsidRPr="007A29B2">
              <w:t xml:space="preserve">Visita de Dubái en regular con guía de habla hispana </w:t>
            </w:r>
          </w:p>
          <w:p w14:paraId="2E6F7947" w14:textId="77777777" w:rsidR="00C4219E" w:rsidRDefault="00C4219E" w:rsidP="00943AD3">
            <w:pPr>
              <w:pStyle w:val="Prrafodelista"/>
              <w:numPr>
                <w:ilvl w:val="0"/>
                <w:numId w:val="2"/>
              </w:numPr>
              <w:jc w:val="both"/>
            </w:pPr>
            <w:r w:rsidRPr="007A29B2">
              <w:t>Excursión al desierto con cena barbacoa en regular (vehículos de máximo 6 personas</w:t>
            </w:r>
            <w:r>
              <w:t>)</w:t>
            </w:r>
            <w:r w:rsidRPr="007A29B2">
              <w:t xml:space="preserve"> </w:t>
            </w:r>
          </w:p>
          <w:p w14:paraId="058C6AC5" w14:textId="77777777" w:rsidR="00C4219E" w:rsidRDefault="00C4219E" w:rsidP="00943AD3">
            <w:pPr>
              <w:pStyle w:val="Prrafodelista"/>
              <w:numPr>
                <w:ilvl w:val="0"/>
                <w:numId w:val="2"/>
              </w:numPr>
              <w:jc w:val="both"/>
            </w:pPr>
            <w:r>
              <w:t>Tarjeta de asistencia médica para menores de 85 años.</w:t>
            </w:r>
          </w:p>
        </w:tc>
        <w:tc>
          <w:tcPr>
            <w:tcW w:w="5682" w:type="dxa"/>
            <w:vAlign w:val="center"/>
          </w:tcPr>
          <w:p w14:paraId="57B8B98C" w14:textId="77777777" w:rsidR="00C4219E" w:rsidRDefault="00C4219E" w:rsidP="00943AD3">
            <w:pPr>
              <w:pStyle w:val="Prrafodelista"/>
              <w:numPr>
                <w:ilvl w:val="0"/>
                <w:numId w:val="2"/>
              </w:numPr>
              <w:jc w:val="both"/>
            </w:pPr>
            <w:r>
              <w:t xml:space="preserve">Tiquetes aéreos </w:t>
            </w:r>
          </w:p>
          <w:p w14:paraId="4764BD36" w14:textId="08583148" w:rsidR="00C4219E" w:rsidRDefault="00C4219E" w:rsidP="00943AD3">
            <w:pPr>
              <w:pStyle w:val="Prrafodelista"/>
              <w:numPr>
                <w:ilvl w:val="0"/>
                <w:numId w:val="2"/>
              </w:numPr>
              <w:jc w:val="both"/>
            </w:pPr>
            <w:r>
              <w:t>I</w:t>
            </w:r>
            <w:r w:rsidRPr="00A306C1">
              <w:t>mpuesto turístico </w:t>
            </w:r>
            <w:r>
              <w:t>en Dubai</w:t>
            </w:r>
            <w:r w:rsidRPr="00A306C1">
              <w:t xml:space="preserve"> se paga directo al Hotel al momento de realizar el check in</w:t>
            </w:r>
            <w:r>
              <w:t xml:space="preserve"> </w:t>
            </w:r>
            <w:r w:rsidRPr="00A306C1">
              <w:t xml:space="preserve">Usd 4.5 a Usd 5.5 por noche </w:t>
            </w:r>
            <w:r>
              <w:t>aproximadamente</w:t>
            </w:r>
          </w:p>
          <w:p w14:paraId="7EBB9BCD" w14:textId="77777777" w:rsidR="00C4219E" w:rsidRDefault="00C4219E" w:rsidP="00943AD3">
            <w:pPr>
              <w:pStyle w:val="Prrafodelista"/>
              <w:numPr>
                <w:ilvl w:val="0"/>
                <w:numId w:val="2"/>
              </w:numPr>
              <w:jc w:val="both"/>
            </w:pPr>
            <w:r w:rsidRPr="00A306C1">
              <w:t xml:space="preserve">Propinas </w:t>
            </w:r>
          </w:p>
          <w:p w14:paraId="7E5509D8" w14:textId="77777777" w:rsidR="00C4219E" w:rsidRDefault="00C4219E" w:rsidP="00943AD3">
            <w:pPr>
              <w:pStyle w:val="Prrafodelista"/>
              <w:numPr>
                <w:ilvl w:val="0"/>
                <w:numId w:val="2"/>
              </w:numPr>
              <w:jc w:val="both"/>
            </w:pPr>
            <w:r w:rsidRPr="00A306C1">
              <w:t xml:space="preserve">Alimentos y bebidas no especificados </w:t>
            </w:r>
          </w:p>
          <w:p w14:paraId="1F67A5C5" w14:textId="77777777" w:rsidR="00C4219E" w:rsidRDefault="00C4219E" w:rsidP="00943AD3">
            <w:pPr>
              <w:pStyle w:val="Prrafodelista"/>
              <w:numPr>
                <w:ilvl w:val="0"/>
                <w:numId w:val="2"/>
              </w:numPr>
              <w:jc w:val="both"/>
            </w:pPr>
            <w:r w:rsidRPr="00A306C1">
              <w:t>Gastos personales (lavandería, servi-bar, room service, llamadas telefónicas -locales, nacionales e internacionales, etc.)</w:t>
            </w:r>
            <w:r>
              <w:t xml:space="preserve"> </w:t>
            </w:r>
          </w:p>
          <w:p w14:paraId="664F4B9C" w14:textId="77777777" w:rsidR="00C4219E" w:rsidRDefault="00C4219E" w:rsidP="00943AD3">
            <w:pPr>
              <w:pStyle w:val="Prrafodelista"/>
              <w:numPr>
                <w:ilvl w:val="0"/>
                <w:numId w:val="2"/>
              </w:numPr>
              <w:jc w:val="both"/>
            </w:pPr>
            <w:r>
              <w:t>Actividades no descritas en el programa.</w:t>
            </w:r>
          </w:p>
        </w:tc>
      </w:tr>
    </w:tbl>
    <w:p w14:paraId="7DFA9981" w14:textId="77777777" w:rsidR="00955171" w:rsidRDefault="00955171"/>
    <w:p w14:paraId="600C154A" w14:textId="77777777" w:rsidR="001C7B83" w:rsidRDefault="001C7B83"/>
    <w:tbl>
      <w:tblPr>
        <w:tblStyle w:val="Tablaconcuadrcula"/>
        <w:tblW w:w="10348" w:type="dxa"/>
        <w:tblInd w:w="-714" w:type="dxa"/>
        <w:tblLayout w:type="fixed"/>
        <w:tblLook w:val="04A0" w:firstRow="1" w:lastRow="0" w:firstColumn="1" w:lastColumn="0" w:noHBand="0" w:noVBand="1"/>
      </w:tblPr>
      <w:tblGrid>
        <w:gridCol w:w="10348"/>
      </w:tblGrid>
      <w:tr w:rsidR="007074E6" w:rsidRPr="00EC2372" w14:paraId="76E5A550" w14:textId="77777777" w:rsidTr="0083411E">
        <w:trPr>
          <w:trHeight w:val="541"/>
        </w:trPr>
        <w:tc>
          <w:tcPr>
            <w:tcW w:w="10348" w:type="dxa"/>
            <w:shd w:val="clear" w:color="auto" w:fill="33C111"/>
            <w:vAlign w:val="center"/>
          </w:tcPr>
          <w:p w14:paraId="1B67C462" w14:textId="77777777" w:rsidR="007074E6" w:rsidRPr="00EC2372" w:rsidRDefault="007074E6" w:rsidP="0083411E">
            <w:pPr>
              <w:pStyle w:val="TableParagraph"/>
              <w:spacing w:before="70"/>
              <w:ind w:left="12" w:right="13"/>
              <w:jc w:val="center"/>
              <w:rPr>
                <w:rFonts w:asciiTheme="minorHAnsi" w:hAnsiTheme="minorHAnsi" w:cstheme="minorHAnsi"/>
                <w:b/>
                <w:sz w:val="40"/>
              </w:rPr>
            </w:pPr>
            <w:r w:rsidRPr="00EC2372">
              <w:rPr>
                <w:rFonts w:asciiTheme="minorHAnsi" w:hAnsiTheme="minorHAnsi" w:cstheme="minorHAnsi"/>
                <w:b/>
                <w:color w:val="FFFFFF"/>
                <w:spacing w:val="-10"/>
                <w:sz w:val="40"/>
              </w:rPr>
              <w:t>SERVICIOS</w:t>
            </w:r>
            <w:r w:rsidRPr="00EC2372">
              <w:rPr>
                <w:rFonts w:asciiTheme="minorHAnsi" w:hAnsiTheme="minorHAnsi" w:cstheme="minorHAnsi"/>
                <w:b/>
                <w:color w:val="FFFFFF"/>
                <w:spacing w:val="-2"/>
                <w:sz w:val="40"/>
              </w:rPr>
              <w:t xml:space="preserve"> </w:t>
            </w:r>
            <w:r w:rsidRPr="00EC2372">
              <w:rPr>
                <w:rFonts w:asciiTheme="minorHAnsi" w:hAnsiTheme="minorHAnsi" w:cstheme="minorHAnsi"/>
                <w:b/>
                <w:color w:val="FFFFFF"/>
                <w:spacing w:val="-10"/>
                <w:sz w:val="40"/>
              </w:rPr>
              <w:t>EN</w:t>
            </w:r>
            <w:r w:rsidRPr="00EC2372">
              <w:rPr>
                <w:rFonts w:asciiTheme="minorHAnsi" w:hAnsiTheme="minorHAnsi" w:cstheme="minorHAnsi"/>
                <w:b/>
                <w:color w:val="FFFFFF"/>
                <w:spacing w:val="-2"/>
                <w:sz w:val="40"/>
              </w:rPr>
              <w:t xml:space="preserve"> </w:t>
            </w:r>
            <w:r w:rsidRPr="00EC2372">
              <w:rPr>
                <w:rFonts w:asciiTheme="minorHAnsi" w:hAnsiTheme="minorHAnsi" w:cstheme="minorHAnsi"/>
                <w:b/>
                <w:color w:val="FFFFFF"/>
                <w:spacing w:val="-10"/>
                <w:sz w:val="40"/>
              </w:rPr>
              <w:t>COMPARTIDO</w:t>
            </w:r>
          </w:p>
        </w:tc>
      </w:tr>
    </w:tbl>
    <w:p w14:paraId="6303D35D" w14:textId="3CC4C341" w:rsidR="007074E6" w:rsidRDefault="00943AD3" w:rsidP="001C7B83">
      <w:pPr>
        <w:pStyle w:val="Sinespaciado"/>
      </w:pPr>
      <w:r>
        <w:rPr>
          <w:noProof/>
          <w:lang w:eastAsia="es-CO"/>
        </w:rPr>
        <w:drawing>
          <wp:anchor distT="0" distB="0" distL="114300" distR="114300" simplePos="0" relativeHeight="251658240" behindDoc="1" locked="0" layoutInCell="1" allowOverlap="1" wp14:anchorId="4E787B18" wp14:editId="4AB9EDF3">
            <wp:simplePos x="0" y="0"/>
            <wp:positionH relativeFrom="margin">
              <wp:align>left</wp:align>
            </wp:positionH>
            <wp:positionV relativeFrom="paragraph">
              <wp:posOffset>172996</wp:posOffset>
            </wp:positionV>
            <wp:extent cx="5612130" cy="1168400"/>
            <wp:effectExtent l="0" t="0" r="7620" b="0"/>
            <wp:wrapTight wrapText="bothSides">
              <wp:wrapPolygon edited="0">
                <wp:start x="0" y="0"/>
                <wp:lineTo x="0" y="21130"/>
                <wp:lineTo x="21556" y="21130"/>
                <wp:lineTo x="21556" y="0"/>
                <wp:lineTo x="0" y="0"/>
              </wp:wrapPolygon>
            </wp:wrapTight>
            <wp:docPr id="190796830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7968309" name="Imagen 1907968309"/>
                    <pic:cNvPicPr/>
                  </pic:nvPicPr>
                  <pic:blipFill>
                    <a:blip r:embed="rId7">
                      <a:extLst>
                        <a:ext uri="{28A0092B-C50C-407E-A947-70E740481C1C}">
                          <a14:useLocalDpi xmlns:a14="http://schemas.microsoft.com/office/drawing/2010/main" val="0"/>
                        </a:ext>
                      </a:extLst>
                    </a:blip>
                    <a:stretch>
                      <a:fillRect/>
                    </a:stretch>
                  </pic:blipFill>
                  <pic:spPr>
                    <a:xfrm>
                      <a:off x="0" y="0"/>
                      <a:ext cx="5612130" cy="1168400"/>
                    </a:xfrm>
                    <a:prstGeom prst="rect">
                      <a:avLst/>
                    </a:prstGeom>
                  </pic:spPr>
                </pic:pic>
              </a:graphicData>
            </a:graphic>
            <wp14:sizeRelH relativeFrom="page">
              <wp14:pctWidth>0</wp14:pctWidth>
            </wp14:sizeRelH>
            <wp14:sizeRelV relativeFrom="page">
              <wp14:pctHeight>0</wp14:pctHeight>
            </wp14:sizeRelV>
          </wp:anchor>
        </w:drawing>
      </w:r>
    </w:p>
    <w:p w14:paraId="24D086CE" w14:textId="5DAC79AD" w:rsidR="007074E6" w:rsidRDefault="007074E6" w:rsidP="001C7B83">
      <w:pPr>
        <w:pStyle w:val="Sinespaciado"/>
      </w:pPr>
    </w:p>
    <w:tbl>
      <w:tblPr>
        <w:tblStyle w:val="Tablaconcuadrcula"/>
        <w:tblW w:w="10348" w:type="dxa"/>
        <w:tblInd w:w="-714" w:type="dxa"/>
        <w:tblLayout w:type="fixed"/>
        <w:tblLook w:val="04A0" w:firstRow="1" w:lastRow="0" w:firstColumn="1" w:lastColumn="0" w:noHBand="0" w:noVBand="1"/>
      </w:tblPr>
      <w:tblGrid>
        <w:gridCol w:w="2127"/>
        <w:gridCol w:w="1559"/>
        <w:gridCol w:w="1418"/>
        <w:gridCol w:w="1134"/>
        <w:gridCol w:w="2126"/>
        <w:gridCol w:w="1984"/>
      </w:tblGrid>
      <w:tr w:rsidR="00955171" w14:paraId="6F98902F" w14:textId="77777777" w:rsidTr="001C7B83">
        <w:trPr>
          <w:trHeight w:val="649"/>
        </w:trPr>
        <w:tc>
          <w:tcPr>
            <w:tcW w:w="2127" w:type="dxa"/>
            <w:vMerge w:val="restart"/>
            <w:shd w:val="clear" w:color="auto" w:fill="2E74B5" w:themeFill="accent1" w:themeFillShade="BF"/>
            <w:vAlign w:val="center"/>
          </w:tcPr>
          <w:p w14:paraId="19CC866B" w14:textId="782EBFA4" w:rsidR="00955171" w:rsidRPr="00EC2372" w:rsidRDefault="00955171" w:rsidP="00955171">
            <w:pPr>
              <w:jc w:val="center"/>
              <w:rPr>
                <w:rFonts w:cstheme="minorHAnsi"/>
              </w:rPr>
            </w:pPr>
            <w:r w:rsidRPr="00EC2372">
              <w:rPr>
                <w:rFonts w:cstheme="minorHAnsi"/>
                <w:b/>
                <w:color w:val="FFFFFF"/>
                <w:spacing w:val="-2"/>
              </w:rPr>
              <w:t>HOTELES</w:t>
            </w:r>
            <w:r w:rsidR="008C5F5C">
              <w:rPr>
                <w:rFonts w:cstheme="minorHAnsi"/>
                <w:b/>
                <w:color w:val="FFFFFF"/>
                <w:spacing w:val="-2"/>
              </w:rPr>
              <w:t xml:space="preserve"> PREVISTOS</w:t>
            </w:r>
            <w:r w:rsidR="00063C00">
              <w:rPr>
                <w:rFonts w:cstheme="minorHAnsi"/>
                <w:b/>
                <w:color w:val="FFFFFF"/>
                <w:spacing w:val="-2"/>
              </w:rPr>
              <w:t xml:space="preserve"> o SIMILARES</w:t>
            </w:r>
            <w:r w:rsidR="008C5F5C">
              <w:rPr>
                <w:rFonts w:cstheme="minorHAnsi"/>
                <w:b/>
                <w:color w:val="FFFFFF"/>
                <w:spacing w:val="-2"/>
              </w:rPr>
              <w:t xml:space="preserve"> </w:t>
            </w:r>
          </w:p>
        </w:tc>
        <w:tc>
          <w:tcPr>
            <w:tcW w:w="2977" w:type="dxa"/>
            <w:gridSpan w:val="2"/>
            <w:shd w:val="clear" w:color="auto" w:fill="00B0F0"/>
            <w:vAlign w:val="center"/>
          </w:tcPr>
          <w:p w14:paraId="564D7F53" w14:textId="24BE465E" w:rsidR="00955171" w:rsidRPr="00EC2372" w:rsidRDefault="00063C00" w:rsidP="00955171">
            <w:pPr>
              <w:jc w:val="center"/>
              <w:rPr>
                <w:b/>
              </w:rPr>
            </w:pPr>
            <w:r>
              <w:rPr>
                <w:b/>
                <w:color w:val="FFFFFF" w:themeColor="background1"/>
              </w:rPr>
              <w:t>FECHA DE</w:t>
            </w:r>
            <w:r w:rsidR="00955171" w:rsidRPr="00EC2372">
              <w:rPr>
                <w:b/>
                <w:color w:val="FFFFFF" w:themeColor="background1"/>
              </w:rPr>
              <w:t xml:space="preserve"> VIAJE</w:t>
            </w:r>
          </w:p>
        </w:tc>
        <w:tc>
          <w:tcPr>
            <w:tcW w:w="1134" w:type="dxa"/>
            <w:vMerge w:val="restart"/>
            <w:shd w:val="clear" w:color="auto" w:fill="808080" w:themeFill="background1" w:themeFillShade="80"/>
            <w:vAlign w:val="center"/>
          </w:tcPr>
          <w:p w14:paraId="761A85CA" w14:textId="77777777" w:rsidR="00955171" w:rsidRPr="00EC2372" w:rsidRDefault="00955171" w:rsidP="00955171">
            <w:pPr>
              <w:jc w:val="center"/>
              <w:rPr>
                <w:b/>
              </w:rPr>
            </w:pPr>
            <w:r w:rsidRPr="00EC2372">
              <w:rPr>
                <w:b/>
                <w:color w:val="FFFFFF" w:themeColor="background1"/>
              </w:rPr>
              <w:t>NOCHES</w:t>
            </w:r>
          </w:p>
        </w:tc>
        <w:tc>
          <w:tcPr>
            <w:tcW w:w="4110" w:type="dxa"/>
            <w:gridSpan w:val="2"/>
            <w:shd w:val="clear" w:color="auto" w:fill="0070C0"/>
            <w:vAlign w:val="center"/>
          </w:tcPr>
          <w:p w14:paraId="728B9323" w14:textId="18EB5010" w:rsidR="00955171" w:rsidRPr="00EC2372" w:rsidRDefault="00955171" w:rsidP="00955171">
            <w:pPr>
              <w:jc w:val="center"/>
              <w:rPr>
                <w:b/>
              </w:rPr>
            </w:pPr>
            <w:r w:rsidRPr="00EC2372">
              <w:rPr>
                <w:b/>
                <w:color w:val="FFFFFF" w:themeColor="background1"/>
              </w:rPr>
              <w:t xml:space="preserve">PRECIO FINAL </w:t>
            </w:r>
            <w:r w:rsidR="00063C00">
              <w:rPr>
                <w:b/>
                <w:color w:val="FFFFFF" w:themeColor="background1"/>
              </w:rPr>
              <w:t xml:space="preserve">                                          </w:t>
            </w:r>
            <w:r w:rsidRPr="00EC2372">
              <w:rPr>
                <w:b/>
                <w:color w:val="FFFFFF" w:themeColor="background1"/>
              </w:rPr>
              <w:t>(DOLARES AMERICANOS USD)</w:t>
            </w:r>
          </w:p>
        </w:tc>
      </w:tr>
      <w:tr w:rsidR="00955171" w14:paraId="70E26E0B" w14:textId="77777777" w:rsidTr="001C7B83">
        <w:trPr>
          <w:trHeight w:val="414"/>
        </w:trPr>
        <w:tc>
          <w:tcPr>
            <w:tcW w:w="2127" w:type="dxa"/>
            <w:vMerge/>
            <w:shd w:val="clear" w:color="auto" w:fill="2E74B5" w:themeFill="accent1" w:themeFillShade="BF"/>
            <w:vAlign w:val="center"/>
          </w:tcPr>
          <w:p w14:paraId="4AE05F9F" w14:textId="77777777" w:rsidR="00955171" w:rsidRPr="00EC2372" w:rsidRDefault="00955171" w:rsidP="00955171">
            <w:pPr>
              <w:jc w:val="center"/>
              <w:rPr>
                <w:rFonts w:cstheme="minorHAnsi"/>
                <w:b/>
                <w:color w:val="FFFFFF"/>
                <w:spacing w:val="-6"/>
              </w:rPr>
            </w:pPr>
          </w:p>
        </w:tc>
        <w:tc>
          <w:tcPr>
            <w:tcW w:w="1559" w:type="dxa"/>
            <w:shd w:val="clear" w:color="auto" w:fill="F2F2F2" w:themeFill="background1" w:themeFillShade="F2"/>
            <w:vAlign w:val="center"/>
          </w:tcPr>
          <w:p w14:paraId="1CC13D0B" w14:textId="77777777" w:rsidR="00955171" w:rsidRPr="00EC2372" w:rsidRDefault="00955171" w:rsidP="00955171">
            <w:pPr>
              <w:jc w:val="center"/>
              <w:rPr>
                <w:b/>
              </w:rPr>
            </w:pPr>
            <w:r w:rsidRPr="00EC2372">
              <w:rPr>
                <w:b/>
              </w:rPr>
              <w:t>DESDE</w:t>
            </w:r>
          </w:p>
        </w:tc>
        <w:tc>
          <w:tcPr>
            <w:tcW w:w="1418" w:type="dxa"/>
            <w:shd w:val="clear" w:color="auto" w:fill="F2F2F2" w:themeFill="background1" w:themeFillShade="F2"/>
            <w:vAlign w:val="center"/>
          </w:tcPr>
          <w:p w14:paraId="3C4F8026" w14:textId="77777777" w:rsidR="00955171" w:rsidRPr="00EC2372" w:rsidRDefault="00955171" w:rsidP="00955171">
            <w:pPr>
              <w:jc w:val="center"/>
              <w:rPr>
                <w:b/>
              </w:rPr>
            </w:pPr>
            <w:r w:rsidRPr="00EC2372">
              <w:rPr>
                <w:b/>
              </w:rPr>
              <w:t>HASTA</w:t>
            </w:r>
          </w:p>
        </w:tc>
        <w:tc>
          <w:tcPr>
            <w:tcW w:w="1134" w:type="dxa"/>
            <w:vMerge/>
            <w:shd w:val="clear" w:color="auto" w:fill="808080" w:themeFill="background1" w:themeFillShade="80"/>
          </w:tcPr>
          <w:p w14:paraId="50F411A3" w14:textId="77777777" w:rsidR="00955171" w:rsidRPr="00EC2372" w:rsidRDefault="00955171"/>
        </w:tc>
        <w:tc>
          <w:tcPr>
            <w:tcW w:w="2126" w:type="dxa"/>
            <w:shd w:val="clear" w:color="auto" w:fill="F2F2F2" w:themeFill="background1" w:themeFillShade="F2"/>
            <w:vAlign w:val="center"/>
          </w:tcPr>
          <w:p w14:paraId="3E558045" w14:textId="48CA2926" w:rsidR="00955171" w:rsidRPr="00EC2372" w:rsidRDefault="00063C00" w:rsidP="00955171">
            <w:pPr>
              <w:jc w:val="center"/>
              <w:rPr>
                <w:b/>
              </w:rPr>
            </w:pPr>
            <w:r>
              <w:rPr>
                <w:b/>
              </w:rPr>
              <w:t>DOBLE</w:t>
            </w:r>
          </w:p>
        </w:tc>
        <w:tc>
          <w:tcPr>
            <w:tcW w:w="1984" w:type="dxa"/>
            <w:shd w:val="clear" w:color="auto" w:fill="F2F2F2" w:themeFill="background1" w:themeFillShade="F2"/>
            <w:vAlign w:val="center"/>
          </w:tcPr>
          <w:p w14:paraId="712699AD" w14:textId="23314961" w:rsidR="00955171" w:rsidRPr="00EC2372" w:rsidRDefault="00063C00" w:rsidP="00955171">
            <w:pPr>
              <w:jc w:val="center"/>
              <w:rPr>
                <w:b/>
              </w:rPr>
            </w:pPr>
            <w:r>
              <w:rPr>
                <w:b/>
              </w:rPr>
              <w:t>TRIPLE</w:t>
            </w:r>
          </w:p>
        </w:tc>
      </w:tr>
      <w:tr w:rsidR="00063C00" w14:paraId="23D2240F" w14:textId="77777777" w:rsidTr="001C7B83">
        <w:trPr>
          <w:trHeight w:val="427"/>
        </w:trPr>
        <w:tc>
          <w:tcPr>
            <w:tcW w:w="2127" w:type="dxa"/>
            <w:shd w:val="clear" w:color="auto" w:fill="F2F2F2" w:themeFill="background1" w:themeFillShade="F2"/>
            <w:vAlign w:val="center"/>
          </w:tcPr>
          <w:p w14:paraId="39A480ED" w14:textId="05AC0AEE" w:rsidR="00063C00" w:rsidRPr="007074E6" w:rsidRDefault="00063C00" w:rsidP="00955171">
            <w:pPr>
              <w:jc w:val="center"/>
              <w:rPr>
                <w:b/>
              </w:rPr>
            </w:pPr>
            <w:r w:rsidRPr="008C5F5C">
              <w:rPr>
                <w:b/>
              </w:rPr>
              <w:t>E Hilton o Millennium</w:t>
            </w:r>
          </w:p>
        </w:tc>
        <w:tc>
          <w:tcPr>
            <w:tcW w:w="1559" w:type="dxa"/>
            <w:vMerge w:val="restart"/>
            <w:vAlign w:val="center"/>
          </w:tcPr>
          <w:p w14:paraId="76F2D158" w14:textId="7AAB3847" w:rsidR="00063C00" w:rsidRPr="007074E6" w:rsidRDefault="00063C00" w:rsidP="00955171">
            <w:pPr>
              <w:jc w:val="center"/>
              <w:rPr>
                <w:sz w:val="24"/>
              </w:rPr>
            </w:pPr>
            <w:r>
              <w:rPr>
                <w:sz w:val="24"/>
              </w:rPr>
              <w:t>04</w:t>
            </w:r>
            <w:r w:rsidRPr="007074E6">
              <w:rPr>
                <w:sz w:val="24"/>
              </w:rPr>
              <w:t>-</w:t>
            </w:r>
            <w:r>
              <w:rPr>
                <w:sz w:val="24"/>
              </w:rPr>
              <w:t>DIC</w:t>
            </w:r>
            <w:r w:rsidRPr="007074E6">
              <w:rPr>
                <w:sz w:val="24"/>
              </w:rPr>
              <w:t>-</w:t>
            </w:r>
            <w:r>
              <w:rPr>
                <w:sz w:val="24"/>
              </w:rPr>
              <w:t>25</w:t>
            </w:r>
          </w:p>
        </w:tc>
        <w:tc>
          <w:tcPr>
            <w:tcW w:w="1418" w:type="dxa"/>
            <w:vMerge w:val="restart"/>
            <w:vAlign w:val="center"/>
          </w:tcPr>
          <w:p w14:paraId="5C562796" w14:textId="31F6E93E" w:rsidR="00063C00" w:rsidRPr="007074E6" w:rsidRDefault="00063C00" w:rsidP="00955171">
            <w:pPr>
              <w:jc w:val="center"/>
              <w:rPr>
                <w:sz w:val="24"/>
              </w:rPr>
            </w:pPr>
            <w:r>
              <w:rPr>
                <w:sz w:val="24"/>
              </w:rPr>
              <w:t>08</w:t>
            </w:r>
            <w:r w:rsidRPr="007074E6">
              <w:rPr>
                <w:sz w:val="24"/>
              </w:rPr>
              <w:t>-</w:t>
            </w:r>
            <w:r>
              <w:rPr>
                <w:sz w:val="24"/>
              </w:rPr>
              <w:t>DIC</w:t>
            </w:r>
            <w:r w:rsidRPr="007074E6">
              <w:rPr>
                <w:sz w:val="24"/>
              </w:rPr>
              <w:t>-2</w:t>
            </w:r>
            <w:r>
              <w:rPr>
                <w:sz w:val="24"/>
              </w:rPr>
              <w:t>5</w:t>
            </w:r>
          </w:p>
        </w:tc>
        <w:tc>
          <w:tcPr>
            <w:tcW w:w="1134" w:type="dxa"/>
            <w:vMerge w:val="restart"/>
            <w:vAlign w:val="center"/>
          </w:tcPr>
          <w:p w14:paraId="703980D4" w14:textId="77777777" w:rsidR="00063C00" w:rsidRPr="007074E6" w:rsidRDefault="00063C00" w:rsidP="00955171">
            <w:pPr>
              <w:jc w:val="center"/>
              <w:rPr>
                <w:sz w:val="24"/>
              </w:rPr>
            </w:pPr>
            <w:r w:rsidRPr="007074E6">
              <w:rPr>
                <w:sz w:val="24"/>
              </w:rPr>
              <w:t>4</w:t>
            </w:r>
          </w:p>
        </w:tc>
        <w:tc>
          <w:tcPr>
            <w:tcW w:w="2126" w:type="dxa"/>
            <w:vAlign w:val="center"/>
          </w:tcPr>
          <w:p w14:paraId="69102EF6" w14:textId="7EF9F388" w:rsidR="00063C00" w:rsidRPr="007074E6" w:rsidRDefault="00063C00" w:rsidP="00955171">
            <w:pPr>
              <w:jc w:val="center"/>
              <w:rPr>
                <w:sz w:val="24"/>
              </w:rPr>
            </w:pPr>
            <w:r>
              <w:rPr>
                <w:sz w:val="24"/>
              </w:rPr>
              <w:t>1.839</w:t>
            </w:r>
          </w:p>
        </w:tc>
        <w:tc>
          <w:tcPr>
            <w:tcW w:w="1984" w:type="dxa"/>
            <w:vAlign w:val="center"/>
          </w:tcPr>
          <w:p w14:paraId="2CE68D94" w14:textId="1C429916" w:rsidR="00063C00" w:rsidRPr="007074E6" w:rsidRDefault="00063C00" w:rsidP="00955171">
            <w:pPr>
              <w:jc w:val="center"/>
              <w:rPr>
                <w:sz w:val="24"/>
              </w:rPr>
            </w:pPr>
            <w:r>
              <w:rPr>
                <w:sz w:val="24"/>
              </w:rPr>
              <w:t>1.809</w:t>
            </w:r>
          </w:p>
        </w:tc>
      </w:tr>
      <w:tr w:rsidR="00063C00" w14:paraId="6A9FF285" w14:textId="77777777" w:rsidTr="001C7B83">
        <w:trPr>
          <w:trHeight w:val="324"/>
        </w:trPr>
        <w:tc>
          <w:tcPr>
            <w:tcW w:w="2127" w:type="dxa"/>
            <w:shd w:val="clear" w:color="auto" w:fill="F2F2F2" w:themeFill="background1" w:themeFillShade="F2"/>
            <w:vAlign w:val="center"/>
          </w:tcPr>
          <w:p w14:paraId="0278E2A8" w14:textId="6CB1111D" w:rsidR="00063C00" w:rsidRPr="007074E6" w:rsidRDefault="00063C00" w:rsidP="00955171">
            <w:pPr>
              <w:jc w:val="center"/>
              <w:rPr>
                <w:b/>
              </w:rPr>
            </w:pPr>
            <w:r w:rsidRPr="00063C00">
              <w:rPr>
                <w:b/>
              </w:rPr>
              <w:t>Movenpick Bur Dubai</w:t>
            </w:r>
          </w:p>
        </w:tc>
        <w:tc>
          <w:tcPr>
            <w:tcW w:w="1559" w:type="dxa"/>
            <w:vMerge/>
            <w:vAlign w:val="center"/>
          </w:tcPr>
          <w:p w14:paraId="729C0525" w14:textId="6B428581" w:rsidR="00063C00" w:rsidRPr="007074E6" w:rsidRDefault="00063C00" w:rsidP="00955171">
            <w:pPr>
              <w:jc w:val="center"/>
              <w:rPr>
                <w:sz w:val="24"/>
              </w:rPr>
            </w:pPr>
          </w:p>
        </w:tc>
        <w:tc>
          <w:tcPr>
            <w:tcW w:w="1418" w:type="dxa"/>
            <w:vMerge/>
            <w:vAlign w:val="center"/>
          </w:tcPr>
          <w:p w14:paraId="667E4C89" w14:textId="273D0701" w:rsidR="00063C00" w:rsidRPr="007074E6" w:rsidRDefault="00063C00" w:rsidP="00955171">
            <w:pPr>
              <w:jc w:val="center"/>
              <w:rPr>
                <w:sz w:val="24"/>
              </w:rPr>
            </w:pPr>
          </w:p>
        </w:tc>
        <w:tc>
          <w:tcPr>
            <w:tcW w:w="1134" w:type="dxa"/>
            <w:vMerge/>
            <w:vAlign w:val="center"/>
          </w:tcPr>
          <w:p w14:paraId="164B0A80" w14:textId="03A6F9CB" w:rsidR="00063C00" w:rsidRPr="007074E6" w:rsidRDefault="00063C00" w:rsidP="00955171">
            <w:pPr>
              <w:jc w:val="center"/>
              <w:rPr>
                <w:sz w:val="24"/>
              </w:rPr>
            </w:pPr>
          </w:p>
        </w:tc>
        <w:tc>
          <w:tcPr>
            <w:tcW w:w="2126" w:type="dxa"/>
            <w:vAlign w:val="center"/>
          </w:tcPr>
          <w:p w14:paraId="57DE8519" w14:textId="2AD72FDC" w:rsidR="00063C00" w:rsidRPr="007074E6" w:rsidRDefault="00063C00" w:rsidP="00955171">
            <w:pPr>
              <w:jc w:val="center"/>
              <w:rPr>
                <w:sz w:val="24"/>
              </w:rPr>
            </w:pPr>
            <w:r>
              <w:rPr>
                <w:sz w:val="24"/>
              </w:rPr>
              <w:t>1.919</w:t>
            </w:r>
          </w:p>
        </w:tc>
        <w:tc>
          <w:tcPr>
            <w:tcW w:w="1984" w:type="dxa"/>
            <w:vAlign w:val="center"/>
          </w:tcPr>
          <w:p w14:paraId="0EA4FD8E" w14:textId="031355CC" w:rsidR="00063C00" w:rsidRPr="007074E6" w:rsidRDefault="00063C00" w:rsidP="00955171">
            <w:pPr>
              <w:jc w:val="center"/>
              <w:rPr>
                <w:sz w:val="24"/>
              </w:rPr>
            </w:pPr>
            <w:r>
              <w:rPr>
                <w:sz w:val="24"/>
              </w:rPr>
              <w:t>1.885</w:t>
            </w:r>
          </w:p>
        </w:tc>
      </w:tr>
    </w:tbl>
    <w:p w14:paraId="1AC9881E" w14:textId="77777777" w:rsidR="00955171" w:rsidRDefault="00955171" w:rsidP="00955171"/>
    <w:p w14:paraId="4077A145" w14:textId="77777777" w:rsidR="00955171" w:rsidRDefault="00955171" w:rsidP="00955171">
      <w:bookmarkStart w:id="0" w:name="_GoBack"/>
      <w:bookmarkEnd w:id="0"/>
    </w:p>
    <w:p w14:paraId="272BFEBE" w14:textId="38E48418" w:rsidR="00F31150" w:rsidRPr="0020550D" w:rsidRDefault="00F31150" w:rsidP="0020550D">
      <w:pPr>
        <w:jc w:val="center"/>
        <w:rPr>
          <w:rFonts w:ascii="Arial" w:hAnsi="Arial" w:cs="Arial"/>
          <w:b/>
          <w:bCs/>
        </w:rPr>
      </w:pPr>
      <w:r w:rsidRPr="0020550D">
        <w:rPr>
          <w:rFonts w:ascii="Arial" w:hAnsi="Arial" w:cs="Arial"/>
          <w:b/>
          <w:bCs/>
        </w:rPr>
        <w:lastRenderedPageBreak/>
        <w:t>ITINERARIO</w:t>
      </w:r>
    </w:p>
    <w:p w14:paraId="387A4C94" w14:textId="77777777" w:rsidR="0020550D" w:rsidRDefault="0020550D" w:rsidP="00955171">
      <w:pPr>
        <w:rPr>
          <w:b/>
          <w:bCs/>
        </w:rPr>
      </w:pPr>
    </w:p>
    <w:p w14:paraId="28DD6C8F" w14:textId="77777777" w:rsidR="00943AD3" w:rsidRPr="00943AD3" w:rsidRDefault="00F31150" w:rsidP="00943AD3">
      <w:pPr>
        <w:pStyle w:val="Sinespaciado"/>
        <w:rPr>
          <w:b/>
          <w:bCs/>
        </w:rPr>
      </w:pPr>
      <w:r w:rsidRPr="00943AD3">
        <w:rPr>
          <w:b/>
          <w:bCs/>
        </w:rPr>
        <w:t xml:space="preserve">04 </w:t>
      </w:r>
      <w:r w:rsidR="0020550D" w:rsidRPr="00943AD3">
        <w:rPr>
          <w:b/>
          <w:bCs/>
        </w:rPr>
        <w:t>dic.</w:t>
      </w:r>
      <w:r w:rsidRPr="00943AD3">
        <w:rPr>
          <w:b/>
          <w:bCs/>
        </w:rPr>
        <w:t xml:space="preserve"> (</w:t>
      </w:r>
      <w:r w:rsidR="0020550D" w:rsidRPr="00943AD3">
        <w:rPr>
          <w:b/>
          <w:bCs/>
        </w:rPr>
        <w:t>jueves</w:t>
      </w:r>
      <w:r w:rsidRPr="00943AD3">
        <w:rPr>
          <w:b/>
          <w:bCs/>
        </w:rPr>
        <w:t xml:space="preserve">) – Traslado de llegada en privado. </w:t>
      </w:r>
    </w:p>
    <w:p w14:paraId="79D4ADFE" w14:textId="3A6752BA" w:rsidR="005209B0" w:rsidRDefault="00F31150" w:rsidP="00943AD3">
      <w:pPr>
        <w:pStyle w:val="Sinespaciado"/>
        <w:jc w:val="both"/>
      </w:pPr>
      <w:r w:rsidRPr="00F31150">
        <w:t xml:space="preserve">A la llegada a Dubai serán recibidos por un representante que le dará la bienvenida al país y </w:t>
      </w:r>
      <w:r w:rsidR="0020550D" w:rsidRPr="00F31150">
        <w:t>los</w:t>
      </w:r>
      <w:r w:rsidRPr="00F31150">
        <w:t xml:space="preserve"> llevarán al hotel en vehículo privado. Check-In a las 14,00hrs.</w:t>
      </w:r>
    </w:p>
    <w:p w14:paraId="13C03A16" w14:textId="77777777" w:rsidR="00943AD3" w:rsidRDefault="00943AD3" w:rsidP="00943AD3">
      <w:pPr>
        <w:pStyle w:val="Sinespaciado"/>
        <w:jc w:val="both"/>
      </w:pPr>
    </w:p>
    <w:p w14:paraId="056AB908" w14:textId="77777777" w:rsidR="00943AD3" w:rsidRDefault="00F31150" w:rsidP="00943AD3">
      <w:pPr>
        <w:pStyle w:val="Sinespaciado"/>
        <w:jc w:val="both"/>
      </w:pPr>
      <w:r w:rsidRPr="00943AD3">
        <w:rPr>
          <w:b/>
          <w:bCs/>
        </w:rPr>
        <w:t xml:space="preserve">05 </w:t>
      </w:r>
      <w:r w:rsidR="0020550D" w:rsidRPr="00943AD3">
        <w:rPr>
          <w:b/>
          <w:bCs/>
        </w:rPr>
        <w:t>dic.</w:t>
      </w:r>
      <w:r w:rsidRPr="00943AD3">
        <w:rPr>
          <w:b/>
          <w:bCs/>
        </w:rPr>
        <w:t xml:space="preserve"> (</w:t>
      </w:r>
      <w:r w:rsidR="0020550D" w:rsidRPr="00943AD3">
        <w:rPr>
          <w:b/>
          <w:bCs/>
        </w:rPr>
        <w:t>viernes</w:t>
      </w:r>
      <w:r w:rsidRPr="00943AD3">
        <w:rPr>
          <w:b/>
          <w:bCs/>
        </w:rPr>
        <w:t xml:space="preserve">) – Excursión al desierto en 4x4 compartida con cena en campamento </w:t>
      </w:r>
    </w:p>
    <w:p w14:paraId="4D8A8BCC" w14:textId="508124B9" w:rsidR="00F31150" w:rsidRDefault="00F31150" w:rsidP="00943AD3">
      <w:pPr>
        <w:pStyle w:val="Sinespaciado"/>
        <w:jc w:val="both"/>
      </w:pPr>
      <w:r w:rsidRPr="00F31150">
        <w:t>Desayuno. Mañana libre para descansar del viaje. Sobre las 14.45 Hrs, recepción en el Lobby del Hotel, donde seremos recogidos por un Jeep 4x4 en asiento compartido (6 personas por Jeep), para así dar inicio a un emocionante Safari en el desierto más hermoso del Medio Oriente. Al caer el sol, nos trasladaremos a un campamento Beduino donde disfrutaremos de una cena BBQ acompañada de shows en vivo como la danza del vientre. Al finalizar volveremos al hotel.</w:t>
      </w:r>
    </w:p>
    <w:p w14:paraId="13DCD70F" w14:textId="77777777" w:rsidR="00943AD3" w:rsidRDefault="00943AD3" w:rsidP="00943AD3">
      <w:pPr>
        <w:pStyle w:val="Sinespaciado"/>
        <w:jc w:val="both"/>
      </w:pPr>
    </w:p>
    <w:p w14:paraId="33E66C0E" w14:textId="77777777" w:rsidR="00943AD3" w:rsidRDefault="0020550D" w:rsidP="00943AD3">
      <w:pPr>
        <w:pStyle w:val="Sinespaciado"/>
        <w:jc w:val="both"/>
      </w:pPr>
      <w:r w:rsidRPr="00943AD3">
        <w:rPr>
          <w:b/>
          <w:bCs/>
        </w:rPr>
        <w:t>06 dic. (sábado) –Tour Dubai medio día en regular en español</w:t>
      </w:r>
      <w:r w:rsidRPr="0020550D">
        <w:t xml:space="preserve"> </w:t>
      </w:r>
    </w:p>
    <w:p w14:paraId="2F87BC4B" w14:textId="35AC498D" w:rsidR="0020550D" w:rsidRDefault="0020550D" w:rsidP="00943AD3">
      <w:pPr>
        <w:pStyle w:val="Sinespaciado"/>
        <w:jc w:val="both"/>
      </w:pPr>
      <w:r w:rsidRPr="0020550D">
        <w:t>A las 08.30am, Iniciaremos nuestro recorrido de medio día por la ciudad de Dubái, la primera parada será en la parte antigua de la ciudad, visitando el barrio de Bastakiya, donde podremos conocer la historia y cultura de esta nación. A continuación, cruzaremos el Creek de Dubái con el “Abra”, famoso taxi de agua, para visitar los mercados de las especies y del oro. Luego realizaremos una parada en la “Unión House”, continuando hasta la Mezquita de Jumeirah. Luego atravesaremos la soleada playa de Jumeirah para ver así el lujoso hotel "Burj Al Arab". A continuación, conduciremos a través de Sheikh Zayed Road, desde donde podremos apreciar los grandes rascacielos de la ciudad. Finalmente pasaremos por el Downtown de Dubái para una visita Panorámica, donde se encuentra la torre más alta del mundo, el “Burj Khalifa” (entradas no incluidas junto al impresionante centro comercial Duba Mall. Almuerzo no incluido.</w:t>
      </w:r>
      <w:r w:rsidR="001C7B83">
        <w:t xml:space="preserve"> </w:t>
      </w:r>
      <w:r w:rsidRPr="001C7B83">
        <w:rPr>
          <w:b/>
          <w:bCs/>
        </w:rPr>
        <w:t xml:space="preserve">En la tarde, Traslado en Regular hacia el Circuito de la F1 de Abu Dhabi + Entradas a la carrera (Grandstand Ticket) </w:t>
      </w:r>
      <w:r w:rsidRPr="001C7B83">
        <w:t>Sobre las 12.30 Hrs, salida para Abu Dhabi en vehículo compartido</w:t>
      </w:r>
      <w:r w:rsidRPr="0020550D">
        <w:t xml:space="preserve"> con conductor de habla inglesa, a la ciudad de Abu Dhabi, capital de los Emiratos Árabes Unidos y el más grande de los siete emiratos, conocida popularmente como la ciudad más rica del mundo, donde podremos disfrutar del </w:t>
      </w:r>
      <w:r w:rsidRPr="001C7B83">
        <w:rPr>
          <w:b/>
          <w:bCs/>
        </w:rPr>
        <w:t>Grand Premio de Abu Dhabi</w:t>
      </w:r>
      <w:r w:rsidRPr="0020550D">
        <w:t>, que tiene lugar sobre una de las pistas más atractivas y tecnológicas del mundo: el Circuito de Yas Marina, el cual fue diseñado por el reconocido Ingeniero y corredor de autos Hermann Tilke, diseñador de numerosos circuitos de la Formula 1. Al finalizar la carrera nos dirigiremos de regreso al hotel en Dubai. Noche en Dubai.</w:t>
      </w:r>
    </w:p>
    <w:p w14:paraId="3AC6CD33" w14:textId="77777777" w:rsidR="004162B9" w:rsidRDefault="004162B9" w:rsidP="00943AD3">
      <w:pPr>
        <w:pStyle w:val="Sinespaciado"/>
        <w:jc w:val="both"/>
      </w:pPr>
    </w:p>
    <w:p w14:paraId="5C48D074" w14:textId="77777777" w:rsidR="004162B9" w:rsidRDefault="0020550D" w:rsidP="00943AD3">
      <w:pPr>
        <w:pStyle w:val="Sinespaciado"/>
        <w:jc w:val="both"/>
      </w:pPr>
      <w:r w:rsidRPr="004162B9">
        <w:rPr>
          <w:b/>
          <w:bCs/>
        </w:rPr>
        <w:t>07 dic. (Domingo)</w:t>
      </w:r>
      <w:r w:rsidRPr="0020550D">
        <w:t xml:space="preserve"> </w:t>
      </w:r>
      <w:r w:rsidRPr="004162B9">
        <w:rPr>
          <w:b/>
          <w:bCs/>
        </w:rPr>
        <w:t>– Traslado en Regular hacia el Circuito de la F1 de Abu Dhabi + Entradas a la carrera (Grandstand Ticket)</w:t>
      </w:r>
      <w:r w:rsidRPr="0020550D">
        <w:t xml:space="preserve"> </w:t>
      </w:r>
    </w:p>
    <w:p w14:paraId="234A3EE9" w14:textId="11327810" w:rsidR="0020550D" w:rsidRDefault="0020550D" w:rsidP="00943AD3">
      <w:pPr>
        <w:pStyle w:val="Sinespaciado"/>
        <w:jc w:val="both"/>
      </w:pPr>
      <w:r w:rsidRPr="0020550D">
        <w:t>Desayuno. Mañana libre para actividades opcionales.</w:t>
      </w:r>
      <w:r w:rsidR="00C773DB">
        <w:t xml:space="preserve"> </w:t>
      </w:r>
      <w:r w:rsidRPr="0020550D">
        <w:t>Sobre las 12.30 Hrs, recepción en el lobby del hotel para trasladarnos auto compartido con conductor de habla inglesa, a la ciudad de Abu Dhabi, para disfrutar el segundo día de carreras del Grand Premio de Abu Dhabi. Al finalizar la carrera nos dirigiremos de regreso al hotel en Dubai. Noche en Dubai.</w:t>
      </w:r>
    </w:p>
    <w:p w14:paraId="53F6FA23" w14:textId="77777777" w:rsidR="004162B9" w:rsidRDefault="004162B9" w:rsidP="00943AD3">
      <w:pPr>
        <w:pStyle w:val="Sinespaciado"/>
        <w:jc w:val="both"/>
      </w:pPr>
    </w:p>
    <w:p w14:paraId="6DCECC92" w14:textId="77777777" w:rsidR="004162B9" w:rsidRDefault="0020550D" w:rsidP="00943AD3">
      <w:pPr>
        <w:pStyle w:val="Sinespaciado"/>
        <w:jc w:val="both"/>
        <w:rPr>
          <w:b/>
          <w:bCs/>
        </w:rPr>
      </w:pPr>
      <w:r w:rsidRPr="004162B9">
        <w:rPr>
          <w:b/>
          <w:bCs/>
        </w:rPr>
        <w:t xml:space="preserve">08 dic. (lunes) – Traslado en privado al aeropuerto. </w:t>
      </w:r>
    </w:p>
    <w:p w14:paraId="504E9EC5" w14:textId="44E7059A" w:rsidR="0020550D" w:rsidRDefault="0020550D" w:rsidP="00943AD3">
      <w:pPr>
        <w:pStyle w:val="Sinespaciado"/>
        <w:jc w:val="both"/>
      </w:pPr>
      <w:r w:rsidRPr="004162B9">
        <w:t>Desayuno. Check-Out del hotel</w:t>
      </w:r>
      <w:r w:rsidRPr="0020550D">
        <w:t xml:space="preserve"> a las 12.00 Hrs. Posterior traslado de salida al Aeropuerto.</w:t>
      </w:r>
    </w:p>
    <w:p w14:paraId="198182FE" w14:textId="77777777" w:rsidR="001C7B83" w:rsidRDefault="001C7B83" w:rsidP="00943AD3">
      <w:pPr>
        <w:pStyle w:val="Sinespaciado"/>
        <w:jc w:val="both"/>
      </w:pPr>
    </w:p>
    <w:p w14:paraId="27831CEF" w14:textId="77777777" w:rsidR="001C7B83" w:rsidRDefault="001C7B83" w:rsidP="00943AD3">
      <w:pPr>
        <w:pStyle w:val="Sinespaciado"/>
        <w:jc w:val="both"/>
      </w:pPr>
    </w:p>
    <w:p w14:paraId="656EA5D3" w14:textId="77777777" w:rsidR="001C7B83" w:rsidRDefault="001C7B83" w:rsidP="00943AD3">
      <w:pPr>
        <w:pStyle w:val="Sinespaciado"/>
        <w:jc w:val="both"/>
      </w:pPr>
    </w:p>
    <w:p w14:paraId="03ADCE1A" w14:textId="77777777" w:rsidR="001C7B83" w:rsidRDefault="001C7B83" w:rsidP="00943AD3">
      <w:pPr>
        <w:pStyle w:val="Sinespaciado"/>
        <w:jc w:val="both"/>
      </w:pPr>
    </w:p>
    <w:p w14:paraId="4DCADE2E" w14:textId="77777777" w:rsidR="00F31150" w:rsidRDefault="00F31150" w:rsidP="00943AD3">
      <w:pPr>
        <w:pStyle w:val="Sinespaciado"/>
      </w:pPr>
    </w:p>
    <w:p w14:paraId="347FFE97" w14:textId="77777777" w:rsidR="00C4219E" w:rsidRDefault="00C4219E" w:rsidP="00F31150">
      <w:pPr>
        <w:jc w:val="both"/>
      </w:pPr>
    </w:p>
    <w:tbl>
      <w:tblPr>
        <w:tblStyle w:val="Tablaconcuadrcula"/>
        <w:tblpPr w:leftFromText="141" w:rightFromText="141" w:vertAnchor="text" w:horzAnchor="page" w:tblpX="571" w:tblpY="12"/>
        <w:tblW w:w="11067" w:type="dxa"/>
        <w:tblLook w:val="04A0" w:firstRow="1" w:lastRow="0" w:firstColumn="1" w:lastColumn="0" w:noHBand="0" w:noVBand="1"/>
      </w:tblPr>
      <w:tblGrid>
        <w:gridCol w:w="11067"/>
      </w:tblGrid>
      <w:tr w:rsidR="00955171" w14:paraId="144709B4" w14:textId="77777777" w:rsidTr="00955171">
        <w:trPr>
          <w:trHeight w:val="257"/>
        </w:trPr>
        <w:tc>
          <w:tcPr>
            <w:tcW w:w="11067" w:type="dxa"/>
            <w:shd w:val="clear" w:color="auto" w:fill="E16D01"/>
            <w:vAlign w:val="center"/>
          </w:tcPr>
          <w:p w14:paraId="33746B59" w14:textId="77777777" w:rsidR="00955171" w:rsidRPr="003210B0" w:rsidRDefault="00955171" w:rsidP="00541527">
            <w:pPr>
              <w:jc w:val="center"/>
              <w:rPr>
                <w:b/>
                <w:sz w:val="24"/>
                <w:szCs w:val="24"/>
              </w:rPr>
            </w:pPr>
            <w:r w:rsidRPr="003210B0">
              <w:rPr>
                <w:b/>
                <w:color w:val="FFFFFF" w:themeColor="background1"/>
                <w:sz w:val="24"/>
                <w:szCs w:val="24"/>
              </w:rPr>
              <w:t>TERMINOS Y CO</w:t>
            </w:r>
            <w:r w:rsidRPr="003210B0">
              <w:rPr>
                <w:b/>
                <w:color w:val="FFFFFF" w:themeColor="background1"/>
                <w:sz w:val="24"/>
                <w:szCs w:val="24"/>
                <w:shd w:val="clear" w:color="auto" w:fill="E16D01"/>
              </w:rPr>
              <w:t>NDICIONES</w:t>
            </w:r>
          </w:p>
        </w:tc>
      </w:tr>
      <w:tr w:rsidR="00955171" w14:paraId="2E849302" w14:textId="77777777" w:rsidTr="00C773DB">
        <w:trPr>
          <w:trHeight w:val="3378"/>
        </w:trPr>
        <w:tc>
          <w:tcPr>
            <w:tcW w:w="11067" w:type="dxa"/>
            <w:vAlign w:val="center"/>
          </w:tcPr>
          <w:p w14:paraId="799FDCB5" w14:textId="38DF0D98" w:rsidR="006A7A32" w:rsidRDefault="006A7A32" w:rsidP="00C773DB">
            <w:pPr>
              <w:pStyle w:val="Sinespaciado"/>
              <w:numPr>
                <w:ilvl w:val="0"/>
                <w:numId w:val="8"/>
              </w:numPr>
            </w:pPr>
            <w:bookmarkStart w:id="1" w:name="_Hlk195089823"/>
            <w:r>
              <w:t>Reserva</w:t>
            </w:r>
            <w:r w:rsidR="00063C00">
              <w:t>s</w:t>
            </w:r>
            <w:r>
              <w:t xml:space="preserve"> hasta agotar existencia</w:t>
            </w:r>
          </w:p>
          <w:p w14:paraId="04E30691" w14:textId="29DA3E8D" w:rsidR="006A7A32" w:rsidRDefault="00063C00" w:rsidP="00C773DB">
            <w:pPr>
              <w:pStyle w:val="Sinespaciado"/>
              <w:numPr>
                <w:ilvl w:val="0"/>
                <w:numId w:val="8"/>
              </w:numPr>
            </w:pPr>
            <w:r>
              <w:t>N</w:t>
            </w:r>
            <w:r w:rsidR="006A7A32">
              <w:t xml:space="preserve">iños </w:t>
            </w:r>
            <w:r>
              <w:t>a partir de los</w:t>
            </w:r>
            <w:r w:rsidR="006A7A32">
              <w:t xml:space="preserve"> </w:t>
            </w:r>
            <w:r>
              <w:t>4</w:t>
            </w:r>
            <w:r w:rsidR="006A7A32">
              <w:t xml:space="preserve"> años pueden acceder al Autódromo</w:t>
            </w:r>
            <w:r>
              <w:t xml:space="preserve"> pagando tarifa de adulto.</w:t>
            </w:r>
          </w:p>
          <w:p w14:paraId="42EEB836" w14:textId="7DB76C48" w:rsidR="00063C00" w:rsidRDefault="00063C00" w:rsidP="00C773DB">
            <w:pPr>
              <w:pStyle w:val="Sinespaciado"/>
              <w:numPr>
                <w:ilvl w:val="0"/>
                <w:numId w:val="8"/>
              </w:numPr>
            </w:pPr>
            <w:r w:rsidRPr="00063C00">
              <w:t xml:space="preserve">Para garantizar la reserva y las entradas al evento es necesario el pago </w:t>
            </w:r>
            <w:r>
              <w:t>del 60% de la tarifa.</w:t>
            </w:r>
          </w:p>
          <w:p w14:paraId="54994753" w14:textId="77777777" w:rsidR="00063C00" w:rsidRPr="00063C00" w:rsidRDefault="00063C00" w:rsidP="00C773DB">
            <w:pPr>
              <w:pStyle w:val="Sinespaciado"/>
              <w:numPr>
                <w:ilvl w:val="0"/>
                <w:numId w:val="8"/>
              </w:numPr>
            </w:pPr>
            <w:r w:rsidRPr="00063C00">
              <w:rPr>
                <w:b/>
                <w:bCs/>
              </w:rPr>
              <w:t>Las entradas al evento no son reembolsables por parte del c</w:t>
            </w:r>
            <w:r>
              <w:rPr>
                <w:b/>
                <w:bCs/>
              </w:rPr>
              <w:t>ir</w:t>
            </w:r>
            <w:r w:rsidRPr="00063C00">
              <w:rPr>
                <w:b/>
                <w:bCs/>
              </w:rPr>
              <w:t>cuito y una vez emitidas no pueden ser canceladas.</w:t>
            </w:r>
          </w:p>
          <w:p w14:paraId="6363B073" w14:textId="77777777" w:rsidR="00063C00" w:rsidRDefault="006A7A32" w:rsidP="00C773DB">
            <w:pPr>
              <w:pStyle w:val="Sinespaciado"/>
              <w:numPr>
                <w:ilvl w:val="0"/>
                <w:numId w:val="8"/>
              </w:numPr>
            </w:pPr>
            <w:r>
              <w:t>Los precios mencionados son condicionales hasta el momento que se confirme la reserva</w:t>
            </w:r>
            <w:r w:rsidR="00063C00">
              <w:t>.</w:t>
            </w:r>
          </w:p>
          <w:p w14:paraId="48C61FE1" w14:textId="77777777" w:rsidR="00C773DB" w:rsidRDefault="00C773DB" w:rsidP="00C773DB">
            <w:pPr>
              <w:pStyle w:val="Sinespaciado"/>
              <w:numPr>
                <w:ilvl w:val="0"/>
                <w:numId w:val="8"/>
              </w:numPr>
            </w:pPr>
            <w:r w:rsidRPr="00F31150">
              <w:rPr>
                <w:b/>
              </w:rPr>
              <w:t xml:space="preserve">Traslados de regreso desde Abu Dhabi al hotel en Dubai </w:t>
            </w:r>
            <w:r>
              <w:rPr>
                <w:b/>
              </w:rPr>
              <w:t xml:space="preserve">NO están incluidos en caso de que los pasajeros se queden a los conciertos o eventos </w:t>
            </w:r>
            <w:r w:rsidRPr="00F31150">
              <w:rPr>
                <w:b/>
              </w:rPr>
              <w:t>que realizan después de las carreras</w:t>
            </w:r>
          </w:p>
          <w:p w14:paraId="7CECE8FA" w14:textId="2825A80B" w:rsidR="006A7A32" w:rsidRDefault="00063C00" w:rsidP="00C773DB">
            <w:pPr>
              <w:pStyle w:val="Sinespaciado"/>
              <w:numPr>
                <w:ilvl w:val="0"/>
                <w:numId w:val="8"/>
              </w:numPr>
            </w:pPr>
            <w:r>
              <w:t>D</w:t>
            </w:r>
            <w:r w:rsidRPr="00063C00">
              <w:t xml:space="preserve">e no haber disponibilidad en el hotel seleccionado, se confirmará la reserva en otro de la misma categoría. </w:t>
            </w:r>
            <w:r w:rsidR="006A7A32">
              <w:t xml:space="preserve"> </w:t>
            </w:r>
          </w:p>
          <w:p w14:paraId="0EB0626E" w14:textId="77777777" w:rsidR="006A7A32" w:rsidRDefault="006A7A32" w:rsidP="00C773DB">
            <w:pPr>
              <w:pStyle w:val="Sinespaciado"/>
              <w:numPr>
                <w:ilvl w:val="0"/>
                <w:numId w:val="8"/>
              </w:numPr>
            </w:pPr>
            <w:r>
              <w:t xml:space="preserve">Estas tarifas pueden variar si se cambian hoteles, fechas de viaje, servicios, número de Integrantes y temporadas especiales, en estos casos pueden aplicar suplementos                                                                                                                                                                                                          </w:t>
            </w:r>
          </w:p>
          <w:p w14:paraId="2F4CC093" w14:textId="51B7AEF9" w:rsidR="00955171" w:rsidRDefault="006A7A32" w:rsidP="00C773DB">
            <w:pPr>
              <w:pStyle w:val="Sinespaciado"/>
              <w:numPr>
                <w:ilvl w:val="0"/>
                <w:numId w:val="8"/>
              </w:numPr>
            </w:pPr>
            <w:r w:rsidRPr="00F31150">
              <w:rPr>
                <w:b/>
                <w:bCs/>
              </w:rPr>
              <w:t>Para viajar se requiere pasaporte con vigencia mínima de 6 meses</w:t>
            </w:r>
            <w:r w:rsidR="00F31150" w:rsidRPr="00F31150">
              <w:rPr>
                <w:b/>
                <w:bCs/>
              </w:rPr>
              <w:t xml:space="preserve"> a partir de la fecha de ingreso </w:t>
            </w:r>
            <w:r w:rsidR="00F31150">
              <w:rPr>
                <w:b/>
                <w:bCs/>
              </w:rPr>
              <w:t>al país</w:t>
            </w:r>
            <w:r>
              <w:t xml:space="preserve">.  </w:t>
            </w:r>
            <w:bookmarkEnd w:id="1"/>
          </w:p>
        </w:tc>
      </w:tr>
      <w:tr w:rsidR="00955171" w14:paraId="72015553" w14:textId="77777777" w:rsidTr="00955171">
        <w:trPr>
          <w:trHeight w:val="201"/>
        </w:trPr>
        <w:tc>
          <w:tcPr>
            <w:tcW w:w="11067" w:type="dxa"/>
            <w:shd w:val="clear" w:color="auto" w:fill="E16D01"/>
            <w:vAlign w:val="center"/>
          </w:tcPr>
          <w:p w14:paraId="2F0871C5" w14:textId="77777777" w:rsidR="00955171" w:rsidRPr="003210B0" w:rsidRDefault="00955171" w:rsidP="00541527">
            <w:pPr>
              <w:jc w:val="center"/>
              <w:rPr>
                <w:b/>
                <w:sz w:val="24"/>
                <w:szCs w:val="24"/>
              </w:rPr>
            </w:pPr>
            <w:r w:rsidRPr="003210B0">
              <w:rPr>
                <w:b/>
                <w:color w:val="FFFFFF" w:themeColor="background1"/>
                <w:sz w:val="24"/>
                <w:szCs w:val="24"/>
              </w:rPr>
              <w:t>PARA TENER EN CUENTA</w:t>
            </w:r>
          </w:p>
        </w:tc>
      </w:tr>
      <w:tr w:rsidR="00955171" w14:paraId="5B15C7AD" w14:textId="77777777" w:rsidTr="00C773DB">
        <w:trPr>
          <w:trHeight w:val="2947"/>
        </w:trPr>
        <w:tc>
          <w:tcPr>
            <w:tcW w:w="11067" w:type="dxa"/>
            <w:vAlign w:val="center"/>
          </w:tcPr>
          <w:p w14:paraId="28ADCF5E" w14:textId="77777777" w:rsidR="00AE4E81" w:rsidRDefault="00AE4E81" w:rsidP="00AE4E81">
            <w:pPr>
              <w:pStyle w:val="Sinespaciado"/>
              <w:numPr>
                <w:ilvl w:val="0"/>
                <w:numId w:val="9"/>
              </w:numPr>
            </w:pPr>
            <w:r>
              <w:t>Alojamiento pago en dólares americanos.</w:t>
            </w:r>
          </w:p>
          <w:p w14:paraId="2EF91940" w14:textId="77777777" w:rsidR="00AE4E81" w:rsidRDefault="00AE4E81" w:rsidP="00AE4E81">
            <w:pPr>
              <w:pStyle w:val="Sinespaciado"/>
              <w:numPr>
                <w:ilvl w:val="0"/>
                <w:numId w:val="9"/>
              </w:numPr>
            </w:pPr>
            <w:r>
              <w:t>Tarifas e impuestos sujetos a cambios sin previo aviso.</w:t>
            </w:r>
          </w:p>
          <w:p w14:paraId="254A6665" w14:textId="77777777" w:rsidR="00AE4E81" w:rsidRDefault="00AE4E81" w:rsidP="00AE4E81">
            <w:pPr>
              <w:pStyle w:val="Sinespaciado"/>
              <w:numPr>
                <w:ilvl w:val="0"/>
                <w:numId w:val="9"/>
              </w:numPr>
            </w:pPr>
            <w:r>
              <w:t>En caso de no SHOW se aplica penalidad del 100 % sobre el valor del paquete.</w:t>
            </w:r>
          </w:p>
          <w:p w14:paraId="324708BC" w14:textId="77777777" w:rsidR="00AE4E81" w:rsidRDefault="00AE4E81" w:rsidP="00AE4E81">
            <w:pPr>
              <w:pStyle w:val="Sinespaciado"/>
              <w:numPr>
                <w:ilvl w:val="0"/>
                <w:numId w:val="9"/>
              </w:numPr>
            </w:pPr>
            <w:r>
              <w:t>Es importante que este en el aeropuerto como mínimo con cuatro (4) horas antes de la salida del vuelo.</w:t>
            </w:r>
          </w:p>
          <w:p w14:paraId="6A26D82E" w14:textId="77777777" w:rsidR="00AE4E81" w:rsidRDefault="00AE4E81" w:rsidP="00AE4E81">
            <w:pPr>
              <w:pStyle w:val="Sinespaciado"/>
              <w:numPr>
                <w:ilvl w:val="0"/>
                <w:numId w:val="9"/>
              </w:numPr>
            </w:pPr>
            <w:r>
              <w:t>Para adultos mayores de 85 años y hasta 99 años el valor de suplemento por asistencia médica es de Usd 2 dólares diarios</w:t>
            </w:r>
          </w:p>
          <w:p w14:paraId="6F404C47" w14:textId="77777777" w:rsidR="00AE4E81" w:rsidRDefault="00AE4E81" w:rsidP="00AE4E81">
            <w:pPr>
              <w:pStyle w:val="Sinespaciado"/>
              <w:numPr>
                <w:ilvl w:val="0"/>
                <w:numId w:val="9"/>
              </w:numPr>
            </w:pPr>
            <w:r>
              <w:t>Para menores de edad deben presentar pasaporte, registro civil de nacimiento y permiso autenticado en notaria por los padres</w:t>
            </w:r>
          </w:p>
          <w:p w14:paraId="4DEB6886" w14:textId="29BFA96A" w:rsidR="00955171" w:rsidRDefault="00AE4E81" w:rsidP="00AE4E81">
            <w:pPr>
              <w:pStyle w:val="Sinespaciado"/>
              <w:numPr>
                <w:ilvl w:val="0"/>
                <w:numId w:val="11"/>
              </w:numPr>
            </w:pPr>
            <w:r>
              <w:t>La mayoría de habitaciones cuentan con cama doble o matrimonial 125cm ancho X 180cm largo</w:t>
            </w:r>
          </w:p>
        </w:tc>
      </w:tr>
      <w:tr w:rsidR="00955171" w14:paraId="4CD8C543" w14:textId="77777777" w:rsidTr="00955171">
        <w:trPr>
          <w:trHeight w:val="461"/>
        </w:trPr>
        <w:tc>
          <w:tcPr>
            <w:tcW w:w="11067" w:type="dxa"/>
          </w:tcPr>
          <w:p w14:paraId="6D9A205F" w14:textId="77777777" w:rsidR="00955171" w:rsidRDefault="00955171" w:rsidP="00541527">
            <w:pPr>
              <w:jc w:val="center"/>
            </w:pPr>
            <w:r w:rsidRPr="00766406">
              <w:rPr>
                <w:rFonts w:ascii="Arial" w:eastAsia="Times New Roman" w:hAnsi="Arial" w:cs="Arial"/>
                <w:noProof/>
                <w:sz w:val="24"/>
                <w:szCs w:val="24"/>
                <w:lang w:eastAsia="es-CO"/>
              </w:rPr>
              <w:drawing>
                <wp:inline distT="0" distB="0" distL="0" distR="0" wp14:anchorId="73D5DB95" wp14:editId="6E55D4CB">
                  <wp:extent cx="5238750" cy="752475"/>
                  <wp:effectExtent l="0" t="0" r="0" b="9525"/>
                  <wp:docPr id="22" name="Imagen 22" descr="https://tureserva.com.co/wp-content/uploads/2019/05/550X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tureserva.com.co/wp-content/uploads/2019/05/550X79.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8750" cy="752475"/>
                          </a:xfrm>
                          <a:prstGeom prst="rect">
                            <a:avLst/>
                          </a:prstGeom>
                          <a:noFill/>
                          <a:ln>
                            <a:noFill/>
                          </a:ln>
                        </pic:spPr>
                      </pic:pic>
                    </a:graphicData>
                  </a:graphic>
                </wp:inline>
              </w:drawing>
            </w:r>
          </w:p>
        </w:tc>
      </w:tr>
    </w:tbl>
    <w:p w14:paraId="331472C8" w14:textId="77777777" w:rsidR="00955171" w:rsidRDefault="00955171" w:rsidP="006A7A32"/>
    <w:sectPr w:rsidR="0095517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1B1830" w14:textId="77777777" w:rsidR="00FF2BDF" w:rsidRDefault="00FF2BDF" w:rsidP="006A7A32">
      <w:pPr>
        <w:spacing w:after="0" w:line="240" w:lineRule="auto"/>
      </w:pPr>
      <w:r>
        <w:separator/>
      </w:r>
    </w:p>
  </w:endnote>
  <w:endnote w:type="continuationSeparator" w:id="0">
    <w:p w14:paraId="23F90A32" w14:textId="77777777" w:rsidR="00FF2BDF" w:rsidRDefault="00FF2BDF" w:rsidP="006A7A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280849" w14:textId="77777777" w:rsidR="00FF2BDF" w:rsidRDefault="00FF2BDF" w:rsidP="006A7A32">
      <w:pPr>
        <w:spacing w:after="0" w:line="240" w:lineRule="auto"/>
      </w:pPr>
      <w:r>
        <w:separator/>
      </w:r>
    </w:p>
  </w:footnote>
  <w:footnote w:type="continuationSeparator" w:id="0">
    <w:p w14:paraId="1539AECC" w14:textId="77777777" w:rsidR="00FF2BDF" w:rsidRDefault="00FF2BDF" w:rsidP="006A7A3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D93211"/>
    <w:multiLevelType w:val="hybridMultilevel"/>
    <w:tmpl w:val="DF788194"/>
    <w:lvl w:ilvl="0" w:tplc="FA6C94EE">
      <w:start w:val="4"/>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20FB7967"/>
    <w:multiLevelType w:val="hybridMultilevel"/>
    <w:tmpl w:val="40BE2722"/>
    <w:lvl w:ilvl="0" w:tplc="240A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nsid w:val="251B3FCC"/>
    <w:multiLevelType w:val="hybridMultilevel"/>
    <w:tmpl w:val="2188E4D0"/>
    <w:lvl w:ilvl="0" w:tplc="362CB862">
      <w:start w:val="3"/>
      <w:numFmt w:val="bullet"/>
      <w:lvlText w:val="-"/>
      <w:lvlJc w:val="left"/>
      <w:pPr>
        <w:ind w:left="1080" w:hanging="360"/>
      </w:pPr>
      <w:rPr>
        <w:rFonts w:ascii="Calibri" w:eastAsiaTheme="minorHAnsi" w:hAnsi="Calibri" w:cs="Calibri"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3">
    <w:nsid w:val="35B64852"/>
    <w:multiLevelType w:val="hybridMultilevel"/>
    <w:tmpl w:val="8890A1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3BD76120"/>
    <w:multiLevelType w:val="hybridMultilevel"/>
    <w:tmpl w:val="7388CD4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nsid w:val="49EE6A3A"/>
    <w:multiLevelType w:val="hybridMultilevel"/>
    <w:tmpl w:val="03A87DF8"/>
    <w:lvl w:ilvl="0" w:tplc="FA6C94EE">
      <w:start w:val="4"/>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4AB3044F"/>
    <w:multiLevelType w:val="hybridMultilevel"/>
    <w:tmpl w:val="FA52C6F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nsid w:val="4B0128CA"/>
    <w:multiLevelType w:val="hybridMultilevel"/>
    <w:tmpl w:val="2886E302"/>
    <w:lvl w:ilvl="0" w:tplc="FA6C94EE">
      <w:start w:val="4"/>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52CA45F2"/>
    <w:multiLevelType w:val="hybridMultilevel"/>
    <w:tmpl w:val="EB7461C6"/>
    <w:lvl w:ilvl="0" w:tplc="B8EA7C40">
      <w:start w:val="3"/>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742B577F"/>
    <w:multiLevelType w:val="hybridMultilevel"/>
    <w:tmpl w:val="06C4119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7C005551"/>
    <w:multiLevelType w:val="hybridMultilevel"/>
    <w:tmpl w:val="0DF615FC"/>
    <w:lvl w:ilvl="0" w:tplc="240A0001">
      <w:start w:val="1"/>
      <w:numFmt w:val="bullet"/>
      <w:lvlText w:val=""/>
      <w:lvlJc w:val="left"/>
      <w:pPr>
        <w:ind w:left="720" w:hanging="360"/>
      </w:pPr>
      <w:rPr>
        <w:rFonts w:ascii="Symbol" w:hAnsi="Symbol" w:hint="default"/>
      </w:rPr>
    </w:lvl>
    <w:lvl w:ilvl="1" w:tplc="3D1AA25A">
      <w:numFmt w:val="bullet"/>
      <w:lvlText w:val="•"/>
      <w:lvlJc w:val="left"/>
      <w:pPr>
        <w:ind w:left="1440" w:hanging="360"/>
      </w:pPr>
      <w:rPr>
        <w:rFonts w:ascii="Calibri" w:eastAsiaTheme="minorHAnsi" w:hAnsi="Calibri" w:cs="Calibri"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3"/>
  </w:num>
  <w:num w:numId="4">
    <w:abstractNumId w:val="5"/>
  </w:num>
  <w:num w:numId="5">
    <w:abstractNumId w:val="0"/>
  </w:num>
  <w:num w:numId="6">
    <w:abstractNumId w:val="7"/>
  </w:num>
  <w:num w:numId="7">
    <w:abstractNumId w:val="2"/>
  </w:num>
  <w:num w:numId="8">
    <w:abstractNumId w:val="6"/>
  </w:num>
  <w:num w:numId="9">
    <w:abstractNumId w:val="1"/>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374"/>
    <w:rsid w:val="00063C00"/>
    <w:rsid w:val="00087402"/>
    <w:rsid w:val="00136725"/>
    <w:rsid w:val="001C7B83"/>
    <w:rsid w:val="001F1EBE"/>
    <w:rsid w:val="0020550D"/>
    <w:rsid w:val="0023162D"/>
    <w:rsid w:val="00387DB0"/>
    <w:rsid w:val="004162B9"/>
    <w:rsid w:val="005209B0"/>
    <w:rsid w:val="0056117E"/>
    <w:rsid w:val="005965EC"/>
    <w:rsid w:val="005C34D9"/>
    <w:rsid w:val="006A7A32"/>
    <w:rsid w:val="006E5AED"/>
    <w:rsid w:val="007074E6"/>
    <w:rsid w:val="007A29B2"/>
    <w:rsid w:val="00884719"/>
    <w:rsid w:val="008C5F5C"/>
    <w:rsid w:val="008D34A7"/>
    <w:rsid w:val="008F7630"/>
    <w:rsid w:val="00943AD3"/>
    <w:rsid w:val="00955171"/>
    <w:rsid w:val="0097775F"/>
    <w:rsid w:val="009927CC"/>
    <w:rsid w:val="00A306C1"/>
    <w:rsid w:val="00A67BEB"/>
    <w:rsid w:val="00A71B77"/>
    <w:rsid w:val="00A87835"/>
    <w:rsid w:val="00AE4E81"/>
    <w:rsid w:val="00C4219E"/>
    <w:rsid w:val="00C773DB"/>
    <w:rsid w:val="00D25E05"/>
    <w:rsid w:val="00DB5374"/>
    <w:rsid w:val="00E61A9F"/>
    <w:rsid w:val="00EC2372"/>
    <w:rsid w:val="00F31150"/>
    <w:rsid w:val="00F4312D"/>
    <w:rsid w:val="00F51DBF"/>
    <w:rsid w:val="00FF2BDF"/>
    <w:rsid w:val="00FF49E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896C2"/>
  <w15:chartTrackingRefBased/>
  <w15:docId w15:val="{595AF55C-7201-426F-BD40-B57DEBCF0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537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DB53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955171"/>
    <w:rPr>
      <w:color w:val="0000FF"/>
      <w:u w:val="single"/>
    </w:rPr>
  </w:style>
  <w:style w:type="table" w:customStyle="1" w:styleId="TableNormal">
    <w:name w:val="Table Normal"/>
    <w:uiPriority w:val="2"/>
    <w:semiHidden/>
    <w:unhideWhenUsed/>
    <w:qFormat/>
    <w:rsid w:val="0095517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55171"/>
    <w:pPr>
      <w:widowControl w:val="0"/>
      <w:autoSpaceDE w:val="0"/>
      <w:autoSpaceDN w:val="0"/>
      <w:spacing w:after="0" w:line="240" w:lineRule="auto"/>
    </w:pPr>
    <w:rPr>
      <w:rFonts w:ascii="Arial MT" w:eastAsia="Arial MT" w:hAnsi="Arial MT" w:cs="Arial MT"/>
      <w:lang w:val="es-ES"/>
    </w:rPr>
  </w:style>
  <w:style w:type="paragraph" w:styleId="Prrafodelista">
    <w:name w:val="List Paragraph"/>
    <w:basedOn w:val="Normal"/>
    <w:uiPriority w:val="34"/>
    <w:qFormat/>
    <w:rsid w:val="00EC2372"/>
    <w:pPr>
      <w:ind w:left="720"/>
      <w:contextualSpacing/>
    </w:pPr>
  </w:style>
  <w:style w:type="paragraph" w:styleId="Encabezado">
    <w:name w:val="header"/>
    <w:basedOn w:val="Normal"/>
    <w:link w:val="EncabezadoCar"/>
    <w:uiPriority w:val="99"/>
    <w:unhideWhenUsed/>
    <w:rsid w:val="006A7A3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A7A32"/>
  </w:style>
  <w:style w:type="paragraph" w:styleId="Piedepgina">
    <w:name w:val="footer"/>
    <w:basedOn w:val="Normal"/>
    <w:link w:val="PiedepginaCar"/>
    <w:uiPriority w:val="99"/>
    <w:unhideWhenUsed/>
    <w:rsid w:val="006A7A3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A7A32"/>
  </w:style>
  <w:style w:type="paragraph" w:styleId="Sinespaciado">
    <w:name w:val="No Spacing"/>
    <w:uiPriority w:val="1"/>
    <w:qFormat/>
    <w:rsid w:val="006A7A3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958</Words>
  <Characters>5275</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Cuenta Microsoft</cp:lastModifiedBy>
  <cp:revision>2</cp:revision>
  <dcterms:created xsi:type="dcterms:W3CDTF">2025-07-28T21:24:00Z</dcterms:created>
  <dcterms:modified xsi:type="dcterms:W3CDTF">2025-07-28T21:24:00Z</dcterms:modified>
</cp:coreProperties>
</file>