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ED5" w14:textId="78C094FD" w:rsidR="00665C6D" w:rsidRDefault="00DE305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Fuerte"/>
          <w:rFonts w:ascii="Arial" w:hAnsi="Arial" w:cs="Arial"/>
          <w:color w:val="000000"/>
          <w:shd w:val="clear" w:color="auto" w:fill="FFFFFF"/>
        </w:rPr>
        <w:t xml:space="preserve"> </w:t>
      </w:r>
      <w:r w:rsidR="006607D5">
        <w:rPr>
          <w:rStyle w:val="Fuerte"/>
          <w:rFonts w:ascii="Arial" w:hAnsi="Arial" w:cs="Arial"/>
          <w:color w:val="000000"/>
          <w:shd w:val="clear" w:color="auto" w:fill="FFFFFF"/>
        </w:rPr>
        <w:t>Mayo 2026</w:t>
      </w:r>
    </w:p>
    <w:p w14:paraId="3C01FCB7" w14:textId="77777777" w:rsidR="00EB7ABA" w:rsidRDefault="00EB7AB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732087BA" w14:textId="77777777" w:rsidR="006607D5" w:rsidRDefault="006607D5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061035FB" w14:textId="77777777" w:rsidR="00EB7ABA" w:rsidRPr="002A28BA" w:rsidRDefault="00EB7AB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55C38190" w14:textId="77777777" w:rsidR="00EB7ABA" w:rsidRDefault="002C5E4C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PICK UPS</w:t>
      </w:r>
    </w:p>
    <w:p w14:paraId="01D6441E" w14:textId="77777777" w:rsidR="00EB7ABA" w:rsidRDefault="00EB7AB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13FFD272" w14:textId="77777777" w:rsidR="00EB7ABA" w:rsidRDefault="00EB7ABA" w:rsidP="00EB7ABA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>
        <w:rPr>
          <w:rStyle w:val="Fuerte"/>
          <w:rFonts w:ascii="Arial" w:hAnsi="Arial" w:cs="Arial"/>
          <w:color w:val="000000"/>
          <w:shd w:val="clear" w:color="auto" w:fill="FFFFFF"/>
        </w:rPr>
        <w:t>Entrega de Televisores</w:t>
      </w:r>
    </w:p>
    <w:p w14:paraId="583924F3" w14:textId="77777777" w:rsidR="00EB7ABA" w:rsidRPr="002A28BA" w:rsidRDefault="00EB7ABA" w:rsidP="00EB7ABA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4893FD54" w14:textId="498ED788" w:rsidR="00AE0FC4" w:rsidRPr="00EB7ABA" w:rsidRDefault="00EB7AB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7A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Precio sugerido al público. Promoción vigente del </w:t>
      </w:r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 de mayo al 30 de mayo de 2026</w:t>
      </w:r>
      <w:r w:rsidRPr="00EB7A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Aplica para la compra de vehículos </w:t>
      </w:r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Foton Pickup </w:t>
      </w:r>
      <w:proofErr w:type="spellStart"/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EB7A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50 unidades a nivel nacional, entre todas las referencias participantes. La promoción aplica únicamente para las primeras 50 unidades efectivamente facturadas durante la vigencia de la promoción. El incentivo consiste en </w:t>
      </w:r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televisor marca Kalley de 50” K-TV50G315</w:t>
      </w:r>
      <w:r w:rsidRPr="00EB7A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Incentivo no es transferible, acumulable ni canjeable por dinero u otros productos. El incentivo será entregado al cliente en la misma fecha de entrega del vehículo. Promoción válida en puntos de venta propios de </w:t>
      </w:r>
      <w:proofErr w:type="spellStart"/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EB7A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Andino</w:t>
      </w:r>
      <w:r w:rsidRPr="00EB7A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nivel nacional.</w:t>
      </w:r>
      <w:r w:rsidR="002C5E4C"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6458FE11" w14:textId="6EFA26BE" w:rsidR="00913E4F" w:rsidRPr="00EB7ABA" w:rsidRDefault="00913E4F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198D882" w14:textId="77E3CB23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69DAB0D3" w14:textId="77777777" w:rsidR="00EB7ABA" w:rsidRDefault="002C5E4C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CAMIONES</w:t>
      </w:r>
    </w:p>
    <w:p w14:paraId="754B34FA" w14:textId="77777777" w:rsidR="00EB7ABA" w:rsidRDefault="00EB7ABA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1942B4DE" w14:textId="77777777" w:rsidR="00EB7ABA" w:rsidRDefault="00EB7ABA" w:rsidP="00EB7ABA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>
        <w:rPr>
          <w:rStyle w:val="Fuerte"/>
          <w:rFonts w:ascii="Arial" w:hAnsi="Arial" w:cs="Arial"/>
          <w:color w:val="000000"/>
          <w:shd w:val="clear" w:color="auto" w:fill="FFFFFF"/>
        </w:rPr>
        <w:t>Entrega de Televisores</w:t>
      </w:r>
    </w:p>
    <w:p w14:paraId="2F21747A" w14:textId="77777777" w:rsidR="00EB7ABA" w:rsidRPr="002A28BA" w:rsidRDefault="00EB7ABA" w:rsidP="00EB7ABA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78281809" w14:textId="320DED06" w:rsidR="00AE0FC4" w:rsidRPr="005608F0" w:rsidRDefault="00F4771C" w:rsidP="00EB7AB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7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Precio sugerido al público. Promoción vigente del </w:t>
      </w:r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 de mayo al 30 de mayo de 2026</w:t>
      </w:r>
      <w:r w:rsidRPr="00F47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Aplica para la compra de vehículos </w:t>
      </w:r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Foton </w:t>
      </w:r>
      <w:proofErr w:type="spellStart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proofErr w:type="spellEnd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y Foton </w:t>
      </w:r>
      <w:proofErr w:type="spellStart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proofErr w:type="spellEnd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Wonder</w:t>
      </w:r>
      <w:r w:rsidRPr="00F47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35 unidades a nivel nacional, entre todas las referencias participantes. La promoción aplica únicamente para las primeras 35 unidades efectivamente facturadas durante la vigencia de la promoción. El incentivo consiste en </w:t>
      </w:r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</w:t>
      </w:r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televisor marca Kalley de 50” K-TV50G315</w:t>
      </w:r>
      <w:r w:rsidRPr="00F47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Incentivo no es transferible, acumulable ni canjeable por dinero u otros productos. El incentivo será entregado al cliente en la misma fecha de entrega del vehículo. Promoción válida en puntos de venta propios de </w:t>
      </w:r>
      <w:proofErr w:type="spellStart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F477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Andino</w:t>
      </w:r>
      <w:r w:rsidRPr="00F47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nivel nacional.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pasajeros,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carroceras que tenga convenio con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FRR-S CUMMINS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1.5 años o 3.000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primero que ocurra. Mantenimientos preventivos y correctivos aplica para las referencias de maquinaria amarilla cada 250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15% </w:t>
      </w:r>
      <w:proofErr w:type="spellStart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dcto</w:t>
      </w:r>
      <w:proofErr w:type="spellEnd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(3203509811)  y el numero para agendamiento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4C5409B4" w:rsidR="00401F42" w:rsidRPr="00401F42" w:rsidRDefault="00DB21CB" w:rsidP="002C5E4C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lastRenderedPageBreak/>
        <w:t>Vigencia de</w:t>
      </w:r>
      <w:r w:rsidR="00401F42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91512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0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noviembre</w:t>
      </w:r>
      <w:r w:rsidR="00706247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202</w:t>
      </w:r>
      <w:r w:rsidR="0019773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5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55445"/>
    <w:rsid w:val="00083280"/>
    <w:rsid w:val="000D3918"/>
    <w:rsid w:val="000E20C9"/>
    <w:rsid w:val="000E6E54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07D5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8190D"/>
    <w:rsid w:val="008A06DE"/>
    <w:rsid w:val="008B10B1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22596"/>
    <w:rsid w:val="00A27CF4"/>
    <w:rsid w:val="00A31118"/>
    <w:rsid w:val="00A345BF"/>
    <w:rsid w:val="00A4066A"/>
    <w:rsid w:val="00A648D6"/>
    <w:rsid w:val="00A82D1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70F"/>
    <w:rsid w:val="00D81556"/>
    <w:rsid w:val="00D8593F"/>
    <w:rsid w:val="00D92420"/>
    <w:rsid w:val="00D946A4"/>
    <w:rsid w:val="00DA30A0"/>
    <w:rsid w:val="00DA682F"/>
    <w:rsid w:val="00DA6AF1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B7ABA"/>
    <w:rsid w:val="00EC5A27"/>
    <w:rsid w:val="00F12010"/>
    <w:rsid w:val="00F232DA"/>
    <w:rsid w:val="00F4771C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4009</Words>
  <Characters>22053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192</cp:revision>
  <dcterms:created xsi:type="dcterms:W3CDTF">2022-12-26T20:45:00Z</dcterms:created>
  <dcterms:modified xsi:type="dcterms:W3CDTF">2026-05-14T22:40:00Z</dcterms:modified>
</cp:coreProperties>
</file>