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595E6" w14:textId="0AD6FE92" w:rsidR="00A33308" w:rsidRPr="00DD3EC3" w:rsidRDefault="00DD3EC3" w:rsidP="00DD3EC3">
      <w:pPr>
        <w:jc w:val="center"/>
        <w:rPr>
          <w:b/>
          <w:bCs/>
          <w:sz w:val="36"/>
          <w:szCs w:val="36"/>
        </w:rPr>
      </w:pPr>
      <w:r w:rsidRPr="00DD3EC3">
        <w:rPr>
          <w:b/>
          <w:bCs/>
          <w:sz w:val="36"/>
          <w:szCs w:val="36"/>
        </w:rPr>
        <w:t>DEADLINE QUESTIONS AND RESPONSES</w:t>
      </w:r>
    </w:p>
    <w:p w14:paraId="552A2093" w14:textId="7633D3B4" w:rsidR="00DD3EC3" w:rsidRDefault="00DD3EC3" w:rsidP="00DD3EC3">
      <w:pPr>
        <w:jc w:val="center"/>
        <w:rPr>
          <w:b/>
          <w:bCs/>
          <w:sz w:val="28"/>
          <w:szCs w:val="28"/>
        </w:rPr>
      </w:pPr>
      <w:r w:rsidRPr="00DD3EC3">
        <w:rPr>
          <w:b/>
          <w:bCs/>
          <w:sz w:val="28"/>
          <w:szCs w:val="28"/>
        </w:rPr>
        <w:t>ETCOG AIR QUALITY CONSULTING TECHNICAL SERVICES 2026 RFP</w:t>
      </w:r>
    </w:p>
    <w:p w14:paraId="1D6B0FB0" w14:textId="152009E3" w:rsidR="00E465C7" w:rsidRPr="00DD3EC3" w:rsidRDefault="0048060C" w:rsidP="00DD3EC3">
      <w:pPr>
        <w:jc w:val="center"/>
        <w:rPr>
          <w:b/>
          <w:bCs/>
          <w:sz w:val="28"/>
          <w:szCs w:val="28"/>
        </w:rPr>
      </w:pPr>
      <w:r>
        <w:rPr>
          <w:b/>
          <w:bCs/>
          <w:sz w:val="28"/>
          <w:szCs w:val="28"/>
        </w:rPr>
        <w:t>RFP# EDAQCTS26R</w:t>
      </w:r>
    </w:p>
    <w:p w14:paraId="63EED1CB" w14:textId="77777777" w:rsidR="00DD3EC3" w:rsidRDefault="00DD3EC3"/>
    <w:p w14:paraId="76F4C82B" w14:textId="77777777" w:rsidR="00DD3EC3" w:rsidRPr="00DD3EC3" w:rsidRDefault="00DD3EC3" w:rsidP="00DD3EC3"/>
    <w:p w14:paraId="27B00E70" w14:textId="77777777" w:rsidR="00DD3EC3" w:rsidRPr="00DD3EC3" w:rsidRDefault="00DD3EC3" w:rsidP="00DD3EC3">
      <w:pPr>
        <w:numPr>
          <w:ilvl w:val="0"/>
          <w:numId w:val="1"/>
        </w:numPr>
        <w:rPr>
          <w:color w:val="EE0000"/>
        </w:rPr>
      </w:pPr>
      <w:r w:rsidRPr="00DD3EC3">
        <w:t xml:space="preserve">Does ETCOG own their own ozone monitoring equipment? If so, could you please state the name of the equipment and if it is available for   immediate use? </w:t>
      </w:r>
      <w:r w:rsidRPr="00DD3EC3">
        <w:rPr>
          <w:color w:val="EE0000"/>
        </w:rPr>
        <w:t>Response: Monitoring equipment Owned by ETCOG using Rider 7 ozone funding is listed below. This equipment is housed in Houston. ETCOG has the ability to use the basic equipment that was purchased through the grant if needed.</w:t>
      </w:r>
    </w:p>
    <w:p w14:paraId="2826990F" w14:textId="77777777" w:rsidR="00DD3EC3" w:rsidRPr="00DD3EC3" w:rsidRDefault="00DD3EC3" w:rsidP="00DD3EC3">
      <w:pPr>
        <w:numPr>
          <w:ilvl w:val="1"/>
          <w:numId w:val="1"/>
        </w:numPr>
        <w:rPr>
          <w:color w:val="EE0000"/>
        </w:rPr>
      </w:pPr>
      <w:r w:rsidRPr="00DD3EC3">
        <w:rPr>
          <w:color w:val="EE0000"/>
        </w:rPr>
        <w:t>Thermo 42iQ-TL trace level NOx analyzer</w:t>
      </w:r>
    </w:p>
    <w:p w14:paraId="6BCA9B08" w14:textId="77777777" w:rsidR="00DD3EC3" w:rsidRPr="00DD3EC3" w:rsidRDefault="00DD3EC3" w:rsidP="00DD3EC3">
      <w:pPr>
        <w:numPr>
          <w:ilvl w:val="1"/>
          <w:numId w:val="1"/>
        </w:numPr>
        <w:rPr>
          <w:color w:val="EE0000"/>
        </w:rPr>
      </w:pPr>
      <w:r w:rsidRPr="00DD3EC3">
        <w:rPr>
          <w:color w:val="EE0000"/>
        </w:rPr>
        <w:t>Thermo 42iQ-TL trace level NOy analyzer</w:t>
      </w:r>
    </w:p>
    <w:p w14:paraId="56AA5FCA" w14:textId="77777777" w:rsidR="00DD3EC3" w:rsidRPr="00DD3EC3" w:rsidRDefault="00DD3EC3" w:rsidP="00DD3EC3">
      <w:pPr>
        <w:numPr>
          <w:ilvl w:val="1"/>
          <w:numId w:val="1"/>
        </w:numPr>
        <w:rPr>
          <w:color w:val="EE0000"/>
        </w:rPr>
      </w:pPr>
      <w:r w:rsidRPr="00DD3EC3">
        <w:rPr>
          <w:color w:val="EE0000"/>
        </w:rPr>
        <w:t>Pandora UV-visible light spectrometer</w:t>
      </w:r>
    </w:p>
    <w:p w14:paraId="6129B926" w14:textId="77777777" w:rsidR="00DD3EC3" w:rsidRPr="00DD3EC3" w:rsidRDefault="00DD3EC3" w:rsidP="00DD3EC3"/>
    <w:p w14:paraId="18B0CECF" w14:textId="77777777" w:rsidR="00DD3EC3" w:rsidRPr="00DD3EC3" w:rsidRDefault="00DD3EC3" w:rsidP="00DD3EC3">
      <w:pPr>
        <w:numPr>
          <w:ilvl w:val="0"/>
          <w:numId w:val="1"/>
        </w:numPr>
        <w:rPr>
          <w:color w:val="EE0000"/>
        </w:rPr>
      </w:pPr>
      <w:r w:rsidRPr="00DD3EC3">
        <w:t xml:space="preserve">We noticed a repeated question in the RFP under task B item 3 and task C item 2. Could you please clarify if this was intentional or if you need further details about the equipment used for analysis? </w:t>
      </w:r>
      <w:r w:rsidRPr="00DD3EC3">
        <w:rPr>
          <w:color w:val="EE0000"/>
        </w:rPr>
        <w:t xml:space="preserve">Response: Yes, this is intentional. The question under B 3 is requesting if equipment would need to be purchased for </w:t>
      </w:r>
      <w:r w:rsidRPr="00DD3EC3">
        <w:rPr>
          <w:b/>
          <w:bCs/>
          <w:color w:val="EE0000"/>
          <w:u w:val="single"/>
        </w:rPr>
        <w:t>monitoring</w:t>
      </w:r>
      <w:r w:rsidRPr="00DD3EC3">
        <w:rPr>
          <w:color w:val="EE0000"/>
        </w:rPr>
        <w:t>, while C 2 is requesting if equipment would need to be requested for</w:t>
      </w:r>
      <w:r w:rsidRPr="00DD3EC3">
        <w:rPr>
          <w:b/>
          <w:bCs/>
          <w:color w:val="EE0000"/>
          <w:u w:val="single"/>
        </w:rPr>
        <w:t> analysis.</w:t>
      </w:r>
    </w:p>
    <w:p w14:paraId="51FA932B" w14:textId="77777777" w:rsidR="00DD3EC3" w:rsidRPr="00DD3EC3" w:rsidRDefault="00DD3EC3" w:rsidP="00DD3EC3">
      <w:r w:rsidRPr="00DD3EC3">
        <w:t> </w:t>
      </w:r>
    </w:p>
    <w:p w14:paraId="68C456F0" w14:textId="77777777" w:rsidR="00B51C0A" w:rsidRPr="00B51C0A" w:rsidRDefault="00B51C0A" w:rsidP="00B51C0A"/>
    <w:p w14:paraId="4F483670" w14:textId="77777777" w:rsidR="00B51C0A" w:rsidRPr="00B51C0A" w:rsidRDefault="00B51C0A" w:rsidP="00B51C0A">
      <w:r w:rsidRPr="00B51C0A">
        <w:t> </w:t>
      </w:r>
    </w:p>
    <w:p w14:paraId="205D4D31" w14:textId="61E6981F" w:rsidR="00B51C0A" w:rsidRPr="00D8635C" w:rsidRDefault="00B51C0A" w:rsidP="00B51C0A">
      <w:pPr>
        <w:pStyle w:val="ListParagraph"/>
        <w:numPr>
          <w:ilvl w:val="0"/>
          <w:numId w:val="1"/>
        </w:numPr>
        <w:rPr>
          <w:color w:val="EE0000"/>
        </w:rPr>
      </w:pPr>
      <w:r w:rsidRPr="00B51C0A">
        <w:rPr>
          <w:u w:val="single"/>
        </w:rPr>
        <w:t>Inventorying Emissions</w:t>
      </w:r>
      <w:r w:rsidRPr="00B51C0A">
        <w:t xml:space="preserve">: We assume analysis of existing emissions inventories (point, area, mobile and biogenic) is acceptable, with the goal to identify emissions gaps in O3 precursors (NOx and VOCs) for further emissions inventory development. Can you please confirm? </w:t>
      </w:r>
      <w:r w:rsidRPr="00D8635C">
        <w:rPr>
          <w:color w:val="EE0000"/>
        </w:rPr>
        <w:t>Response: To maintain consistency with the SIP, the Performing Party and its sub-grantees and subcontractors must use point and non-point (area, on-road mobile, non-road mobile, and biogenic) source emissions factors and existing program assumptions used by TCEQ when working with EIs or existing control strategy programs.</w:t>
      </w:r>
    </w:p>
    <w:p w14:paraId="366716DC" w14:textId="77777777" w:rsidR="00B51C0A" w:rsidRPr="00B51C0A" w:rsidRDefault="00B51C0A" w:rsidP="00B51C0A">
      <w:pPr>
        <w:numPr>
          <w:ilvl w:val="1"/>
          <w:numId w:val="1"/>
        </w:numPr>
        <w:rPr>
          <w:color w:val="EE0000"/>
        </w:rPr>
      </w:pPr>
      <w:r w:rsidRPr="00B51C0A">
        <w:rPr>
          <w:color w:val="EE0000"/>
        </w:rPr>
        <w:lastRenderedPageBreak/>
        <w:t>Completed Ozone Inventorying Emissions</w:t>
      </w:r>
    </w:p>
    <w:p w14:paraId="2BE4C965" w14:textId="77777777" w:rsidR="00B51C0A" w:rsidRPr="00B51C0A" w:rsidRDefault="00B51C0A" w:rsidP="00B51C0A">
      <w:pPr>
        <w:numPr>
          <w:ilvl w:val="2"/>
          <w:numId w:val="1"/>
        </w:numPr>
        <w:rPr>
          <w:color w:val="EE0000"/>
        </w:rPr>
      </w:pPr>
      <w:r w:rsidRPr="00B51C0A">
        <w:rPr>
          <w:b/>
          <w:bCs/>
          <w:color w:val="EE0000"/>
        </w:rPr>
        <w:t>Completed Ozone Work for FY 22-25</w:t>
      </w:r>
    </w:p>
    <w:p w14:paraId="030EE882" w14:textId="77777777" w:rsidR="00B51C0A" w:rsidRPr="00B51C0A" w:rsidRDefault="00B51C0A" w:rsidP="00B51C0A">
      <w:pPr>
        <w:numPr>
          <w:ilvl w:val="2"/>
          <w:numId w:val="1"/>
        </w:numPr>
        <w:rPr>
          <w:color w:val="EE0000"/>
        </w:rPr>
      </w:pPr>
      <w:r w:rsidRPr="00B51C0A">
        <w:rPr>
          <w:b/>
          <w:bCs/>
          <w:color w:val="EE0000"/>
        </w:rPr>
        <w:t>FY 22/23</w:t>
      </w:r>
    </w:p>
    <w:p w14:paraId="6DFA7B45" w14:textId="77777777" w:rsidR="00B51C0A" w:rsidRPr="00B51C0A" w:rsidRDefault="00B51C0A" w:rsidP="00B51C0A">
      <w:pPr>
        <w:numPr>
          <w:ilvl w:val="2"/>
          <w:numId w:val="1"/>
        </w:numPr>
        <w:rPr>
          <w:color w:val="EE0000"/>
        </w:rPr>
      </w:pPr>
      <w:r w:rsidRPr="00B51C0A">
        <w:rPr>
          <w:color w:val="EE0000"/>
        </w:rPr>
        <w:t>Emission Inventory Review and Recommendations</w:t>
      </w:r>
    </w:p>
    <w:p w14:paraId="3D58012D" w14:textId="77777777" w:rsidR="00B51C0A" w:rsidRPr="00B51C0A" w:rsidRDefault="00B51C0A" w:rsidP="00B51C0A">
      <w:pPr>
        <w:numPr>
          <w:ilvl w:val="2"/>
          <w:numId w:val="1"/>
        </w:numPr>
        <w:rPr>
          <w:color w:val="EE0000"/>
        </w:rPr>
      </w:pPr>
      <w:r w:rsidRPr="00B51C0A">
        <w:rPr>
          <w:color w:val="EE0000"/>
        </w:rPr>
        <w:t>Improved Emission Inventory for Pleasure Craft</w:t>
      </w:r>
    </w:p>
    <w:p w14:paraId="7431F688" w14:textId="77777777" w:rsidR="00B51C0A" w:rsidRPr="00B51C0A" w:rsidRDefault="00B51C0A" w:rsidP="00B51C0A">
      <w:pPr>
        <w:numPr>
          <w:ilvl w:val="2"/>
          <w:numId w:val="1"/>
        </w:numPr>
        <w:rPr>
          <w:color w:val="EE0000"/>
        </w:rPr>
      </w:pPr>
      <w:r w:rsidRPr="00B51C0A">
        <w:rPr>
          <w:color w:val="EE0000"/>
        </w:rPr>
        <w:t>Improved Leaf Area Data for the Biogenic Emission Inventory</w:t>
      </w:r>
    </w:p>
    <w:p w14:paraId="3BCBC1C8" w14:textId="77777777" w:rsidR="00B51C0A" w:rsidRPr="00B51C0A" w:rsidRDefault="00B51C0A" w:rsidP="00B51C0A">
      <w:pPr>
        <w:numPr>
          <w:ilvl w:val="2"/>
          <w:numId w:val="1"/>
        </w:numPr>
        <w:rPr>
          <w:color w:val="EE0000"/>
        </w:rPr>
      </w:pPr>
      <w:r w:rsidRPr="00B51C0A">
        <w:rPr>
          <w:color w:val="EE0000"/>
        </w:rPr>
        <w:t>Ambient Monitoring near Tyler</w:t>
      </w:r>
    </w:p>
    <w:p w14:paraId="12D5F199" w14:textId="77777777" w:rsidR="00B51C0A" w:rsidRPr="00B51C0A" w:rsidRDefault="00B51C0A" w:rsidP="001B27B7">
      <w:pPr>
        <w:ind w:left="2160"/>
        <w:rPr>
          <w:color w:val="EE0000"/>
        </w:rPr>
      </w:pPr>
      <w:r w:rsidRPr="00B51C0A">
        <w:rPr>
          <w:color w:val="EE0000"/>
        </w:rPr>
        <w:t> </w:t>
      </w:r>
    </w:p>
    <w:p w14:paraId="34A22930" w14:textId="77777777" w:rsidR="00B51C0A" w:rsidRPr="00B51C0A" w:rsidRDefault="00B51C0A" w:rsidP="00B51C0A">
      <w:pPr>
        <w:numPr>
          <w:ilvl w:val="2"/>
          <w:numId w:val="1"/>
        </w:numPr>
        <w:rPr>
          <w:color w:val="EE0000"/>
        </w:rPr>
      </w:pPr>
      <w:r w:rsidRPr="00B51C0A">
        <w:rPr>
          <w:b/>
          <w:bCs/>
          <w:color w:val="EE0000"/>
        </w:rPr>
        <w:t>FY 24/25</w:t>
      </w:r>
    </w:p>
    <w:p w14:paraId="4C12EF87" w14:textId="77777777" w:rsidR="00B51C0A" w:rsidRPr="00B51C0A" w:rsidRDefault="00B51C0A" w:rsidP="00B51C0A">
      <w:pPr>
        <w:numPr>
          <w:ilvl w:val="2"/>
          <w:numId w:val="1"/>
        </w:numPr>
        <w:rPr>
          <w:color w:val="EE0000"/>
        </w:rPr>
      </w:pPr>
      <w:r w:rsidRPr="00B51C0A">
        <w:rPr>
          <w:color w:val="EE0000"/>
        </w:rPr>
        <w:t>Soil NOx Emission Inventory Improvements</w:t>
      </w:r>
    </w:p>
    <w:p w14:paraId="0D7BE6C3" w14:textId="77777777" w:rsidR="00B51C0A" w:rsidRPr="00B51C0A" w:rsidRDefault="00B51C0A" w:rsidP="00B51C0A">
      <w:pPr>
        <w:numPr>
          <w:ilvl w:val="2"/>
          <w:numId w:val="1"/>
        </w:numPr>
        <w:rPr>
          <w:color w:val="EE0000"/>
        </w:rPr>
      </w:pPr>
      <w:r w:rsidRPr="00B51C0A">
        <w:rPr>
          <w:color w:val="EE0000"/>
        </w:rPr>
        <w:t>Ambient Monitoring near Tyler</w:t>
      </w:r>
    </w:p>
    <w:p w14:paraId="65507CB6" w14:textId="77777777" w:rsidR="00B51C0A" w:rsidRPr="00B51C0A" w:rsidRDefault="00B51C0A" w:rsidP="00B51C0A">
      <w:r w:rsidRPr="00B51C0A">
        <w:t> </w:t>
      </w:r>
    </w:p>
    <w:p w14:paraId="1664BE7F" w14:textId="082682BB" w:rsidR="00B51C0A" w:rsidRPr="00B51C0A" w:rsidRDefault="00B51C0A" w:rsidP="002259B6">
      <w:r w:rsidRPr="00B51C0A">
        <w:t> </w:t>
      </w:r>
      <w:r>
        <w:rPr>
          <w:u w:val="single"/>
        </w:rPr>
        <w:t xml:space="preserve"> </w:t>
      </w:r>
    </w:p>
    <w:p w14:paraId="6C8E9FF8" w14:textId="15F2F06F" w:rsidR="00B51C0A" w:rsidRPr="00D8635C" w:rsidRDefault="00B51C0A" w:rsidP="002259B6">
      <w:pPr>
        <w:pStyle w:val="ListParagraph"/>
        <w:numPr>
          <w:ilvl w:val="0"/>
          <w:numId w:val="1"/>
        </w:numPr>
        <w:rPr>
          <w:color w:val="EE0000"/>
        </w:rPr>
      </w:pPr>
      <w:r w:rsidRPr="002259B6">
        <w:rPr>
          <w:u w:val="single"/>
        </w:rPr>
        <w:t>Modelling of pollution levels:</w:t>
      </w:r>
      <w:r w:rsidRPr="00B51C0A">
        <w:t xml:space="preserve"> There are only three relevant monitors in the14-county ETCOG region (Karnack, Longview, and Tyler). They all measure O3, NOx, and met; two of them also measure canister VOCs (Longview and Karnack). Will TCEQ allow us to use data from non-ETCOG region for modeling of pollution levels in the ETCOG region? Some models require larger scale model inputs. </w:t>
      </w:r>
      <w:r w:rsidRPr="00D8635C">
        <w:rPr>
          <w:color w:val="EE0000"/>
        </w:rPr>
        <w:t>Response: The performing Party may expend Rider 7 funding on activities related to modeling pollution levels. Pollution modeling projects under this grant must be limited to those most useful for the SIP and must be associated with Ozone. The Performing Party must submit and obtain approval of all Statement of Work details about the use of Rider 7 funds before expending funds. </w:t>
      </w:r>
    </w:p>
    <w:p w14:paraId="369BEDAC" w14:textId="77777777" w:rsidR="00B51C0A" w:rsidRPr="00B51C0A" w:rsidRDefault="00B51C0A" w:rsidP="00B51C0A"/>
    <w:p w14:paraId="16F9ADA3" w14:textId="7C40B683" w:rsidR="00B51C0A" w:rsidRDefault="00B51C0A" w:rsidP="00B51C0A">
      <w:r w:rsidRPr="00B51C0A">
        <w:t> </w:t>
      </w:r>
    </w:p>
    <w:p w14:paraId="60FF91E4" w14:textId="77777777" w:rsidR="00753B99" w:rsidRPr="00B51C0A" w:rsidRDefault="00753B99" w:rsidP="00B51C0A"/>
    <w:p w14:paraId="03870B01" w14:textId="38913FA4" w:rsidR="00B51C0A" w:rsidRPr="00B51C0A" w:rsidRDefault="00B51C0A" w:rsidP="0092112C">
      <w:pPr>
        <w:pStyle w:val="ListParagraph"/>
        <w:numPr>
          <w:ilvl w:val="0"/>
          <w:numId w:val="1"/>
        </w:numPr>
      </w:pPr>
      <w:r w:rsidRPr="0092112C">
        <w:rPr>
          <w:u w:val="single"/>
        </w:rPr>
        <w:t>Monitoring</w:t>
      </w:r>
      <w:r w:rsidRPr="00B51C0A">
        <w:t>: From the ETCOG PM2.5 RFP it is understood that ETCOG owns the following equipment that is related to ozone monitoring:</w:t>
      </w:r>
    </w:p>
    <w:p w14:paraId="6EBDCF19" w14:textId="77777777" w:rsidR="00B51C0A" w:rsidRPr="00B51C0A" w:rsidRDefault="00B51C0A" w:rsidP="00B51C0A">
      <w:pPr>
        <w:rPr>
          <w:color w:val="EE0000"/>
        </w:rPr>
      </w:pPr>
      <w:r w:rsidRPr="00B51C0A">
        <w:t> </w:t>
      </w:r>
      <w:r w:rsidRPr="00B51C0A">
        <w:t> </w:t>
      </w:r>
      <w:r w:rsidRPr="00B51C0A">
        <w:t> </w:t>
      </w:r>
      <w:r w:rsidRPr="00B51C0A">
        <w:t> </w:t>
      </w:r>
      <w:r w:rsidRPr="00B51C0A">
        <w:t> </w:t>
      </w:r>
      <w:r w:rsidRPr="00B51C0A">
        <w:t> </w:t>
      </w:r>
      <w:r w:rsidRPr="00B51C0A">
        <w:t> </w:t>
      </w:r>
      <w:r w:rsidRPr="00B51C0A">
        <w:t> </w:t>
      </w:r>
      <w:r w:rsidRPr="00B51C0A">
        <w:rPr>
          <w:color w:val="EE0000"/>
        </w:rPr>
        <w:t>Thermo 42iQ-TL trace level NOx analyzer</w:t>
      </w:r>
    </w:p>
    <w:p w14:paraId="02BED298" w14:textId="77777777" w:rsidR="00B51C0A" w:rsidRPr="00B51C0A" w:rsidRDefault="00B51C0A" w:rsidP="00B51C0A">
      <w:pPr>
        <w:rPr>
          <w:color w:val="EE0000"/>
        </w:rPr>
      </w:pPr>
      <w:r w:rsidRPr="00B51C0A">
        <w:rPr>
          <w:color w:val="EE0000"/>
        </w:rPr>
        <w:lastRenderedPageBreak/>
        <w:t> </w:t>
      </w:r>
      <w:r w:rsidRPr="00B51C0A">
        <w:rPr>
          <w:color w:val="EE0000"/>
        </w:rPr>
        <w:t> </w:t>
      </w:r>
      <w:r w:rsidRPr="00B51C0A">
        <w:rPr>
          <w:color w:val="EE0000"/>
        </w:rPr>
        <w:t> </w:t>
      </w:r>
      <w:r w:rsidRPr="00B51C0A">
        <w:rPr>
          <w:color w:val="EE0000"/>
        </w:rPr>
        <w:t> </w:t>
      </w:r>
      <w:r w:rsidRPr="00B51C0A">
        <w:rPr>
          <w:color w:val="EE0000"/>
        </w:rPr>
        <w:t> </w:t>
      </w:r>
      <w:r w:rsidRPr="00B51C0A">
        <w:rPr>
          <w:color w:val="EE0000"/>
        </w:rPr>
        <w:t> </w:t>
      </w:r>
      <w:r w:rsidRPr="00B51C0A">
        <w:rPr>
          <w:color w:val="EE0000"/>
        </w:rPr>
        <w:t> </w:t>
      </w:r>
      <w:r w:rsidRPr="00B51C0A">
        <w:rPr>
          <w:color w:val="EE0000"/>
        </w:rPr>
        <w:t> </w:t>
      </w:r>
      <w:r w:rsidRPr="00B51C0A">
        <w:rPr>
          <w:color w:val="EE0000"/>
        </w:rPr>
        <w:t>Thermo 42iQ-TL trace level NOy analyzer</w:t>
      </w:r>
    </w:p>
    <w:p w14:paraId="6DA1C2E5" w14:textId="77777777" w:rsidR="00B51C0A" w:rsidRPr="00B51C0A" w:rsidRDefault="00B51C0A" w:rsidP="00B51C0A">
      <w:pPr>
        <w:rPr>
          <w:color w:val="EE0000"/>
        </w:rPr>
      </w:pPr>
      <w:r w:rsidRPr="00B51C0A">
        <w:rPr>
          <w:color w:val="EE0000"/>
        </w:rPr>
        <w:t> </w:t>
      </w:r>
      <w:r w:rsidRPr="00B51C0A">
        <w:rPr>
          <w:color w:val="EE0000"/>
        </w:rPr>
        <w:t> </w:t>
      </w:r>
      <w:r w:rsidRPr="00B51C0A">
        <w:rPr>
          <w:color w:val="EE0000"/>
        </w:rPr>
        <w:t> </w:t>
      </w:r>
      <w:r w:rsidRPr="00B51C0A">
        <w:rPr>
          <w:color w:val="EE0000"/>
        </w:rPr>
        <w:t> </w:t>
      </w:r>
      <w:r w:rsidRPr="00B51C0A">
        <w:rPr>
          <w:color w:val="EE0000"/>
        </w:rPr>
        <w:t> </w:t>
      </w:r>
      <w:r w:rsidRPr="00B51C0A">
        <w:rPr>
          <w:color w:val="EE0000"/>
        </w:rPr>
        <w:t> </w:t>
      </w:r>
      <w:r w:rsidRPr="00B51C0A">
        <w:rPr>
          <w:color w:val="EE0000"/>
        </w:rPr>
        <w:t> </w:t>
      </w:r>
      <w:r w:rsidRPr="00B51C0A">
        <w:rPr>
          <w:color w:val="EE0000"/>
        </w:rPr>
        <w:t> </w:t>
      </w:r>
      <w:r w:rsidRPr="00B51C0A">
        <w:rPr>
          <w:color w:val="EE0000"/>
        </w:rPr>
        <w:t>Pandora UV-visible light spectrometer</w:t>
      </w:r>
    </w:p>
    <w:p w14:paraId="71BEB570" w14:textId="77777777" w:rsidR="00B51C0A" w:rsidRPr="00B51C0A" w:rsidRDefault="00B51C0A" w:rsidP="00B51C0A">
      <w:pPr>
        <w:rPr>
          <w:color w:val="EE0000"/>
        </w:rPr>
      </w:pPr>
      <w:r w:rsidRPr="00B51C0A">
        <w:rPr>
          <w:color w:val="EE0000"/>
        </w:rPr>
        <w:t> </w:t>
      </w:r>
      <w:r w:rsidRPr="00B51C0A">
        <w:rPr>
          <w:color w:val="EE0000"/>
        </w:rPr>
        <w:t> </w:t>
      </w:r>
      <w:r w:rsidRPr="00B51C0A">
        <w:rPr>
          <w:color w:val="EE0000"/>
        </w:rPr>
        <w:t> </w:t>
      </w:r>
      <w:r w:rsidRPr="00B51C0A">
        <w:rPr>
          <w:color w:val="EE0000"/>
        </w:rPr>
        <w:t> </w:t>
      </w:r>
      <w:r w:rsidRPr="00B51C0A">
        <w:rPr>
          <w:color w:val="EE0000"/>
        </w:rPr>
        <w:t> </w:t>
      </w:r>
      <w:r w:rsidRPr="00B51C0A">
        <w:rPr>
          <w:color w:val="EE0000"/>
        </w:rPr>
        <w:t> </w:t>
      </w:r>
      <w:r w:rsidRPr="00B51C0A">
        <w:rPr>
          <w:color w:val="EE0000"/>
        </w:rPr>
        <w:t> </w:t>
      </w:r>
      <w:r w:rsidRPr="00B51C0A">
        <w:rPr>
          <w:color w:val="EE0000"/>
        </w:rPr>
        <w:t> </w:t>
      </w:r>
      <w:r w:rsidRPr="00B51C0A">
        <w:rPr>
          <w:color w:val="EE0000"/>
        </w:rPr>
        <w:t> Teledyne API Photolytic UV-LED NO₂ Converter </w:t>
      </w:r>
    </w:p>
    <w:p w14:paraId="3C439056" w14:textId="1604FEA3" w:rsidR="00B51C0A" w:rsidRPr="00BD2676" w:rsidRDefault="00B51C0A" w:rsidP="0092112C">
      <w:pPr>
        <w:pStyle w:val="ListParagraph"/>
        <w:numPr>
          <w:ilvl w:val="0"/>
          <w:numId w:val="1"/>
        </w:numPr>
        <w:rPr>
          <w:color w:val="EE0000"/>
        </w:rPr>
      </w:pPr>
      <w:r w:rsidRPr="00B51C0A">
        <w:t xml:space="preserve">Can you confirm that ETCOG owns this equipment and clarify where it is currently stored? </w:t>
      </w:r>
      <w:r w:rsidRPr="00BD2676">
        <w:rPr>
          <w:color w:val="EE0000"/>
        </w:rPr>
        <w:t>Response: Monitoring equipment is owned by ETCOG, purchased using Rider 7 Ozone Funding. This equipment is housed in Houston. </w:t>
      </w:r>
    </w:p>
    <w:p w14:paraId="0704F675" w14:textId="77777777" w:rsidR="00B51C0A" w:rsidRPr="00B51C0A" w:rsidRDefault="00B51C0A" w:rsidP="00B51C0A">
      <w:r w:rsidRPr="00B51C0A">
        <w:t> </w:t>
      </w:r>
    </w:p>
    <w:p w14:paraId="646F975B" w14:textId="438C9144" w:rsidR="00B51C0A" w:rsidRPr="00BD2676" w:rsidRDefault="00B51C0A" w:rsidP="0092112C">
      <w:pPr>
        <w:pStyle w:val="ListParagraph"/>
        <w:numPr>
          <w:ilvl w:val="0"/>
          <w:numId w:val="1"/>
        </w:numPr>
        <w:rPr>
          <w:color w:val="EE0000"/>
        </w:rPr>
      </w:pPr>
      <w:r w:rsidRPr="00B51C0A">
        <w:t xml:space="preserve">Does ETCOG own any supporting equipment for the aforementioned equipment including a gas dilution calibrator, zero air generator, data logger, calibration gas standard, compressed gas regulator, Teflon tubing, trailer or air monitoring shelter, or any consumables like Teflon inlet filters? </w:t>
      </w:r>
      <w:r w:rsidRPr="00BD2676">
        <w:rPr>
          <w:color w:val="EE0000"/>
        </w:rPr>
        <w:t>Response: No</w:t>
      </w:r>
    </w:p>
    <w:p w14:paraId="280E6862" w14:textId="77777777" w:rsidR="00B51C0A" w:rsidRPr="00B51C0A" w:rsidRDefault="00B51C0A" w:rsidP="00B51C0A">
      <w:r w:rsidRPr="00B51C0A">
        <w:t> </w:t>
      </w:r>
    </w:p>
    <w:p w14:paraId="4BC747C6" w14:textId="4A41B6C4" w:rsidR="00B51C0A" w:rsidRPr="00BD2676" w:rsidRDefault="00B51C0A" w:rsidP="0092112C">
      <w:pPr>
        <w:pStyle w:val="ListParagraph"/>
        <w:numPr>
          <w:ilvl w:val="0"/>
          <w:numId w:val="1"/>
        </w:numPr>
        <w:rPr>
          <w:color w:val="EE0000"/>
        </w:rPr>
      </w:pPr>
      <w:r w:rsidRPr="00B51C0A">
        <w:t xml:space="preserve">What age and condition are the NOx and NOy analyzers in? </w:t>
      </w:r>
      <w:r w:rsidRPr="00BD2676">
        <w:rPr>
          <w:color w:val="EE0000"/>
        </w:rPr>
        <w:t>Response: All equipment was purchased in the last five (5) years and has been maintained throughout the duration of their use by University of Houston. Equipment was removed October 2025 and was in operational condition.</w:t>
      </w:r>
    </w:p>
    <w:p w14:paraId="35DD1FC9" w14:textId="77777777" w:rsidR="00DD3EC3" w:rsidRDefault="00DD3EC3"/>
    <w:sectPr w:rsidR="00DD3E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31395"/>
    <w:multiLevelType w:val="multilevel"/>
    <w:tmpl w:val="00922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723A3B"/>
    <w:multiLevelType w:val="multilevel"/>
    <w:tmpl w:val="8024480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DB7193D"/>
    <w:multiLevelType w:val="multilevel"/>
    <w:tmpl w:val="DC683FE6"/>
    <w:lvl w:ilvl="0">
      <w:start w:val="1"/>
      <w:numFmt w:val="bullet"/>
      <w:lvlText w:val=""/>
      <w:lvlJc w:val="left"/>
      <w:pPr>
        <w:tabs>
          <w:tab w:val="num" w:pos="450"/>
        </w:tabs>
        <w:ind w:left="45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686B20"/>
    <w:multiLevelType w:val="multilevel"/>
    <w:tmpl w:val="EFB0B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663692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6263072">
    <w:abstractNumId w:val="3"/>
  </w:num>
  <w:num w:numId="3" w16cid:durableId="956640852">
    <w:abstractNumId w:val="0"/>
  </w:num>
  <w:num w:numId="4" w16cid:durableId="283124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EC3"/>
    <w:rsid w:val="000C47F5"/>
    <w:rsid w:val="000D3F77"/>
    <w:rsid w:val="001B27B7"/>
    <w:rsid w:val="002259B6"/>
    <w:rsid w:val="00303ED5"/>
    <w:rsid w:val="0048060C"/>
    <w:rsid w:val="004D1CBC"/>
    <w:rsid w:val="004D6791"/>
    <w:rsid w:val="0072464A"/>
    <w:rsid w:val="00753B99"/>
    <w:rsid w:val="0092112C"/>
    <w:rsid w:val="00A33308"/>
    <w:rsid w:val="00A7367A"/>
    <w:rsid w:val="00B51C0A"/>
    <w:rsid w:val="00BD2676"/>
    <w:rsid w:val="00D8635C"/>
    <w:rsid w:val="00DD3EC3"/>
    <w:rsid w:val="00E465C7"/>
    <w:rsid w:val="00ED0617"/>
    <w:rsid w:val="00F96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013E3"/>
  <w15:chartTrackingRefBased/>
  <w15:docId w15:val="{93668970-984F-4261-A9FC-8857F7B8D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3E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3E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3E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3E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3E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3E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E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E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E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E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3E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3E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3E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3E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3E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E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E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EC3"/>
    <w:rPr>
      <w:rFonts w:eastAsiaTheme="majorEastAsia" w:cstheme="majorBidi"/>
      <w:color w:val="272727" w:themeColor="text1" w:themeTint="D8"/>
    </w:rPr>
  </w:style>
  <w:style w:type="paragraph" w:styleId="Title">
    <w:name w:val="Title"/>
    <w:basedOn w:val="Normal"/>
    <w:next w:val="Normal"/>
    <w:link w:val="TitleChar"/>
    <w:uiPriority w:val="10"/>
    <w:qFormat/>
    <w:rsid w:val="00DD3E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E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E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E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EC3"/>
    <w:pPr>
      <w:spacing w:before="160"/>
      <w:jc w:val="center"/>
    </w:pPr>
    <w:rPr>
      <w:i/>
      <w:iCs/>
      <w:color w:val="404040" w:themeColor="text1" w:themeTint="BF"/>
    </w:rPr>
  </w:style>
  <w:style w:type="character" w:customStyle="1" w:styleId="QuoteChar">
    <w:name w:val="Quote Char"/>
    <w:basedOn w:val="DefaultParagraphFont"/>
    <w:link w:val="Quote"/>
    <w:uiPriority w:val="29"/>
    <w:rsid w:val="00DD3EC3"/>
    <w:rPr>
      <w:i/>
      <w:iCs/>
      <w:color w:val="404040" w:themeColor="text1" w:themeTint="BF"/>
    </w:rPr>
  </w:style>
  <w:style w:type="paragraph" w:styleId="ListParagraph">
    <w:name w:val="List Paragraph"/>
    <w:basedOn w:val="Normal"/>
    <w:uiPriority w:val="34"/>
    <w:qFormat/>
    <w:rsid w:val="00DD3EC3"/>
    <w:pPr>
      <w:ind w:left="720"/>
      <w:contextualSpacing/>
    </w:pPr>
  </w:style>
  <w:style w:type="character" w:styleId="IntenseEmphasis">
    <w:name w:val="Intense Emphasis"/>
    <w:basedOn w:val="DefaultParagraphFont"/>
    <w:uiPriority w:val="21"/>
    <w:qFormat/>
    <w:rsid w:val="00DD3EC3"/>
    <w:rPr>
      <w:i/>
      <w:iCs/>
      <w:color w:val="0F4761" w:themeColor="accent1" w:themeShade="BF"/>
    </w:rPr>
  </w:style>
  <w:style w:type="paragraph" w:styleId="IntenseQuote">
    <w:name w:val="Intense Quote"/>
    <w:basedOn w:val="Normal"/>
    <w:next w:val="Normal"/>
    <w:link w:val="IntenseQuoteChar"/>
    <w:uiPriority w:val="30"/>
    <w:qFormat/>
    <w:rsid w:val="00DD3E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3EC3"/>
    <w:rPr>
      <w:i/>
      <w:iCs/>
      <w:color w:val="0F4761" w:themeColor="accent1" w:themeShade="BF"/>
    </w:rPr>
  </w:style>
  <w:style w:type="character" w:styleId="IntenseReference">
    <w:name w:val="Intense Reference"/>
    <w:basedOn w:val="DefaultParagraphFont"/>
    <w:uiPriority w:val="32"/>
    <w:qFormat/>
    <w:rsid w:val="00DD3E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581</Words>
  <Characters>3280</Characters>
  <Application>Microsoft Office Word</Application>
  <DocSecurity>0</DocSecurity>
  <Lines>88</Lines>
  <Paragraphs>37</Paragraphs>
  <ScaleCrop>false</ScaleCrop>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Weems</dc:creator>
  <cp:keywords/>
  <dc:description/>
  <cp:lastModifiedBy>Christine Weems</cp:lastModifiedBy>
  <cp:revision>11</cp:revision>
  <dcterms:created xsi:type="dcterms:W3CDTF">2026-02-16T20:44:00Z</dcterms:created>
  <dcterms:modified xsi:type="dcterms:W3CDTF">2026-02-18T16:41:00Z</dcterms:modified>
</cp:coreProperties>
</file>