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Premier High School Online provides a range of Workforce Development programs designed to connect students with training and employment opportunities through partnerships across the State of Ohio. These offerings are specifically tailored to accommodate their virtual learning environments.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Beginning in their freshman year, students engage with workplace fundamentals and essential employability skills, including both soft and hard skills, through the Career Based Intervention (CBI) courses titled Ignite I, II, and III. This structured curriculum continues until students fulfill their graduation requirements. As part of their career preparation, students participate in career exploration activities during the 9th grade and the Ignite I course, with ongoing development in career readiness from 10th through 12th grade.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students near graduation, the focus of the Ignite III course shifts to post-secondary life, equipping Juniors and Seniors with the tools needed to succeed after high school. This course incorporates the Ohio Means Jobs Readiness Seal, guiding 11th and 12th-grade students in creating cover letters, resumes, and practicing for interviews. Additionally, mentorship opportunities are integrated within the school and community, as well as through workplace experiences when applicable.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Students also have the opportunity to take a sequence of Career Technical Education courses based on their career research and interests to further their knowledge in the career area including Business and Admin Services, Marketing, Allied Health and Nursing, and Teaching Professions. The range of certifications offered is continually expanding. Notable programs, such as Rise Up (Customer Service), Microsoft (Word, Excel, PowerPoint, Outlook), and OSHA (Occupational Safety and Health Administration), will support students in grades 9-12 in obtaining valuable certifications that enhance their employability prospects following high school graduation.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