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iSchool Virtual Academy provides a range of Workforce Development programs designed to connect students with training and employment opportunities through partnerships across the State of Ohio. These offerings are specifically tailored to accommodate their virtual learning environments.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Beginning in their freshman year, students engage with workplace fundamentals and essential employability skills, including both soft and hard skills, through the Career Based Intervention (CBI) courses titled Ignite I, II, and III. This structured curriculum continues until students fulfill their graduation requirements. As part of their career preparation, students participate in career exploration activities during the 9th grade and the Ignite I course, with ongoing development in career readiness from 10th through 12th grade.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students near graduation, the focus of the Ignite III course shifts to post-secondary life, equipping Juniors and Seniors with the tools needed to succeed after high school. This course incorporates the Ohio Means Jobs Readiness Seal, guiding 11th and 12th-grade students in creating cover letters, resumes, and practicing for interviews. Additionally, mentorship opportunities are integrated within the school and community, as well as through workplace experiences when applicable.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Students also have the opportunity to take a sequence of Career Technical Education courses based on their career research and interests to further their knowledge in the career area including Business and Admin Services, Marketing, Allied Health and Nursing, and Teaching Professions. The range of certifications offered is continually expanding. Notable programs, such as Rise Up (Customer Service), Microsoft (Word, Excel, PowerPoint, Outlook), and OSHA (Occupational Safety and Health Administration), will support students in grades 9-12 in obtaining valuable certifications that enhance their employability prospects following high school graduation.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