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AAC2E" w14:textId="77777777" w:rsidR="008D5005" w:rsidRDefault="00000000">
      <w:pPr>
        <w:pStyle w:val="Title"/>
      </w:pPr>
      <w:r>
        <w:t>Parents' Options and School District Liability:</w:t>
      </w:r>
    </w:p>
    <w:p w14:paraId="3B7C41AB" w14:textId="77777777" w:rsidR="008D5005" w:rsidRDefault="00000000">
      <w:pPr>
        <w:pStyle w:val="Title"/>
      </w:pPr>
      <w:r>
        <w:t>Dyslexia IEP Legal Guide</w:t>
      </w:r>
    </w:p>
    <w:p w14:paraId="28F0189C" w14:textId="77777777" w:rsidR="008D5005" w:rsidRDefault="008D5005">
      <w:pPr>
        <w:spacing w:after="360"/>
      </w:pPr>
    </w:p>
    <w:p w14:paraId="1DECEA32" w14:textId="77777777" w:rsidR="008D5005" w:rsidRDefault="00000000">
      <w:pPr>
        <w:pStyle w:val="Heading1"/>
      </w:pPr>
      <w:r>
        <w:t>The Legal Framework</w:t>
      </w:r>
    </w:p>
    <w:p w14:paraId="24E14B9E" w14:textId="77777777" w:rsidR="008D5005" w:rsidRDefault="00000000">
      <w:pPr>
        <w:spacing w:after="180"/>
      </w:pPr>
      <w:r>
        <w:t>This guide addresses the situation where a student with dyslexia was falling grossly behind, made significant progress with private evidence-based tutoring, but then regressed when the school district failed to provide appropriate evidence-based dyslexia instruction from a qualified teacher.</w:t>
      </w:r>
    </w:p>
    <w:p w14:paraId="721EC2DD" w14:textId="77777777" w:rsidR="008D5005" w:rsidRDefault="00000000">
      <w:pPr>
        <w:pStyle w:val="Heading1"/>
      </w:pPr>
      <w:r>
        <w:t>School District's Legal Obligations</w:t>
      </w:r>
    </w:p>
    <w:p w14:paraId="212689A7" w14:textId="77777777" w:rsidR="008D5005" w:rsidRDefault="00000000">
      <w:pPr>
        <w:pStyle w:val="Heading2"/>
      </w:pPr>
      <w:r>
        <w:t>1. FAPE Requirement (Free Appropriate Public Education)</w:t>
      </w:r>
    </w:p>
    <w:p w14:paraId="5E7B9EC3" w14:textId="77777777" w:rsidR="008D5005" w:rsidRDefault="00000000">
      <w:pPr>
        <w:spacing w:after="180"/>
      </w:pPr>
      <w:r>
        <w:t xml:space="preserve">Under the Individuals with Disabilities Education Act (IDEA), school districts must provide an IEP that is </w:t>
      </w:r>
      <w:r>
        <w:rPr>
          <w:i/>
          <w:iCs/>
        </w:rPr>
        <w:t>"reasonably calculated to enable a child to make progress appropriate in light of the child's circumstances"</w:t>
      </w:r>
      <w:r>
        <w:t xml:space="preserve"> (Endrew F. v. Douglas County School District, 2017). When a student with dyslexia demonstrates that only structured, evidence-based instruction works for them, the district has specific obligations.</w:t>
      </w:r>
    </w:p>
    <w:p w14:paraId="4786898A" w14:textId="77777777" w:rsidR="008D5005" w:rsidRDefault="00000000">
      <w:pPr>
        <w:pStyle w:val="Heading2"/>
      </w:pPr>
      <w:r>
        <w:t>2. Evidence-Based Instruction Requirement</w:t>
      </w:r>
    </w:p>
    <w:p w14:paraId="0F573FCA" w14:textId="77777777" w:rsidR="008D5005" w:rsidRDefault="00000000">
      <w:pPr>
        <w:spacing w:after="180"/>
      </w:pPr>
      <w:r>
        <w:t>IDEA 2004 requires that special education and related services be provided through scientifically-based research methodologies to support evidence of their effectiveness. For students with dyslexia, this typically means structured literacy approaches like Orton-Gillingham, Wilson, or Barton Reading.</w:t>
      </w:r>
    </w:p>
    <w:p w14:paraId="2136D4E4" w14:textId="77777777" w:rsidR="008D5005" w:rsidRDefault="00000000">
      <w:pPr>
        <w:pStyle w:val="Heading2"/>
      </w:pPr>
      <w:r>
        <w:t>3. Methodology Can Be Required</w:t>
      </w:r>
    </w:p>
    <w:p w14:paraId="4F92049F" w14:textId="77777777" w:rsidR="008D5005" w:rsidRDefault="00000000">
      <w:pPr>
        <w:spacing w:after="180"/>
      </w:pPr>
      <w:r>
        <w:t xml:space="preserve">The 9th Circuit U.S. Court of Appeals confirmed in </w:t>
      </w:r>
      <w:r>
        <w:rPr>
          <w:i/>
          <w:iCs/>
        </w:rPr>
        <w:t>R.E.B. v. Hawaii Department of Education</w:t>
      </w:r>
      <w:r>
        <w:t xml:space="preserve"> (2017) that when a particular method is essential to a child's plan, it must be specified and implemented consistently. This is critical: if the private tutoring showed that the child can only learn through a specific methodology, that methodology must be written into the IEP.</w:t>
      </w:r>
    </w:p>
    <w:p w14:paraId="2FC820C7" w14:textId="77777777" w:rsidR="008D5005" w:rsidRDefault="00000000">
      <w:pPr>
        <w:pStyle w:val="Heading1"/>
      </w:pPr>
      <w:r>
        <w:t>School District Liability in This Case</w:t>
      </w:r>
    </w:p>
    <w:p w14:paraId="2B9E440B" w14:textId="77777777" w:rsidR="008D5005" w:rsidRDefault="00000000">
      <w:pPr>
        <w:spacing w:after="180"/>
      </w:pPr>
      <w:r>
        <w:rPr>
          <w:b/>
          <w:bCs/>
        </w:rPr>
        <w:t>Yes, the school district is potentially liable on multiple grounds:</w:t>
      </w:r>
    </w:p>
    <w:p w14:paraId="71A513FD" w14:textId="77777777" w:rsidR="008D5005" w:rsidRDefault="00000000">
      <w:pPr>
        <w:pStyle w:val="Heading2"/>
      </w:pPr>
      <w:r>
        <w:t>1. Denial of FAPE</w:t>
      </w:r>
    </w:p>
    <w:p w14:paraId="64FCC160" w14:textId="77777777" w:rsidR="008D5005" w:rsidRDefault="00000000">
      <w:pPr>
        <w:spacing w:after="120"/>
      </w:pPr>
      <w:r>
        <w:lastRenderedPageBreak/>
        <w:t>When a school district fails to implement an important or material part of the IEP, the district may be in violation of a student's right to a FAPE. The district's failure to provide evidence-based dyslexia instruction from a qualified teacher constitutes a substantive denial of FAPE because:</w:t>
      </w:r>
    </w:p>
    <w:p w14:paraId="4F937271" w14:textId="77777777" w:rsidR="008D5005" w:rsidRDefault="00000000">
      <w:pPr>
        <w:pStyle w:val="ListParagraph"/>
        <w:numPr>
          <w:ilvl w:val="0"/>
          <w:numId w:val="2"/>
        </w:numPr>
      </w:pPr>
      <w:r>
        <w:t>The child demonstrated she could learn with proper instruction (private tutoring)</w:t>
      </w:r>
    </w:p>
    <w:p w14:paraId="669A2879" w14:textId="77777777" w:rsidR="008D5005" w:rsidRDefault="00000000">
      <w:pPr>
        <w:pStyle w:val="ListParagraph"/>
        <w:numPr>
          <w:ilvl w:val="0"/>
          <w:numId w:val="2"/>
        </w:numPr>
      </w:pPr>
      <w:r>
        <w:t>The child regressed when returned to inadequate instruction</w:t>
      </w:r>
    </w:p>
    <w:p w14:paraId="430F987A" w14:textId="77777777" w:rsidR="008D5005" w:rsidRDefault="00000000">
      <w:pPr>
        <w:pStyle w:val="ListParagraph"/>
        <w:numPr>
          <w:ilvl w:val="0"/>
          <w:numId w:val="2"/>
        </w:numPr>
        <w:spacing w:after="180"/>
      </w:pPr>
      <w:r>
        <w:t>The district failed to provide instruction proven effective for dyslexia</w:t>
      </w:r>
    </w:p>
    <w:p w14:paraId="48595716" w14:textId="77777777" w:rsidR="008D5005" w:rsidRDefault="00000000">
      <w:pPr>
        <w:pStyle w:val="Heading2"/>
      </w:pPr>
      <w:r>
        <w:t>2. Failure to Provide Appropriate Methodology</w:t>
      </w:r>
    </w:p>
    <w:p w14:paraId="266ECDDF" w14:textId="77777777" w:rsidR="008D5005" w:rsidRDefault="00000000">
      <w:pPr>
        <w:spacing w:after="180"/>
      </w:pPr>
      <w:r>
        <w:t>The IEP needs to spell out that the student's services include evidence-based, structured literacy intervention that is systematic, cumulative, diagnostic and prescriptive. The district's failure to provide this when the child's needs were known represents both a procedural and substantive violation.</w:t>
      </w:r>
    </w:p>
    <w:p w14:paraId="03DCA68D" w14:textId="77777777" w:rsidR="008D5005" w:rsidRDefault="00000000">
      <w:pPr>
        <w:pStyle w:val="Heading2"/>
      </w:pPr>
      <w:r>
        <w:t>3. Regression as Evidence of Inappropriate Services</w:t>
      </w:r>
    </w:p>
    <w:p w14:paraId="42EE2E16" w14:textId="77777777" w:rsidR="008D5005" w:rsidRDefault="00000000">
      <w:pPr>
        <w:spacing w:after="180"/>
      </w:pPr>
      <w:r>
        <w:t>The district's failure to reassess the student's goals or special education when faced with lack of progress constitutes a substantive denial of FAPE. The child's regression after returning to district services is strong evidence that the IEP was not appropriate.</w:t>
      </w:r>
    </w:p>
    <w:p w14:paraId="466AEB0B" w14:textId="77777777" w:rsidR="008D5005" w:rsidRDefault="00000000">
      <w:pPr>
        <w:pStyle w:val="Heading1"/>
      </w:pPr>
      <w:r>
        <w:t>Parents' Options: A Strategic Approach</w:t>
      </w:r>
    </w:p>
    <w:p w14:paraId="0EC7D1CD" w14:textId="77777777" w:rsidR="008D5005" w:rsidRDefault="00000000">
      <w:pPr>
        <w:pStyle w:val="Heading2"/>
      </w:pPr>
      <w:r>
        <w:t>Immediate Actions (Start Here)</w:t>
      </w:r>
    </w:p>
    <w:p w14:paraId="22C85FEB" w14:textId="77777777" w:rsidR="008D5005" w:rsidRDefault="00000000">
      <w:pPr>
        <w:pStyle w:val="Heading3"/>
      </w:pPr>
      <w:r>
        <w:t>1. Document Everything</w:t>
      </w:r>
    </w:p>
    <w:p w14:paraId="7C1487EB" w14:textId="77777777" w:rsidR="008D5005" w:rsidRDefault="00000000">
      <w:pPr>
        <w:spacing w:after="120"/>
      </w:pPr>
      <w:r>
        <w:t xml:space="preserve">Keep detailed records of instances where the school fails to implement appropriate instruction. </w:t>
      </w:r>
      <w:proofErr w:type="gramStart"/>
      <w:r>
        <w:t>Specifically</w:t>
      </w:r>
      <w:proofErr w:type="gramEnd"/>
      <w:r>
        <w:t xml:space="preserve"> document:</w:t>
      </w:r>
    </w:p>
    <w:p w14:paraId="3AAF4280" w14:textId="77777777" w:rsidR="008D5005" w:rsidRDefault="00000000">
      <w:pPr>
        <w:pStyle w:val="ListParagraph"/>
        <w:numPr>
          <w:ilvl w:val="0"/>
          <w:numId w:val="2"/>
        </w:numPr>
      </w:pPr>
      <w:r>
        <w:t>Private tutoring progress reports and assessments</w:t>
      </w:r>
    </w:p>
    <w:p w14:paraId="7096F35A" w14:textId="77777777" w:rsidR="008D5005" w:rsidRDefault="00000000">
      <w:pPr>
        <w:pStyle w:val="ListParagraph"/>
        <w:numPr>
          <w:ilvl w:val="0"/>
          <w:numId w:val="2"/>
        </w:numPr>
      </w:pPr>
      <w:r>
        <w:t>District instruction methods and qualifications of instructors</w:t>
      </w:r>
    </w:p>
    <w:p w14:paraId="6A02AF24" w14:textId="77777777" w:rsidR="008D5005" w:rsidRDefault="00000000">
      <w:pPr>
        <w:pStyle w:val="ListParagraph"/>
        <w:numPr>
          <w:ilvl w:val="0"/>
          <w:numId w:val="2"/>
        </w:numPr>
      </w:pPr>
      <w:r>
        <w:t>Evidence of regression (testing, grades, teacher observations)</w:t>
      </w:r>
    </w:p>
    <w:p w14:paraId="0405E434" w14:textId="77777777" w:rsidR="008D5005" w:rsidRDefault="00000000">
      <w:pPr>
        <w:pStyle w:val="ListParagraph"/>
        <w:numPr>
          <w:ilvl w:val="0"/>
          <w:numId w:val="2"/>
        </w:numPr>
        <w:spacing w:after="180"/>
      </w:pPr>
      <w:r>
        <w:t>All communications with the district about reading instruction</w:t>
      </w:r>
    </w:p>
    <w:p w14:paraId="7110567C" w14:textId="77777777" w:rsidR="008D5005" w:rsidRDefault="00000000">
      <w:pPr>
        <w:pStyle w:val="Heading3"/>
      </w:pPr>
      <w:r>
        <w:t>2. Obtain Independent Educational Evaluation (IEE)</w:t>
      </w:r>
    </w:p>
    <w:p w14:paraId="1AD2CAB6" w14:textId="77777777" w:rsidR="008D5005" w:rsidRDefault="00000000">
      <w:pPr>
        <w:spacing w:after="120"/>
      </w:pPr>
      <w:r>
        <w:t>Get a comprehensive evaluation from a qualified professional that:</w:t>
      </w:r>
    </w:p>
    <w:p w14:paraId="23B75EBE" w14:textId="77777777" w:rsidR="008D5005" w:rsidRDefault="00000000">
      <w:pPr>
        <w:pStyle w:val="ListParagraph"/>
        <w:numPr>
          <w:ilvl w:val="0"/>
          <w:numId w:val="2"/>
        </w:numPr>
      </w:pPr>
      <w:r>
        <w:t>Documents the dyslexia diagnosis</w:t>
      </w:r>
    </w:p>
    <w:p w14:paraId="4CBA6275" w14:textId="77777777" w:rsidR="008D5005" w:rsidRDefault="00000000">
      <w:pPr>
        <w:pStyle w:val="ListParagraph"/>
        <w:numPr>
          <w:ilvl w:val="0"/>
          <w:numId w:val="2"/>
        </w:numPr>
      </w:pPr>
      <w:r>
        <w:t>Identifies the specific structured literacy methodology needed</w:t>
      </w:r>
    </w:p>
    <w:p w14:paraId="25600EA1" w14:textId="77777777" w:rsidR="008D5005" w:rsidRDefault="00000000">
      <w:pPr>
        <w:pStyle w:val="ListParagraph"/>
        <w:numPr>
          <w:ilvl w:val="0"/>
          <w:numId w:val="2"/>
        </w:numPr>
      </w:pPr>
      <w:r>
        <w:t>Shows the child's progress with that methodology</w:t>
      </w:r>
    </w:p>
    <w:p w14:paraId="711DEE15" w14:textId="77777777" w:rsidR="008D5005" w:rsidRDefault="00000000">
      <w:pPr>
        <w:pStyle w:val="ListParagraph"/>
        <w:numPr>
          <w:ilvl w:val="0"/>
          <w:numId w:val="2"/>
        </w:numPr>
        <w:spacing w:after="180"/>
      </w:pPr>
      <w:r>
        <w:t>Demonstrates regression without it</w:t>
      </w:r>
    </w:p>
    <w:p w14:paraId="2443934B" w14:textId="77777777" w:rsidR="008D5005" w:rsidRDefault="00000000">
      <w:pPr>
        <w:pStyle w:val="Heading3"/>
      </w:pPr>
      <w:r>
        <w:t>3. Request an IEP Meeting</w:t>
      </w:r>
    </w:p>
    <w:p w14:paraId="4F765ADE" w14:textId="77777777" w:rsidR="008D5005" w:rsidRDefault="00000000">
      <w:pPr>
        <w:spacing w:after="120"/>
      </w:pPr>
      <w:r>
        <w:t>Send an email to the IEP team (teacher, case manager, principal, special ed administrator) requesting a meeting. In your written request, state:</w:t>
      </w:r>
    </w:p>
    <w:p w14:paraId="0A88E073" w14:textId="77777777" w:rsidR="008D5005" w:rsidRDefault="00000000">
      <w:pPr>
        <w:spacing w:before="180" w:after="180"/>
        <w:ind w:left="720" w:right="720"/>
      </w:pPr>
      <w:r>
        <w:rPr>
          <w:i/>
          <w:iCs/>
        </w:rPr>
        <w:t xml:space="preserve">"I am requesting an IEP team meeting to discuss [child's name]'s lack of progress and regression in reading. [Child] made significant progress with evidence-based structured literacy instruction through </w:t>
      </w:r>
      <w:r>
        <w:rPr>
          <w:i/>
          <w:iCs/>
        </w:rPr>
        <w:lastRenderedPageBreak/>
        <w:t>private tutoring. Since returning to district instruction, she has regressed. I am requesting that the IEP include specific evidence-based dyslexia instruction using [specific methodology, e.g., Orton-Gillingham approach] provided by a teacher trained in this methodology."</w:t>
      </w:r>
    </w:p>
    <w:p w14:paraId="40176189" w14:textId="77777777" w:rsidR="008D5005" w:rsidRDefault="00000000">
      <w:pPr>
        <w:pStyle w:val="Heading3"/>
      </w:pPr>
      <w:r>
        <w:t>4. Request Prior Written Notice (PWN)</w:t>
      </w:r>
    </w:p>
    <w:p w14:paraId="5C05A2BA" w14:textId="77777777" w:rsidR="008D5005" w:rsidRDefault="00000000">
      <w:pPr>
        <w:spacing w:after="180"/>
      </w:pPr>
      <w:r>
        <w:t>If the district refuses to identify the diagnosis or include a methodology, request a Prior Written Notice under 34 C.F.R. § 300.503 requiring them to explain the refusal in writing. This creates a paper trail essential for any future proceedings.</w:t>
      </w:r>
    </w:p>
    <w:p w14:paraId="5F40B13B" w14:textId="77777777" w:rsidR="008D5005" w:rsidRDefault="00000000">
      <w:pPr>
        <w:pStyle w:val="Heading2"/>
      </w:pPr>
      <w:r>
        <w:t>Building Your Case</w:t>
      </w:r>
    </w:p>
    <w:p w14:paraId="4FDC0158" w14:textId="77777777" w:rsidR="008D5005" w:rsidRDefault="00000000">
      <w:pPr>
        <w:pStyle w:val="Heading3"/>
      </w:pPr>
      <w:r>
        <w:t>What to Include in the IEP</w:t>
      </w:r>
    </w:p>
    <w:p w14:paraId="462C6FCD" w14:textId="77777777" w:rsidR="008D5005" w:rsidRDefault="00000000">
      <w:pPr>
        <w:spacing w:after="120"/>
      </w:pPr>
      <w:r>
        <w:t>The IEP must specify:</w:t>
      </w:r>
    </w:p>
    <w:p w14:paraId="31C9D55A" w14:textId="77777777" w:rsidR="008D5005" w:rsidRDefault="00000000">
      <w:pPr>
        <w:pStyle w:val="Heading3"/>
      </w:pPr>
      <w:r>
        <w:t>1. Present Levels of Academic Achievement and Functional Performance (PLAAFP)</w:t>
      </w:r>
    </w:p>
    <w:p w14:paraId="270ABB48" w14:textId="77777777" w:rsidR="008D5005" w:rsidRDefault="00000000">
      <w:pPr>
        <w:pStyle w:val="ListParagraph"/>
        <w:numPr>
          <w:ilvl w:val="0"/>
          <w:numId w:val="2"/>
        </w:numPr>
      </w:pPr>
      <w:r>
        <w:t>Use objective, data-based descriptions from multiple sources including standardized testing, evaluations, grades, observations, and progress monitoring</w:t>
      </w:r>
    </w:p>
    <w:p w14:paraId="61BF8DF9" w14:textId="77777777" w:rsidR="008D5005" w:rsidRDefault="00000000">
      <w:pPr>
        <w:pStyle w:val="ListParagraph"/>
        <w:numPr>
          <w:ilvl w:val="0"/>
          <w:numId w:val="2"/>
        </w:numPr>
      </w:pPr>
      <w:r>
        <w:t>Include private tutoring data showing progress</w:t>
      </w:r>
    </w:p>
    <w:p w14:paraId="0CB67AFA" w14:textId="77777777" w:rsidR="008D5005" w:rsidRDefault="00000000">
      <w:pPr>
        <w:pStyle w:val="ListParagraph"/>
        <w:numPr>
          <w:ilvl w:val="0"/>
          <w:numId w:val="2"/>
        </w:numPr>
        <w:spacing w:after="180"/>
      </w:pPr>
      <w:r>
        <w:t>Include current district data showing regression</w:t>
      </w:r>
    </w:p>
    <w:p w14:paraId="4F98836A" w14:textId="77777777" w:rsidR="008D5005" w:rsidRDefault="00000000">
      <w:pPr>
        <w:pStyle w:val="Heading3"/>
      </w:pPr>
      <w:r>
        <w:t>2. Specific Methodology</w:t>
      </w:r>
    </w:p>
    <w:p w14:paraId="28F654FF" w14:textId="77777777" w:rsidR="008D5005" w:rsidRDefault="00000000">
      <w:pPr>
        <w:spacing w:after="180"/>
      </w:pPr>
      <w:r>
        <w:t>The evidence-based dyslexia program should be documented in the IEP as a special education service required for the provision of FAPE, with the methodology described (e.g., "structured literacy approach consistent with Orton-Gillingham principles").</w:t>
      </w:r>
    </w:p>
    <w:p w14:paraId="0D278C2A" w14:textId="77777777" w:rsidR="008D5005" w:rsidRDefault="00000000">
      <w:pPr>
        <w:pStyle w:val="Heading3"/>
      </w:pPr>
      <w:r>
        <w:t>3. Qualified Instructor</w:t>
      </w:r>
    </w:p>
    <w:p w14:paraId="4138CC59" w14:textId="77777777" w:rsidR="008D5005" w:rsidRDefault="00000000">
      <w:pPr>
        <w:spacing w:after="180"/>
      </w:pPr>
      <w:r>
        <w:t>The International Dyslexia Association states that instructors should be "trained and experienced in the use of Structured Literacy, Orton Gillingham, Multi-Sensory, Explicit Phonics or other programs."</w:t>
      </w:r>
    </w:p>
    <w:p w14:paraId="3B0448CD" w14:textId="77777777" w:rsidR="008D5005" w:rsidRDefault="00000000">
      <w:pPr>
        <w:pStyle w:val="Heading3"/>
      </w:pPr>
      <w:r>
        <w:t>4. Measurable Annual Goals</w:t>
      </w:r>
    </w:p>
    <w:p w14:paraId="2E69AB7A" w14:textId="77777777" w:rsidR="008D5005" w:rsidRDefault="00000000">
      <w:pPr>
        <w:pStyle w:val="ListParagraph"/>
        <w:numPr>
          <w:ilvl w:val="0"/>
          <w:numId w:val="2"/>
        </w:numPr>
      </w:pPr>
      <w:r>
        <w:t>Goals should be specific to the student's area of need, measurable with clear criteria for success, and include evidence-based strategies</w:t>
      </w:r>
    </w:p>
    <w:p w14:paraId="26E43A58" w14:textId="77777777" w:rsidR="008D5005" w:rsidRDefault="00000000">
      <w:pPr>
        <w:pStyle w:val="ListParagraph"/>
        <w:numPr>
          <w:ilvl w:val="0"/>
          <w:numId w:val="2"/>
        </w:numPr>
        <w:spacing w:after="180"/>
      </w:pPr>
      <w:r>
        <w:t>Address phonemic awareness, decoding, fluency, and comprehension</w:t>
      </w:r>
    </w:p>
    <w:p w14:paraId="1C9EFF56" w14:textId="77777777" w:rsidR="008D5005" w:rsidRDefault="00000000">
      <w:pPr>
        <w:pStyle w:val="Heading3"/>
      </w:pPr>
      <w:r>
        <w:t>5. Adequate Service Time</w:t>
      </w:r>
    </w:p>
    <w:p w14:paraId="1AB65704" w14:textId="77777777" w:rsidR="008D5005" w:rsidRDefault="00000000">
      <w:pPr>
        <w:spacing w:after="180"/>
      </w:pPr>
      <w:r>
        <w:t>Many students with dyslexia require at least an hour per day, taught by trained educators, to make meaningful progress.</w:t>
      </w:r>
    </w:p>
    <w:p w14:paraId="603506F3" w14:textId="77777777" w:rsidR="008D5005" w:rsidRDefault="00000000">
      <w:pPr>
        <w:pStyle w:val="Heading2"/>
      </w:pPr>
      <w:r>
        <w:t>If the District Refuses: Remedies Available</w:t>
      </w:r>
    </w:p>
    <w:p w14:paraId="6D587197" w14:textId="77777777" w:rsidR="008D5005" w:rsidRDefault="00000000">
      <w:pPr>
        <w:pStyle w:val="Heading3"/>
      </w:pPr>
      <w:r>
        <w:t>1. Compensatory Education</w:t>
      </w:r>
    </w:p>
    <w:p w14:paraId="750A9B79" w14:textId="77777777" w:rsidR="008D5005" w:rsidRDefault="00000000">
      <w:pPr>
        <w:spacing w:after="120"/>
      </w:pPr>
      <w:r>
        <w:t xml:space="preserve">Compensatory education is an educational fund or services put in place to help a child catch up where deficiencies have been found in meeting IEP goals, designed to </w:t>
      </w:r>
      <w:r>
        <w:lastRenderedPageBreak/>
        <w:t>take a child who is behind to the level they should have been if there had not been a violation.</w:t>
      </w:r>
    </w:p>
    <w:p w14:paraId="32FB6745" w14:textId="77777777" w:rsidR="008D5005" w:rsidRDefault="00000000">
      <w:pPr>
        <w:spacing w:after="120"/>
      </w:pPr>
      <w:r>
        <w:rPr>
          <w:b/>
          <w:bCs/>
        </w:rPr>
        <w:t>How to Request:</w:t>
      </w:r>
    </w:p>
    <w:p w14:paraId="71B594B6" w14:textId="77777777" w:rsidR="008D5005" w:rsidRDefault="00000000">
      <w:pPr>
        <w:pStyle w:val="ListParagraph"/>
        <w:numPr>
          <w:ilvl w:val="0"/>
          <w:numId w:val="2"/>
        </w:numPr>
      </w:pPr>
      <w:r>
        <w:t>Calculate hours based on the time period when appropriate services were not provided; one common calculation allots for one hour per week of school (38 hours per school year), though this can be doubled depending on need</w:t>
      </w:r>
    </w:p>
    <w:p w14:paraId="5E16F15E" w14:textId="77777777" w:rsidR="008D5005" w:rsidRDefault="00000000">
      <w:pPr>
        <w:pStyle w:val="ListParagraph"/>
        <w:numPr>
          <w:ilvl w:val="0"/>
          <w:numId w:val="2"/>
        </w:numPr>
      </w:pPr>
      <w:r>
        <w:t>Request services from qualified private providers specializing in dyslexia</w:t>
      </w:r>
    </w:p>
    <w:p w14:paraId="313688AD" w14:textId="77777777" w:rsidR="008D5005" w:rsidRDefault="00000000">
      <w:pPr>
        <w:pStyle w:val="ListParagraph"/>
        <w:numPr>
          <w:ilvl w:val="0"/>
          <w:numId w:val="2"/>
        </w:numPr>
        <w:spacing w:after="180"/>
      </w:pPr>
      <w:r>
        <w:t>Services could be provided by outside providers contracted with the school district, by independent outside providers, and/or in some circumstances parents could receive monetary reimbursement for services</w:t>
      </w:r>
    </w:p>
    <w:p w14:paraId="14263369" w14:textId="77777777" w:rsidR="008D5005" w:rsidRDefault="00000000">
      <w:pPr>
        <w:pStyle w:val="Heading3"/>
      </w:pPr>
      <w:r>
        <w:t>2. Tuition Reimbursement</w:t>
      </w:r>
    </w:p>
    <w:p w14:paraId="188EFF77" w14:textId="77777777" w:rsidR="008D5005" w:rsidRDefault="00000000">
      <w:pPr>
        <w:spacing w:after="120"/>
      </w:pPr>
      <w:r>
        <w:t>If parents provide the school with written notice at least 10 business days prior to enrolling the student in a private school and advise the public school of the intention to enroll at an IEP meeting, the parent may pursue reimbursement from the public school. This applies if:</w:t>
      </w:r>
    </w:p>
    <w:p w14:paraId="40EB342C" w14:textId="77777777" w:rsidR="008D5005" w:rsidRDefault="00000000">
      <w:pPr>
        <w:pStyle w:val="ListParagraph"/>
        <w:numPr>
          <w:ilvl w:val="0"/>
          <w:numId w:val="2"/>
        </w:numPr>
      </w:pPr>
      <w:r>
        <w:t>The district cannot provide appropriate services</w:t>
      </w:r>
    </w:p>
    <w:p w14:paraId="1A3D61D1" w14:textId="77777777" w:rsidR="008D5005" w:rsidRDefault="00000000">
      <w:pPr>
        <w:pStyle w:val="ListParagraph"/>
        <w:numPr>
          <w:ilvl w:val="0"/>
          <w:numId w:val="2"/>
        </w:numPr>
      </w:pPr>
      <w:r>
        <w:t>A specialized private school for dyslexia is necessary</w:t>
      </w:r>
    </w:p>
    <w:p w14:paraId="3FDE3CA2" w14:textId="77777777" w:rsidR="008D5005" w:rsidRDefault="00000000">
      <w:pPr>
        <w:pStyle w:val="ListParagraph"/>
        <w:numPr>
          <w:ilvl w:val="0"/>
          <w:numId w:val="2"/>
        </w:numPr>
        <w:spacing w:after="180"/>
      </w:pPr>
      <w:r>
        <w:t>Parents can demonstrate the public school was not providing FAPE</w:t>
      </w:r>
    </w:p>
    <w:p w14:paraId="4BC8E50C" w14:textId="77777777" w:rsidR="008D5005" w:rsidRDefault="00000000">
      <w:pPr>
        <w:pStyle w:val="Heading3"/>
      </w:pPr>
      <w:r>
        <w:t>3. Due Process Hearing</w:t>
      </w:r>
    </w:p>
    <w:p w14:paraId="7507E129" w14:textId="77777777" w:rsidR="008D5005" w:rsidRDefault="00000000">
      <w:pPr>
        <w:spacing w:after="120"/>
      </w:pPr>
      <w:r>
        <w:t xml:space="preserve">The Office </w:t>
      </w:r>
      <w:proofErr w:type="gramStart"/>
      <w:r>
        <w:t>For</w:t>
      </w:r>
      <w:proofErr w:type="gramEnd"/>
      <w:r>
        <w:t xml:space="preserve"> Dispute Resolution typically hears claims for compensatory education, with a hearing officer specialized in special education matters hearing the claim. Consider this path if:</w:t>
      </w:r>
    </w:p>
    <w:p w14:paraId="4A55E000" w14:textId="77777777" w:rsidR="008D5005" w:rsidRDefault="00000000">
      <w:pPr>
        <w:pStyle w:val="ListParagraph"/>
        <w:numPr>
          <w:ilvl w:val="0"/>
          <w:numId w:val="2"/>
        </w:numPr>
      </w:pPr>
      <w:r>
        <w:t>The district refuses to provide appropriate methodology</w:t>
      </w:r>
    </w:p>
    <w:p w14:paraId="5B7F2E73" w14:textId="77777777" w:rsidR="008D5005" w:rsidRDefault="00000000">
      <w:pPr>
        <w:pStyle w:val="ListParagraph"/>
        <w:numPr>
          <w:ilvl w:val="0"/>
          <w:numId w:val="2"/>
        </w:numPr>
      </w:pPr>
      <w:r>
        <w:t>The child continues to regress</w:t>
      </w:r>
    </w:p>
    <w:p w14:paraId="3925D270" w14:textId="77777777" w:rsidR="008D5005" w:rsidRDefault="00000000">
      <w:pPr>
        <w:pStyle w:val="ListParagraph"/>
        <w:numPr>
          <w:ilvl w:val="0"/>
          <w:numId w:val="2"/>
        </w:numPr>
        <w:spacing w:after="180"/>
      </w:pPr>
      <w:r>
        <w:t>Informal resolution attempts fail</w:t>
      </w:r>
    </w:p>
    <w:p w14:paraId="7B06D24C" w14:textId="77777777" w:rsidR="008D5005" w:rsidRDefault="00000000">
      <w:pPr>
        <w:pStyle w:val="Heading2"/>
      </w:pPr>
      <w:r>
        <w:t>Resolution Path (Recommended Sequence)</w:t>
      </w:r>
    </w:p>
    <w:p w14:paraId="4FBEB5FA" w14:textId="77777777" w:rsidR="008D5005" w:rsidRDefault="00000000">
      <w:pPr>
        <w:pStyle w:val="Heading3"/>
      </w:pPr>
      <w:r>
        <w:t>Phase 1: Collaborative Resolution (30-60 days)</w:t>
      </w:r>
    </w:p>
    <w:p w14:paraId="62582823" w14:textId="77777777" w:rsidR="008D5005" w:rsidRDefault="00000000">
      <w:pPr>
        <w:pStyle w:val="ListParagraph"/>
        <w:numPr>
          <w:ilvl w:val="0"/>
          <w:numId w:val="3"/>
        </w:numPr>
      </w:pPr>
      <w:r>
        <w:t>Request IEP meeting with documentation</w:t>
      </w:r>
    </w:p>
    <w:p w14:paraId="6B08AB44" w14:textId="77777777" w:rsidR="008D5005" w:rsidRDefault="00000000">
      <w:pPr>
        <w:pStyle w:val="ListParagraph"/>
        <w:numPr>
          <w:ilvl w:val="0"/>
          <w:numId w:val="3"/>
        </w:numPr>
      </w:pPr>
      <w:r>
        <w:t>Present data showing progress with private tutoring</w:t>
      </w:r>
    </w:p>
    <w:p w14:paraId="469F46C4" w14:textId="77777777" w:rsidR="008D5005" w:rsidRDefault="00000000">
      <w:pPr>
        <w:pStyle w:val="ListParagraph"/>
        <w:numPr>
          <w:ilvl w:val="0"/>
          <w:numId w:val="3"/>
        </w:numPr>
      </w:pPr>
      <w:r>
        <w:t>Present data showing regression with district instruction</w:t>
      </w:r>
    </w:p>
    <w:p w14:paraId="676A98CE" w14:textId="77777777" w:rsidR="008D5005" w:rsidRDefault="00000000">
      <w:pPr>
        <w:pStyle w:val="ListParagraph"/>
        <w:numPr>
          <w:ilvl w:val="0"/>
          <w:numId w:val="3"/>
        </w:numPr>
      </w:pPr>
      <w:r>
        <w:t>Request specific methodology be added to IEP</w:t>
      </w:r>
    </w:p>
    <w:p w14:paraId="7F74FB3C" w14:textId="77777777" w:rsidR="008D5005" w:rsidRDefault="00000000">
      <w:pPr>
        <w:pStyle w:val="ListParagraph"/>
        <w:numPr>
          <w:ilvl w:val="0"/>
          <w:numId w:val="3"/>
        </w:numPr>
      </w:pPr>
      <w:r>
        <w:t>Request qualified instructor</w:t>
      </w:r>
    </w:p>
    <w:p w14:paraId="45D73C49" w14:textId="77777777" w:rsidR="008D5005" w:rsidRDefault="00000000">
      <w:pPr>
        <w:pStyle w:val="ListParagraph"/>
        <w:numPr>
          <w:ilvl w:val="0"/>
          <w:numId w:val="3"/>
        </w:numPr>
        <w:spacing w:after="180"/>
      </w:pPr>
      <w:r>
        <w:t>Get PWN if refused</w:t>
      </w:r>
    </w:p>
    <w:p w14:paraId="6D30905D" w14:textId="77777777" w:rsidR="008D5005" w:rsidRDefault="00000000">
      <w:pPr>
        <w:pStyle w:val="Heading3"/>
      </w:pPr>
      <w:r>
        <w:t>Phase 2: Formal Complaint (if Phase 1 fails)</w:t>
      </w:r>
    </w:p>
    <w:p w14:paraId="7B1F2370" w14:textId="77777777" w:rsidR="008D5005" w:rsidRDefault="00000000">
      <w:pPr>
        <w:pStyle w:val="ListParagraph"/>
        <w:numPr>
          <w:ilvl w:val="0"/>
          <w:numId w:val="3"/>
        </w:numPr>
      </w:pPr>
      <w:r>
        <w:t>File state complaint with Department of Education</w:t>
      </w:r>
    </w:p>
    <w:p w14:paraId="749F7001" w14:textId="77777777" w:rsidR="008D5005" w:rsidRDefault="00000000">
      <w:pPr>
        <w:pStyle w:val="ListParagraph"/>
        <w:numPr>
          <w:ilvl w:val="0"/>
          <w:numId w:val="3"/>
        </w:numPr>
      </w:pPr>
      <w:r>
        <w:t>Request compensatory education for time lost</w:t>
      </w:r>
    </w:p>
    <w:p w14:paraId="2398BAFE" w14:textId="77777777" w:rsidR="008D5005" w:rsidRDefault="00000000">
      <w:pPr>
        <w:pStyle w:val="ListParagraph"/>
        <w:numPr>
          <w:ilvl w:val="0"/>
          <w:numId w:val="3"/>
        </w:numPr>
      </w:pPr>
      <w:r>
        <w:t>Consider mediation</w:t>
      </w:r>
    </w:p>
    <w:p w14:paraId="354A7A04" w14:textId="77777777" w:rsidR="008D5005" w:rsidRDefault="00000000">
      <w:pPr>
        <w:pStyle w:val="ListParagraph"/>
        <w:numPr>
          <w:ilvl w:val="0"/>
          <w:numId w:val="3"/>
        </w:numPr>
        <w:spacing w:after="180"/>
      </w:pPr>
      <w:r>
        <w:t>Continue documenting regression</w:t>
      </w:r>
    </w:p>
    <w:p w14:paraId="0537B9D5" w14:textId="77777777" w:rsidR="008D5005" w:rsidRDefault="00000000">
      <w:pPr>
        <w:pStyle w:val="Heading3"/>
      </w:pPr>
      <w:r>
        <w:t>Phase 3: Due Process (if necessary)</w:t>
      </w:r>
    </w:p>
    <w:p w14:paraId="45E0D3B4" w14:textId="77777777" w:rsidR="008D5005" w:rsidRDefault="00000000">
      <w:pPr>
        <w:pStyle w:val="ListParagraph"/>
        <w:numPr>
          <w:ilvl w:val="0"/>
          <w:numId w:val="3"/>
        </w:numPr>
      </w:pPr>
      <w:r>
        <w:t>File for due process hearing</w:t>
      </w:r>
    </w:p>
    <w:p w14:paraId="5D268A7D" w14:textId="77777777" w:rsidR="008D5005" w:rsidRDefault="00000000">
      <w:pPr>
        <w:pStyle w:val="ListParagraph"/>
        <w:numPr>
          <w:ilvl w:val="0"/>
          <w:numId w:val="3"/>
        </w:numPr>
        <w:spacing w:after="120"/>
      </w:pPr>
      <w:r>
        <w:t>Request:</w:t>
      </w:r>
    </w:p>
    <w:p w14:paraId="2A9BBF0B" w14:textId="77777777" w:rsidR="008D5005" w:rsidRDefault="00000000">
      <w:pPr>
        <w:ind w:left="1080"/>
      </w:pPr>
      <w:r>
        <w:lastRenderedPageBreak/>
        <w:t>• Prospective relief (appropriate IEP going forward)</w:t>
      </w:r>
    </w:p>
    <w:p w14:paraId="33FCD679" w14:textId="77777777" w:rsidR="008D5005" w:rsidRDefault="00000000">
      <w:pPr>
        <w:ind w:left="1080"/>
      </w:pPr>
      <w:r>
        <w:t>• Compensatory education for past denial of FAPE</w:t>
      </w:r>
    </w:p>
    <w:p w14:paraId="05BCB2C2" w14:textId="77777777" w:rsidR="008D5005" w:rsidRDefault="00000000">
      <w:pPr>
        <w:ind w:left="1080"/>
      </w:pPr>
      <w:r>
        <w:t>• Reimbursement for private tutoring already paid</w:t>
      </w:r>
    </w:p>
    <w:p w14:paraId="332264F0" w14:textId="77777777" w:rsidR="008D5005" w:rsidRDefault="00000000">
      <w:pPr>
        <w:spacing w:after="180"/>
        <w:ind w:left="1080"/>
      </w:pPr>
      <w:r>
        <w:t>• Attorney's fees if you prevail</w:t>
      </w:r>
    </w:p>
    <w:p w14:paraId="49872853" w14:textId="77777777" w:rsidR="008D5005" w:rsidRDefault="00000000">
      <w:pPr>
        <w:pStyle w:val="Heading1"/>
      </w:pPr>
      <w:r>
        <w:t>Strengthening Your Case</w:t>
      </w:r>
    </w:p>
    <w:p w14:paraId="6122C986" w14:textId="77777777" w:rsidR="008D5005" w:rsidRDefault="00000000">
      <w:pPr>
        <w:pStyle w:val="Heading2"/>
      </w:pPr>
      <w:r>
        <w:t>Key Arguments to Make</w:t>
      </w:r>
    </w:p>
    <w:p w14:paraId="0E99FD90" w14:textId="77777777" w:rsidR="008D5005" w:rsidRDefault="00000000">
      <w:pPr>
        <w:pStyle w:val="Heading3"/>
      </w:pPr>
      <w:r>
        <w:t>1. Progress Data Shows Methodology Works</w:t>
      </w:r>
    </w:p>
    <w:p w14:paraId="44A135A9" w14:textId="77777777" w:rsidR="008D5005" w:rsidRDefault="00000000">
      <w:pPr>
        <w:pStyle w:val="ListParagraph"/>
        <w:numPr>
          <w:ilvl w:val="0"/>
          <w:numId w:val="2"/>
        </w:numPr>
      </w:pPr>
      <w:r>
        <w:t>Private tutoring with structured literacy = progress</w:t>
      </w:r>
    </w:p>
    <w:p w14:paraId="77945EA5" w14:textId="77777777" w:rsidR="008D5005" w:rsidRDefault="00000000">
      <w:pPr>
        <w:pStyle w:val="ListParagraph"/>
        <w:numPr>
          <w:ilvl w:val="0"/>
          <w:numId w:val="2"/>
        </w:numPr>
      </w:pPr>
      <w:r>
        <w:t>District instruction without proper methodology = regression</w:t>
      </w:r>
    </w:p>
    <w:p w14:paraId="11FFE05F" w14:textId="77777777" w:rsidR="008D5005" w:rsidRDefault="00000000">
      <w:pPr>
        <w:pStyle w:val="ListParagraph"/>
        <w:numPr>
          <w:ilvl w:val="0"/>
          <w:numId w:val="2"/>
        </w:numPr>
        <w:spacing w:after="180"/>
      </w:pPr>
      <w:r>
        <w:t>Therefore, the methodology is essential to FAPE</w:t>
      </w:r>
    </w:p>
    <w:p w14:paraId="204F5CE1" w14:textId="77777777" w:rsidR="008D5005" w:rsidRDefault="00000000">
      <w:pPr>
        <w:pStyle w:val="Heading3"/>
      </w:pPr>
      <w:r>
        <w:t>2. Dyslexia Requires Specific Instruction</w:t>
      </w:r>
    </w:p>
    <w:p w14:paraId="1FAAD857" w14:textId="77777777" w:rsidR="008D5005" w:rsidRDefault="00000000">
      <w:pPr>
        <w:pStyle w:val="ListParagraph"/>
        <w:numPr>
          <w:ilvl w:val="0"/>
          <w:numId w:val="2"/>
        </w:numPr>
      </w:pPr>
      <w:r>
        <w:t>Children with dyslexia cannot learn foundational skills with a generic whole word approach; they need specific instruction to target those needs</w:t>
      </w:r>
    </w:p>
    <w:p w14:paraId="783A48B6" w14:textId="77777777" w:rsidR="008D5005" w:rsidRDefault="00000000">
      <w:pPr>
        <w:pStyle w:val="ListParagraph"/>
        <w:numPr>
          <w:ilvl w:val="0"/>
          <w:numId w:val="2"/>
        </w:numPr>
        <w:spacing w:after="180"/>
      </w:pPr>
      <w:r>
        <w:t>Evidence-based reading instruction for dyslexia must include systematic, explicit, multisensory, and diagnostic instruction following structured literacy principles</w:t>
      </w:r>
    </w:p>
    <w:p w14:paraId="6F04566A" w14:textId="77777777" w:rsidR="008D5005" w:rsidRDefault="00000000">
      <w:pPr>
        <w:pStyle w:val="Heading3"/>
      </w:pPr>
      <w:r>
        <w:t>3. District Has Knowledge of Need</w:t>
      </w:r>
    </w:p>
    <w:p w14:paraId="14741AB8" w14:textId="77777777" w:rsidR="008D5005" w:rsidRDefault="00000000">
      <w:pPr>
        <w:pStyle w:val="ListParagraph"/>
        <w:numPr>
          <w:ilvl w:val="0"/>
          <w:numId w:val="2"/>
        </w:numPr>
        <w:spacing w:after="180"/>
      </w:pPr>
      <w:r>
        <w:t>The case against the school district will be stronger if the district actually knew of the educational deficiency or the parents had complained. Your documentation of private tutoring success puts district on notice.</w:t>
      </w:r>
    </w:p>
    <w:p w14:paraId="4531C236" w14:textId="77777777" w:rsidR="008D5005" w:rsidRDefault="00000000">
      <w:pPr>
        <w:pStyle w:val="Heading3"/>
      </w:pPr>
      <w:r>
        <w:t>4. Regression Proves Inadequacy</w:t>
      </w:r>
    </w:p>
    <w:p w14:paraId="20F46264" w14:textId="77777777" w:rsidR="008D5005" w:rsidRDefault="00000000">
      <w:pPr>
        <w:spacing w:after="180"/>
      </w:pPr>
      <w:r>
        <w:t>If the IEP is written properly and objective testing shows that your child is not learning and progressing as expected, then the educational plan is not appropriate and your child is regressing.</w:t>
      </w:r>
    </w:p>
    <w:p w14:paraId="5A6F68D3" w14:textId="77777777" w:rsidR="008D5005" w:rsidRDefault="00000000">
      <w:pPr>
        <w:pStyle w:val="Heading1"/>
      </w:pPr>
      <w:r>
        <w:t>Important Considerations</w:t>
      </w:r>
    </w:p>
    <w:p w14:paraId="7F153FF7" w14:textId="77777777" w:rsidR="008D5005" w:rsidRDefault="00000000">
      <w:pPr>
        <w:pStyle w:val="Heading3"/>
      </w:pPr>
      <w:r>
        <w:t>1. Timeline Matters</w:t>
      </w:r>
    </w:p>
    <w:p w14:paraId="6D43D459" w14:textId="77777777" w:rsidR="008D5005" w:rsidRDefault="00000000">
      <w:pPr>
        <w:pStyle w:val="ListParagraph"/>
        <w:numPr>
          <w:ilvl w:val="0"/>
          <w:numId w:val="2"/>
        </w:numPr>
        <w:spacing w:after="180"/>
      </w:pPr>
      <w:r>
        <w:t>Many states have established a two-year statute of limitations on claims in special education cases. Act promptly to preserve your rights.</w:t>
      </w:r>
    </w:p>
    <w:p w14:paraId="5E3650A4" w14:textId="77777777" w:rsidR="008D5005" w:rsidRDefault="00000000">
      <w:pPr>
        <w:pStyle w:val="Heading3"/>
      </w:pPr>
      <w:r>
        <w:t>2. Teacher Qualifications Matter</w:t>
      </w:r>
    </w:p>
    <w:p w14:paraId="64C09C96" w14:textId="77777777" w:rsidR="008D5005" w:rsidRDefault="00000000">
      <w:pPr>
        <w:pStyle w:val="ListParagraph"/>
        <w:numPr>
          <w:ilvl w:val="0"/>
          <w:numId w:val="2"/>
        </w:numPr>
        <w:spacing w:after="180"/>
      </w:pPr>
      <w:r>
        <w:t>Most general education teachers don't have Orton-Gillingham training and many schools don't want to invest in it. Push specifically for a teacher trained in the methodology.</w:t>
      </w:r>
    </w:p>
    <w:p w14:paraId="4C440DBE" w14:textId="77777777" w:rsidR="008D5005" w:rsidRDefault="00000000">
      <w:pPr>
        <w:pStyle w:val="Heading3"/>
      </w:pPr>
      <w:r>
        <w:t>3. Vague Language Is Insufficient</w:t>
      </w:r>
    </w:p>
    <w:p w14:paraId="69D01766" w14:textId="77777777" w:rsidR="008D5005" w:rsidRDefault="00000000">
      <w:pPr>
        <w:pStyle w:val="ListParagraph"/>
        <w:numPr>
          <w:ilvl w:val="0"/>
          <w:numId w:val="2"/>
        </w:numPr>
        <w:spacing w:after="180"/>
      </w:pPr>
      <w:r>
        <w:t>Schools often write something vague like "a multisensory approach will be used" and refuse to name the method, because if they name it, they have to deliver it with fidelity. Insist on specific methodology language.</w:t>
      </w:r>
    </w:p>
    <w:p w14:paraId="6F1E9B0A" w14:textId="77777777" w:rsidR="008D5005" w:rsidRDefault="00000000">
      <w:pPr>
        <w:pStyle w:val="Heading3"/>
      </w:pPr>
      <w:r>
        <w:t>4. Progress Monitoring Is Critical</w:t>
      </w:r>
    </w:p>
    <w:p w14:paraId="042EB98F" w14:textId="77777777" w:rsidR="008D5005" w:rsidRDefault="00000000">
      <w:pPr>
        <w:pStyle w:val="ListParagraph"/>
        <w:numPr>
          <w:ilvl w:val="0"/>
          <w:numId w:val="2"/>
        </w:numPr>
        <w:spacing w:after="180"/>
      </w:pPr>
      <w:r>
        <w:lastRenderedPageBreak/>
        <w:t>A district's failure to adequately monitor a student's progress can be a substantive violation of IDEA; if a district fails to monitor progress properly, they cannot prove the student is making meaningful progress. Request specific, frequent progress monitoring.</w:t>
      </w:r>
    </w:p>
    <w:p w14:paraId="0F915E39" w14:textId="77777777" w:rsidR="008D5005" w:rsidRDefault="00000000">
      <w:pPr>
        <w:pStyle w:val="Heading1"/>
      </w:pPr>
      <w:r>
        <w:t>Conclusion</w:t>
      </w:r>
    </w:p>
    <w:p w14:paraId="56D857D2" w14:textId="77777777" w:rsidR="008D5005" w:rsidRDefault="00000000">
      <w:pPr>
        <w:spacing w:after="180"/>
      </w:pPr>
      <w:r>
        <w:rPr>
          <w:b/>
          <w:bCs/>
        </w:rPr>
        <w:t>Yes, the school district is liable</w:t>
      </w:r>
      <w:r>
        <w:t xml:space="preserve"> for failing to provide appropriate evidence-based dyslexia instruction, especially given that:</w:t>
      </w:r>
    </w:p>
    <w:p w14:paraId="44ADE616" w14:textId="77777777" w:rsidR="008D5005" w:rsidRDefault="00000000">
      <w:pPr>
        <w:pStyle w:val="ListParagraph"/>
        <w:numPr>
          <w:ilvl w:val="0"/>
          <w:numId w:val="3"/>
        </w:numPr>
      </w:pPr>
      <w:r>
        <w:t>The child demonstrated ability to learn with proper methodology</w:t>
      </w:r>
    </w:p>
    <w:p w14:paraId="5E60A8D1" w14:textId="77777777" w:rsidR="008D5005" w:rsidRDefault="00000000">
      <w:pPr>
        <w:pStyle w:val="ListParagraph"/>
        <w:numPr>
          <w:ilvl w:val="0"/>
          <w:numId w:val="3"/>
        </w:numPr>
      </w:pPr>
      <w:r>
        <w:t>The child regressed without that methodology</w:t>
      </w:r>
    </w:p>
    <w:p w14:paraId="3D393710" w14:textId="77777777" w:rsidR="008D5005" w:rsidRDefault="00000000">
      <w:pPr>
        <w:pStyle w:val="ListParagraph"/>
        <w:numPr>
          <w:ilvl w:val="0"/>
          <w:numId w:val="3"/>
        </w:numPr>
        <w:spacing w:after="180"/>
      </w:pPr>
      <w:r>
        <w:t>The district failed to provide qualified instruction</w:t>
      </w:r>
    </w:p>
    <w:p w14:paraId="5702322F" w14:textId="77777777" w:rsidR="008D5005" w:rsidRDefault="00000000">
      <w:pPr>
        <w:spacing w:after="180"/>
      </w:pPr>
      <w:r>
        <w:rPr>
          <w:b/>
          <w:bCs/>
        </w:rPr>
        <w:t>The parents' strongest position</w:t>
      </w:r>
      <w:r>
        <w:t xml:space="preserve"> is to:</w:t>
      </w:r>
    </w:p>
    <w:p w14:paraId="0A4C18F5" w14:textId="77777777" w:rsidR="008D5005" w:rsidRDefault="00000000">
      <w:pPr>
        <w:pStyle w:val="ListParagraph"/>
        <w:numPr>
          <w:ilvl w:val="0"/>
          <w:numId w:val="3"/>
        </w:numPr>
      </w:pPr>
      <w:r>
        <w:t>Document everything thoroughly</w:t>
      </w:r>
    </w:p>
    <w:p w14:paraId="2466275A" w14:textId="77777777" w:rsidR="008D5005" w:rsidRDefault="00000000">
      <w:pPr>
        <w:pStyle w:val="ListParagraph"/>
        <w:numPr>
          <w:ilvl w:val="0"/>
          <w:numId w:val="3"/>
        </w:numPr>
      </w:pPr>
      <w:r>
        <w:t>Request IEP meeting with specific methodology demands</w:t>
      </w:r>
    </w:p>
    <w:p w14:paraId="7E0071F2" w14:textId="77777777" w:rsidR="008D5005" w:rsidRDefault="00000000">
      <w:pPr>
        <w:pStyle w:val="ListParagraph"/>
        <w:numPr>
          <w:ilvl w:val="0"/>
          <w:numId w:val="3"/>
        </w:numPr>
      </w:pPr>
      <w:r>
        <w:t>Use private tutoring data as proof of what works</w:t>
      </w:r>
    </w:p>
    <w:p w14:paraId="72205157" w14:textId="77777777" w:rsidR="008D5005" w:rsidRDefault="00000000">
      <w:pPr>
        <w:pStyle w:val="ListParagraph"/>
        <w:numPr>
          <w:ilvl w:val="0"/>
          <w:numId w:val="3"/>
        </w:numPr>
      </w:pPr>
      <w:r>
        <w:t>Request compensatory education for time lost</w:t>
      </w:r>
    </w:p>
    <w:p w14:paraId="5CDD5D55" w14:textId="77777777" w:rsidR="008D5005" w:rsidRDefault="00000000">
      <w:pPr>
        <w:pStyle w:val="ListParagraph"/>
        <w:numPr>
          <w:ilvl w:val="0"/>
          <w:numId w:val="3"/>
        </w:numPr>
        <w:spacing w:after="180"/>
      </w:pPr>
      <w:r>
        <w:t>Be prepared to file due process if necessary</w:t>
      </w:r>
    </w:p>
    <w:p w14:paraId="335260EB" w14:textId="77777777" w:rsidR="008D5005" w:rsidRDefault="00000000">
      <w:pPr>
        <w:spacing w:after="120"/>
      </w:pPr>
      <w:r>
        <w:t>The law is on the parents' side when they can demonstrate that a specific methodology is necessary for their child to receive FAPE, and that the district failed to provide it despite knowledge of this need.</w:t>
      </w:r>
    </w:p>
    <w:p w14:paraId="7A5CE571" w14:textId="77777777" w:rsidR="008D5005" w:rsidRDefault="008D5005">
      <w:pPr>
        <w:spacing w:before="360" w:after="180"/>
      </w:pPr>
    </w:p>
    <w:p w14:paraId="58DB2A98" w14:textId="77777777" w:rsidR="008D5005" w:rsidRDefault="00000000">
      <w:pPr>
        <w:spacing w:after="120"/>
        <w:jc w:val="center"/>
      </w:pPr>
      <w:r>
        <w:rPr>
          <w:b/>
          <w:bCs/>
        </w:rPr>
        <w:t>___</w:t>
      </w:r>
    </w:p>
    <w:p w14:paraId="6AFDDD83" w14:textId="77777777" w:rsidR="008D5005" w:rsidRDefault="00000000">
      <w:pPr>
        <w:jc w:val="center"/>
      </w:pPr>
      <w:r>
        <w:rPr>
          <w:i/>
          <w:iCs/>
          <w:sz w:val="20"/>
          <w:szCs w:val="20"/>
        </w:rPr>
        <w:t>This document is for informational purposes only and does not constitute legal advice.</w:t>
      </w:r>
    </w:p>
    <w:p w14:paraId="2827D1B1" w14:textId="77777777" w:rsidR="008D5005" w:rsidRDefault="00000000">
      <w:pPr>
        <w:jc w:val="center"/>
      </w:pPr>
      <w:r>
        <w:rPr>
          <w:i/>
          <w:iCs/>
          <w:sz w:val="20"/>
          <w:szCs w:val="20"/>
        </w:rPr>
        <w:t>Consult with a qualified special education attorney for your specific situation.</w:t>
      </w:r>
    </w:p>
    <w:sectPr w:rsidR="008D500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C5064" w14:textId="77777777" w:rsidR="008B14FB" w:rsidRDefault="008B14FB" w:rsidP="00CE6F78">
      <w:r>
        <w:separator/>
      </w:r>
    </w:p>
  </w:endnote>
  <w:endnote w:type="continuationSeparator" w:id="0">
    <w:p w14:paraId="663A14B6" w14:textId="77777777" w:rsidR="008B14FB" w:rsidRDefault="008B14FB" w:rsidP="00CE6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400CD" w14:textId="77777777" w:rsidR="00CE6F78" w:rsidRDefault="00CE6F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7648769"/>
      <w:docPartObj>
        <w:docPartGallery w:val="Page Numbers (Bottom of Page)"/>
        <w:docPartUnique/>
      </w:docPartObj>
    </w:sdtPr>
    <w:sdtEndPr>
      <w:rPr>
        <w:noProof/>
      </w:rPr>
    </w:sdtEndPr>
    <w:sdtContent>
      <w:p w14:paraId="486F4370" w14:textId="18E37AA0" w:rsidR="00CE6F78" w:rsidRDefault="00CE6F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ACFE2B" w14:textId="77777777" w:rsidR="00CE6F78" w:rsidRDefault="00CE6F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3D729" w14:textId="77777777" w:rsidR="00CE6F78" w:rsidRDefault="00CE6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1F543" w14:textId="77777777" w:rsidR="008B14FB" w:rsidRDefault="008B14FB" w:rsidP="00CE6F78">
      <w:r>
        <w:separator/>
      </w:r>
    </w:p>
  </w:footnote>
  <w:footnote w:type="continuationSeparator" w:id="0">
    <w:p w14:paraId="2648DF0D" w14:textId="77777777" w:rsidR="008B14FB" w:rsidRDefault="008B14FB" w:rsidP="00CE6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ED7D2" w14:textId="77777777" w:rsidR="00CE6F78" w:rsidRDefault="00CE6F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D354A" w14:textId="77777777" w:rsidR="00CE6F78" w:rsidRDefault="00CE6F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88AD3" w14:textId="77777777" w:rsidR="00CE6F78" w:rsidRDefault="00CE6F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61993"/>
    <w:multiLevelType w:val="hybridMultilevel"/>
    <w:tmpl w:val="9DE04C42"/>
    <w:lvl w:ilvl="0" w:tplc="17768CDC">
      <w:start w:val="1"/>
      <w:numFmt w:val="decimal"/>
      <w:lvlText w:val="%1."/>
      <w:lvlJc w:val="left"/>
      <w:pPr>
        <w:ind w:left="720" w:hanging="360"/>
      </w:pPr>
    </w:lvl>
    <w:lvl w:ilvl="1" w:tplc="681C9032">
      <w:numFmt w:val="decimal"/>
      <w:lvlText w:val=""/>
      <w:lvlJc w:val="left"/>
    </w:lvl>
    <w:lvl w:ilvl="2" w:tplc="4AB8F83A">
      <w:numFmt w:val="decimal"/>
      <w:lvlText w:val=""/>
      <w:lvlJc w:val="left"/>
    </w:lvl>
    <w:lvl w:ilvl="3" w:tplc="5D0AA1AE">
      <w:numFmt w:val="decimal"/>
      <w:lvlText w:val=""/>
      <w:lvlJc w:val="left"/>
    </w:lvl>
    <w:lvl w:ilvl="4" w:tplc="1C204528">
      <w:numFmt w:val="decimal"/>
      <w:lvlText w:val=""/>
      <w:lvlJc w:val="left"/>
    </w:lvl>
    <w:lvl w:ilvl="5" w:tplc="62A6D2F0">
      <w:numFmt w:val="decimal"/>
      <w:lvlText w:val=""/>
      <w:lvlJc w:val="left"/>
    </w:lvl>
    <w:lvl w:ilvl="6" w:tplc="B998B66A">
      <w:numFmt w:val="decimal"/>
      <w:lvlText w:val=""/>
      <w:lvlJc w:val="left"/>
    </w:lvl>
    <w:lvl w:ilvl="7" w:tplc="960CAD80">
      <w:numFmt w:val="decimal"/>
      <w:lvlText w:val=""/>
      <w:lvlJc w:val="left"/>
    </w:lvl>
    <w:lvl w:ilvl="8" w:tplc="74846FE2">
      <w:numFmt w:val="decimal"/>
      <w:lvlText w:val=""/>
      <w:lvlJc w:val="left"/>
    </w:lvl>
  </w:abstractNum>
  <w:abstractNum w:abstractNumId="1" w15:restartNumberingAfterBreak="0">
    <w:nsid w:val="38031D40"/>
    <w:multiLevelType w:val="hybridMultilevel"/>
    <w:tmpl w:val="BBF65F56"/>
    <w:lvl w:ilvl="0" w:tplc="FD2C3F82">
      <w:start w:val="1"/>
      <w:numFmt w:val="bullet"/>
      <w:lvlText w:val="•"/>
      <w:lvlJc w:val="left"/>
      <w:pPr>
        <w:ind w:left="720" w:hanging="360"/>
      </w:pPr>
    </w:lvl>
    <w:lvl w:ilvl="1" w:tplc="B58A1B0E">
      <w:numFmt w:val="decimal"/>
      <w:lvlText w:val=""/>
      <w:lvlJc w:val="left"/>
    </w:lvl>
    <w:lvl w:ilvl="2" w:tplc="31DAD942">
      <w:numFmt w:val="decimal"/>
      <w:lvlText w:val=""/>
      <w:lvlJc w:val="left"/>
    </w:lvl>
    <w:lvl w:ilvl="3" w:tplc="673A7B5A">
      <w:numFmt w:val="decimal"/>
      <w:lvlText w:val=""/>
      <w:lvlJc w:val="left"/>
    </w:lvl>
    <w:lvl w:ilvl="4" w:tplc="90301EF2">
      <w:numFmt w:val="decimal"/>
      <w:lvlText w:val=""/>
      <w:lvlJc w:val="left"/>
    </w:lvl>
    <w:lvl w:ilvl="5" w:tplc="82A68E86">
      <w:numFmt w:val="decimal"/>
      <w:lvlText w:val=""/>
      <w:lvlJc w:val="left"/>
    </w:lvl>
    <w:lvl w:ilvl="6" w:tplc="1A908350">
      <w:numFmt w:val="decimal"/>
      <w:lvlText w:val=""/>
      <w:lvlJc w:val="left"/>
    </w:lvl>
    <w:lvl w:ilvl="7" w:tplc="24CE6F3A">
      <w:numFmt w:val="decimal"/>
      <w:lvlText w:val=""/>
      <w:lvlJc w:val="left"/>
    </w:lvl>
    <w:lvl w:ilvl="8" w:tplc="A642AD3C">
      <w:numFmt w:val="decimal"/>
      <w:lvlText w:val=""/>
      <w:lvlJc w:val="left"/>
    </w:lvl>
  </w:abstractNum>
  <w:abstractNum w:abstractNumId="2" w15:restartNumberingAfterBreak="0">
    <w:nsid w:val="742F0480"/>
    <w:multiLevelType w:val="hybridMultilevel"/>
    <w:tmpl w:val="B34286CA"/>
    <w:lvl w:ilvl="0" w:tplc="5914E534">
      <w:start w:val="1"/>
      <w:numFmt w:val="bullet"/>
      <w:lvlText w:val="●"/>
      <w:lvlJc w:val="left"/>
      <w:pPr>
        <w:ind w:left="720" w:hanging="360"/>
      </w:pPr>
    </w:lvl>
    <w:lvl w:ilvl="1" w:tplc="962CB2A0">
      <w:start w:val="1"/>
      <w:numFmt w:val="bullet"/>
      <w:lvlText w:val="○"/>
      <w:lvlJc w:val="left"/>
      <w:pPr>
        <w:ind w:left="1440" w:hanging="360"/>
      </w:pPr>
    </w:lvl>
    <w:lvl w:ilvl="2" w:tplc="30081218">
      <w:start w:val="1"/>
      <w:numFmt w:val="bullet"/>
      <w:lvlText w:val="■"/>
      <w:lvlJc w:val="left"/>
      <w:pPr>
        <w:ind w:left="2160" w:hanging="360"/>
      </w:pPr>
    </w:lvl>
    <w:lvl w:ilvl="3" w:tplc="60449B00">
      <w:start w:val="1"/>
      <w:numFmt w:val="bullet"/>
      <w:lvlText w:val="●"/>
      <w:lvlJc w:val="left"/>
      <w:pPr>
        <w:ind w:left="2880" w:hanging="360"/>
      </w:pPr>
    </w:lvl>
    <w:lvl w:ilvl="4" w:tplc="CF8821BA">
      <w:start w:val="1"/>
      <w:numFmt w:val="bullet"/>
      <w:lvlText w:val="○"/>
      <w:lvlJc w:val="left"/>
      <w:pPr>
        <w:ind w:left="3600" w:hanging="360"/>
      </w:pPr>
    </w:lvl>
    <w:lvl w:ilvl="5" w:tplc="5CF6C6CE">
      <w:start w:val="1"/>
      <w:numFmt w:val="bullet"/>
      <w:lvlText w:val="■"/>
      <w:lvlJc w:val="left"/>
      <w:pPr>
        <w:ind w:left="4320" w:hanging="360"/>
      </w:pPr>
    </w:lvl>
    <w:lvl w:ilvl="6" w:tplc="5AAAC796">
      <w:start w:val="1"/>
      <w:numFmt w:val="bullet"/>
      <w:lvlText w:val="●"/>
      <w:lvlJc w:val="left"/>
      <w:pPr>
        <w:ind w:left="5040" w:hanging="360"/>
      </w:pPr>
    </w:lvl>
    <w:lvl w:ilvl="7" w:tplc="6E820E56">
      <w:start w:val="1"/>
      <w:numFmt w:val="bullet"/>
      <w:lvlText w:val="●"/>
      <w:lvlJc w:val="left"/>
      <w:pPr>
        <w:ind w:left="5760" w:hanging="360"/>
      </w:pPr>
    </w:lvl>
    <w:lvl w:ilvl="8" w:tplc="694C2346">
      <w:start w:val="1"/>
      <w:numFmt w:val="bullet"/>
      <w:lvlText w:val="●"/>
      <w:lvlJc w:val="left"/>
      <w:pPr>
        <w:ind w:left="6480" w:hanging="360"/>
      </w:pPr>
    </w:lvl>
  </w:abstractNum>
  <w:num w:numId="1" w16cid:durableId="2084329255">
    <w:abstractNumId w:val="2"/>
    <w:lvlOverride w:ilvl="0">
      <w:startOverride w:val="1"/>
    </w:lvlOverride>
  </w:num>
  <w:num w:numId="2" w16cid:durableId="1434477112">
    <w:abstractNumId w:val="1"/>
    <w:lvlOverride w:ilvl="0">
      <w:startOverride w:val="1"/>
    </w:lvlOverride>
  </w:num>
  <w:num w:numId="3" w16cid:durableId="16732978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005"/>
    <w:rsid w:val="001B641B"/>
    <w:rsid w:val="0020004C"/>
    <w:rsid w:val="0084654B"/>
    <w:rsid w:val="008B14FB"/>
    <w:rsid w:val="008D5005"/>
    <w:rsid w:val="00B67C27"/>
    <w:rsid w:val="00CE6F78"/>
    <w:rsid w:val="00E57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8D6D1"/>
  <w15:docId w15:val="{78037233-1A56-4AB8-AE02-F17E3066C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80"/>
      <w:outlineLvl w:val="0"/>
    </w:pPr>
    <w:rPr>
      <w:b/>
      <w:bCs/>
      <w:color w:val="2E5090"/>
      <w:sz w:val="32"/>
      <w:szCs w:val="32"/>
    </w:rPr>
  </w:style>
  <w:style w:type="paragraph" w:styleId="Heading2">
    <w:name w:val="heading 2"/>
    <w:uiPriority w:val="9"/>
    <w:unhideWhenUsed/>
    <w:qFormat/>
    <w:pPr>
      <w:spacing w:before="240" w:after="120"/>
      <w:outlineLvl w:val="1"/>
    </w:pPr>
    <w:rPr>
      <w:b/>
      <w:bCs/>
      <w:color w:val="2E5090"/>
      <w:sz w:val="28"/>
      <w:szCs w:val="28"/>
    </w:rPr>
  </w:style>
  <w:style w:type="paragraph" w:styleId="Heading3">
    <w:name w:val="heading 3"/>
    <w:uiPriority w:val="9"/>
    <w:unhideWhenUsed/>
    <w:qFormat/>
    <w:pPr>
      <w:spacing w:before="180" w:after="100"/>
      <w:outlineLvl w:val="2"/>
    </w:pPr>
    <w:rPr>
      <w:b/>
      <w:bCs/>
      <w:color w:val="404040"/>
      <w:sz w:val="26"/>
      <w:szCs w:val="26"/>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before="240" w:after="240"/>
      <w:jc w:val="center"/>
    </w:pPr>
    <w:rPr>
      <w:b/>
      <w:bCs/>
      <w:color w:val="000000"/>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E6F78"/>
    <w:pPr>
      <w:tabs>
        <w:tab w:val="center" w:pos="4680"/>
        <w:tab w:val="right" w:pos="9360"/>
      </w:tabs>
    </w:pPr>
  </w:style>
  <w:style w:type="character" w:customStyle="1" w:styleId="HeaderChar">
    <w:name w:val="Header Char"/>
    <w:basedOn w:val="DefaultParagraphFont"/>
    <w:link w:val="Header"/>
    <w:uiPriority w:val="99"/>
    <w:rsid w:val="00CE6F78"/>
  </w:style>
  <w:style w:type="paragraph" w:styleId="Footer">
    <w:name w:val="footer"/>
    <w:basedOn w:val="Normal"/>
    <w:link w:val="FooterChar"/>
    <w:uiPriority w:val="99"/>
    <w:unhideWhenUsed/>
    <w:rsid w:val="00CE6F78"/>
    <w:pPr>
      <w:tabs>
        <w:tab w:val="center" w:pos="4680"/>
        <w:tab w:val="right" w:pos="9360"/>
      </w:tabs>
    </w:pPr>
  </w:style>
  <w:style w:type="character" w:customStyle="1" w:styleId="FooterChar">
    <w:name w:val="Footer Char"/>
    <w:basedOn w:val="DefaultParagraphFont"/>
    <w:link w:val="Footer"/>
    <w:uiPriority w:val="99"/>
    <w:rsid w:val="00CE6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1684</Words>
  <Characters>9605</Characters>
  <Application>Microsoft Office Word</Application>
  <DocSecurity>0</DocSecurity>
  <Lines>80</Lines>
  <Paragraphs>22</Paragraphs>
  <ScaleCrop>false</ScaleCrop>
  <Company/>
  <LinksUpToDate>false</LinksUpToDate>
  <CharactersWithSpaces>11267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Annie McGlothlin</cp:lastModifiedBy>
  <cp:revision>2</cp:revision>
  <cp:lastPrinted>2025-11-15T04:44:00Z</cp:lastPrinted>
  <dcterms:created xsi:type="dcterms:W3CDTF">2026-03-03T23:21:00Z</dcterms:created>
  <dcterms:modified xsi:type="dcterms:W3CDTF">2026-03-03T23:21:00Z</dcterms:modified>
</cp:coreProperties>
</file>