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Evidence-Based Instruction in the Dyslexia Context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Legal Definition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When applied to dyslexic students, evidence-based reading instruction legally consists of: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• Instructional methodology grounded in the Science of Reading and validated by rigorous research to improve literacy skills in students with dyslexia or similar reading disorders.</w:t>
        <w:br w:type="textWrapping"/>
        <w:t xml:space="preserve">• Systematic, explicit, cumulative, and multisensory approaches shown to be effective (e.g., Wilson Reading System, Orton–Gillingham, Barton Reading &amp; Spelling).</w:t>
        <w:br w:type="textWrapping"/>
        <w:t xml:space="preserve">• Delivered with fidelity — meaning the program is implemented exactly as designed, by trained providers, with sufficient intensity and duration to replicate the results found in the research.</w:t>
        <w:br w:type="textWrapping"/>
        <w:t xml:space="preserve">• Selected based on objective evidence of effectiveness for the student’s specific needs, not on teacher preference or convenience.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Key Elements of Evidence-Based Reading Instruction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Legally compliant evidence-based reading instruction must: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Be backed by rigorous research</w:t>
        <w:br w:type="textWrapping"/>
        <w:t xml:space="preserve">   • Meets ESSA’s “strong,” “moderate,” or “promising” evidence tiers.</w:t>
        <w:br w:type="textWrapping"/>
        <w:t xml:space="preserve">   • Has measurable outcomes in phonological awareness, phonics, fluency, vocabulary, and comprehension.</w:t>
        <w:br w:type="textWrapping"/>
        <w:br w:type="textWrapping"/>
        <w:t xml:space="preserve">2. Target the core deficits of dyslexia</w:t>
        <w:br w:type="textWrapping"/>
        <w:t xml:space="preserve">   • Focuses on phonemic awareness, alphabetic principle, decoding, encoding, fluency, and comprehension.</w:t>
        <w:br w:type="textWrapping"/>
        <w:br w:type="textWrapping"/>
        <w:t xml:space="preserve">3. Be delivered by appropriately trained personnel</w:t>
        <w:br w:type="textWrapping"/>
        <w:t xml:space="preserve">   • Teacher/instructor has completed certification or equivalent professional development in the specific program.</w:t>
        <w:br w:type="textWrapping"/>
        <w:br w:type="textWrapping"/>
        <w:t xml:space="preserve">4. Be measurable and progress-monitored</w:t>
        <w:br w:type="textWrapping"/>
        <w:t xml:space="preserve">   • Student progress is tracked regularly, and instruction is adjusted based on data.</w:t>
        <w:br w:type="textWrapping"/>
        <w:br w:type="textWrapping"/>
        <w:t xml:space="preserve">5. Be integrated into the IEP/504 plan with specificity</w:t>
        <w:br w:type="textWrapping"/>
        <w:t xml:space="preserve">   • The methodology, frequency, duration, and provider qualifications are documented.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Citable Version (for Briefs, Letters, or IEP Notes)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Under IDEA, the operative requirement for instruction in an IEP isn’t the loose phrase “evidence-based.” The binding language is: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IEP services and supports must be “based on peer-reviewed research to the extent practicable.” 34 C.F.R. § 300.320(a)(4).</w:t>
        <w:br w:type="textWrapping"/>
        <w:t xml:space="preserve">• For SLD/dyslexia identification and programming, districts must use “scientific, research-based” intervention processes (e.g., RTI/MTSS) and show the child received appropriate instruction in reading from qualified personnel. 34 C.F.R. §§ 300.307–300.309.</w:t>
        <w:br w:type="textWrapping"/>
        <w:t xml:space="preserve">• The U.S. Department of Education commentary clarifies “peer-reviewed research” means approaches vetted through rigorous peer review, and if a methodology is necessary for FAPE, the IEP may specify it. 71 Fed. Reg. 46,665 (Aug. 14, 2006).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ESSA/ESEA defines “evidence-based” with four tiers of evidence: strong, moderate, promising, or demonstrates a rationale (20 U.S.C. § 7801(21)(A)).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IDEA cross-references the “essential components of reading instruction”: explicit, systematic instruction in phonemic awareness, phonics, fluency, vocabulary, and comprehension (ESEA § 6368(3)).</w:t>
        <w:br w:type="textWrapping"/>
        <w:t xml:space="preserve">OSERS’ 2015 Dyslexia Dear Colleague Letter encourages use of evidence-based interventions within MTSS/RTI and IEPs.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Key Cases Supporting Evidence-Based Instruction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rtl w:val="0"/>
        </w:rPr>
        <w:t xml:space="preserve">• Endrew F. v. Douglas County Sch. Dist., 580 U.S. 386 (2017) — IEPs must enable progress appropriate in light of the child’s circumstances.</w:t>
        <w:br w:type="textWrapping"/>
        <w:t xml:space="preserve">• Falmouth Sch. Dep’t v. Doe, 44 F.4th 23 (1st Cir. 2022) — District deference applies only if chosen program produces Endrew-level progress.</w:t>
        <w:br w:type="textWrapping"/>
        <w:t xml:space="preserve">• O.R. v. Clark County Sch. Dist., No. 2:18-cv-01504-RFB-EJY (D. Nev. 2021) — Reimbursement awarded where district failed to provide appropriate instruction; private OG placement succeeded.</w:t>
        <w:br w:type="textWrapping"/>
        <w:t xml:space="preserve">• Van Duyn v. Baker Sch. Dist. 5J, 502 F.3d 811 (9th Cir. 2007) — Material failure to implement IEP equals denial of FAPE.</w:t>
        <w:br w:type="textWrapping"/>
        <w:t xml:space="preserve">• M.C. v. Antelope Valley Union HSD, 858 F.3d 1189 (9th Cir. 2017) — IEP is binding; districts cannot alter services unilaterally.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These are just a few court rulings listed here…there are additional rulings supporting this position..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How to Use This in Requests/IEPs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Present levels / needs:</w:t>
      </w:r>
      <w:r w:rsidDel="00000000" w:rsidR="00000000" w:rsidRPr="00000000">
        <w:rPr>
          <w:rtl w:val="0"/>
        </w:rPr>
        <w:t xml:space="preserve"> “Student exhibits characteristics of dyslexia (phonological and orthographic processing deficits).” (OSERS 2015 DCL.)</w:t>
        <w:br w:type="textWrapping"/>
        <w:t xml:space="preserve">• </w:t>
      </w:r>
      <w:r w:rsidDel="00000000" w:rsidR="00000000" w:rsidRPr="00000000">
        <w:rPr>
          <w:b w:val="1"/>
          <w:rtl w:val="0"/>
        </w:rPr>
        <w:t xml:space="preserve">Services statement:</w:t>
      </w:r>
      <w:r w:rsidDel="00000000" w:rsidR="00000000" w:rsidRPr="00000000">
        <w:rPr>
          <w:rtl w:val="0"/>
        </w:rPr>
        <w:t xml:space="preserve"> “Provide 1:1 structured literacy (e.g., OG-aligned/Wilson-certified) instruction, explicit, systematic, cumulative, based on peer-reviewed research (34 C.F.R. § 300.320(a)(4)), 4–5 days/week, 45–60 minutes, with progress monitoring every 2–4 weeks.”</w:t>
        <w:br w:type="textWrapping"/>
        <w:t xml:space="preserve">• </w:t>
      </w:r>
      <w:r w:rsidDel="00000000" w:rsidR="00000000" w:rsidRPr="00000000">
        <w:rPr>
          <w:b w:val="1"/>
          <w:rtl w:val="0"/>
        </w:rPr>
        <w:t xml:space="preserve">Content:</w:t>
      </w:r>
      <w:r w:rsidDel="00000000" w:rsidR="00000000" w:rsidRPr="00000000">
        <w:rPr>
          <w:rtl w:val="0"/>
        </w:rPr>
        <w:t xml:space="preserve"> Target phonemic awareness, phonics, fluency, vocabulary, comprehension.</w:t>
        <w:br w:type="textWrapping"/>
        <w:t xml:space="preserve">• </w:t>
      </w:r>
      <w:r w:rsidDel="00000000" w:rsidR="00000000" w:rsidRPr="00000000">
        <w:rPr>
          <w:b w:val="1"/>
          <w:rtl w:val="0"/>
        </w:rPr>
        <w:t xml:space="preserve">Why this method:</w:t>
      </w:r>
      <w:r w:rsidDel="00000000" w:rsidR="00000000" w:rsidRPr="00000000">
        <w:rPr>
          <w:rtl w:val="0"/>
        </w:rPr>
        <w:t xml:space="preserve"> “Under Endrew F., services must enable appropriate progress; generic programs have not produced progress. OSEP 2006 commentary allows specification when necessary.”</w:t>
        <w:br w:type="textWrapping"/>
        <w:t xml:space="preserve">• </w:t>
      </w:r>
      <w:r w:rsidDel="00000000" w:rsidR="00000000" w:rsidRPr="00000000">
        <w:rPr>
          <w:b w:val="1"/>
          <w:rtl w:val="0"/>
        </w:rPr>
        <w:t xml:space="preserve">Fidelity/enforcement:</w:t>
      </w:r>
      <w:r w:rsidDel="00000000" w:rsidR="00000000" w:rsidRPr="00000000">
        <w:rPr>
          <w:rtl w:val="0"/>
        </w:rPr>
        <w:t xml:space="preserve"> “Departure from methodology/intensity denies FAPE (Van Duyn); IEP is binding (Antelope Valley).”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One-Sentence Summary for Hearings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IDEA requires that special education be based on peer-reviewed research and that SLD determinations and interventions use scientific, research-based methods; for dyslexia, that means explicit, systematic instruction in the five essential components of reading, and when generic programs don’t yield Endrew-level progress, courts enforce fidelity and award reimbursement for structured programs (e.g., OG/Wilson).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OYLmOeG7peHtIa8aeot5t8LEkw==">CgMxLjA4AHIhMWJ0UkRZZkEzUkkxRERfeHE3ZGRLb3VXSlhyYXVTcVdq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2025-09-21T23:47:00Z</dcterms:created>
  <dc:creator>python-docx</dc:creator>
</cp:coreProperties>
</file>