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62EC" w14:textId="23956B4E" w:rsidR="00510067" w:rsidRPr="008B2DB4" w:rsidRDefault="00000000">
      <w:pPr>
        <w:jc w:val="center"/>
        <w:rPr>
          <w:color w:val="4F81BD" w:themeColor="accent1"/>
        </w:rPr>
      </w:pPr>
      <w:r w:rsidRPr="008B2DB4">
        <w:rPr>
          <w:b/>
          <w:color w:val="4F81BD" w:themeColor="accent1"/>
          <w:sz w:val="32"/>
        </w:rPr>
        <w:t>Why the Discrepancy Model Discriminates Against Students with Dyslexia</w:t>
      </w:r>
    </w:p>
    <w:p w14:paraId="55FAB0D4" w14:textId="364250AD" w:rsidR="00510067" w:rsidRPr="008B2DB4" w:rsidRDefault="00000000">
      <w:pPr>
        <w:rPr>
          <w:color w:val="4F81BD" w:themeColor="accent1"/>
        </w:rPr>
      </w:pPr>
      <w:r>
        <w:rPr>
          <w:b/>
          <w:sz w:val="26"/>
        </w:rPr>
        <w:t xml:space="preserve"> </w:t>
      </w:r>
      <w:r w:rsidRPr="008B2DB4">
        <w:rPr>
          <w:b/>
          <w:color w:val="4F81BD" w:themeColor="accent1"/>
          <w:sz w:val="26"/>
        </w:rPr>
        <w:t>The “Wait to Fail” Problem</w:t>
      </w:r>
    </w:p>
    <w:p w14:paraId="0D5E9E98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The discrepancy model requires a large IQ–achievement gap before services are provided.</w:t>
      </w:r>
    </w:p>
    <w:p w14:paraId="01F6DE13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Students with moderate-to-profound dyslexia show difficulties early (K–2), but districts often refuse to act until they have failed enough to create a 'big enough gap.'</w:t>
      </w:r>
    </w:p>
    <w:p w14:paraId="76B242DC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This violates IDEA’s Child Find duty (20 U.S.C. § 1412(a)(3)) to evaluate when a disability is suspected—not years later.</w:t>
      </w:r>
    </w:p>
    <w:p w14:paraId="2FBBE876" w14:textId="291DBF50" w:rsidR="00510067" w:rsidRPr="008B2DB4" w:rsidRDefault="00000000">
      <w:pPr>
        <w:rPr>
          <w:color w:val="4F81BD" w:themeColor="accent1"/>
        </w:rPr>
      </w:pPr>
      <w:r>
        <w:rPr>
          <w:b/>
          <w:sz w:val="26"/>
        </w:rPr>
        <w:t xml:space="preserve"> </w:t>
      </w:r>
      <w:r w:rsidRPr="008B2DB4">
        <w:rPr>
          <w:b/>
          <w:color w:val="4F81BD" w:themeColor="accent1"/>
          <w:sz w:val="26"/>
        </w:rPr>
        <w:t>Ignores Dyslexia’s Neurological Basis</w:t>
      </w:r>
    </w:p>
    <w:p w14:paraId="56D1CF0F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Dyslexia is a brain-based disorder in phonological processing, not tied to IQ.</w:t>
      </w:r>
    </w:p>
    <w:p w14:paraId="4A014445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Denying services because the 'gap isn’t big enough' disregards medical and psychological evidence.</w:t>
      </w:r>
    </w:p>
    <w:p w14:paraId="2DA4F265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The 2015 OSERS Dear Colleague Letter confirms that 'dyslexia' can and should be used in evaluations and IEPs.</w:t>
      </w:r>
    </w:p>
    <w:p w14:paraId="2BF3D2AD" w14:textId="754117F5" w:rsidR="00510067" w:rsidRDefault="00000000">
      <w:r>
        <w:rPr>
          <w:b/>
          <w:sz w:val="26"/>
        </w:rPr>
        <w:t xml:space="preserve"> </w:t>
      </w:r>
      <w:r w:rsidRPr="008B2DB4">
        <w:rPr>
          <w:b/>
          <w:color w:val="4F81BD" w:themeColor="accent1"/>
          <w:sz w:val="26"/>
        </w:rPr>
        <w:t>Blocks Access to Evidence-Based Instruction</w:t>
      </w:r>
    </w:p>
    <w:p w14:paraId="43E60359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Students with dyslexia need structured literacy (e.g., Wilson, Orton-Gillingham).</w:t>
      </w:r>
    </w:p>
    <w:p w14:paraId="6A1B58A1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If eligibility is denied until a gap appears, students are excluded from the very programs that can prevent failure.</w:t>
      </w:r>
    </w:p>
    <w:p w14:paraId="3623F686" w14:textId="77777777" w:rsidR="00510067" w:rsidRDefault="00000000" w:rsidP="008B2DB4">
      <w:pPr>
        <w:pStyle w:val="ListBullet"/>
        <w:numPr>
          <w:ilvl w:val="0"/>
          <w:numId w:val="0"/>
        </w:numPr>
        <w:ind w:left="360"/>
      </w:pPr>
      <w:r>
        <w:t>• This is a form of disparate treatment/disparate impact under Section 504 of the Rehabilitation Act and the ADA.</w:t>
      </w:r>
    </w:p>
    <w:p w14:paraId="1CB54AF3" w14:textId="5D40FF2C" w:rsidR="00510067" w:rsidRPr="002E6571" w:rsidRDefault="00000000">
      <w:pPr>
        <w:rPr>
          <w:color w:val="4F81BD" w:themeColor="accent1"/>
        </w:rPr>
      </w:pPr>
      <w:r>
        <w:rPr>
          <w:b/>
          <w:sz w:val="26"/>
        </w:rPr>
        <w:t xml:space="preserve"> </w:t>
      </w:r>
      <w:r w:rsidRPr="002E6571">
        <w:rPr>
          <w:b/>
          <w:color w:val="4F81BD" w:themeColor="accent1"/>
          <w:sz w:val="26"/>
        </w:rPr>
        <w:t>Creates Systemic Inequities</w:t>
      </w:r>
    </w:p>
    <w:p w14:paraId="7208FEB4" w14:textId="77777777" w:rsidR="00510067" w:rsidRDefault="00000000" w:rsidP="002E6571">
      <w:pPr>
        <w:pStyle w:val="ListBullet"/>
        <w:numPr>
          <w:ilvl w:val="0"/>
          <w:numId w:val="0"/>
        </w:numPr>
        <w:ind w:left="360"/>
      </w:pPr>
      <w:r>
        <w:t>• Families who can pay for private testing/tutoring can often force recognition.</w:t>
      </w:r>
    </w:p>
    <w:p w14:paraId="5E202298" w14:textId="77777777" w:rsidR="00510067" w:rsidRDefault="00000000" w:rsidP="002E6571">
      <w:pPr>
        <w:pStyle w:val="ListBullet"/>
        <w:numPr>
          <w:ilvl w:val="0"/>
          <w:numId w:val="0"/>
        </w:numPr>
        <w:ind w:left="360"/>
      </w:pPr>
      <w:r>
        <w:t>• Families without resources cannot—leading to discrimination based on wealth, background, and language.</w:t>
      </w:r>
    </w:p>
    <w:p w14:paraId="11DC0DF1" w14:textId="77777777" w:rsidR="00510067" w:rsidRDefault="00000000" w:rsidP="002E6571">
      <w:pPr>
        <w:pStyle w:val="ListBullet"/>
        <w:numPr>
          <w:ilvl w:val="0"/>
          <w:numId w:val="0"/>
        </w:numPr>
        <w:ind w:left="360"/>
      </w:pPr>
      <w:r>
        <w:t xml:space="preserve">• Courts have acknowledged this: Michael P. v. </w:t>
      </w:r>
      <w:proofErr w:type="gramStart"/>
      <w:r>
        <w:t>Hawai‘</w:t>
      </w:r>
      <w:proofErr w:type="gramEnd"/>
      <w:r>
        <w:t>i DOE, 656 F.3d 1057 (9th Cir. 2011) held that exclusive reliance on discrepancy violates IDEA.</w:t>
      </w:r>
    </w:p>
    <w:p w14:paraId="420F9F88" w14:textId="218A2DDA" w:rsidR="00510067" w:rsidRDefault="00000000">
      <w:r>
        <w:rPr>
          <w:b/>
          <w:sz w:val="26"/>
        </w:rPr>
        <w:t xml:space="preserve"> </w:t>
      </w:r>
      <w:r w:rsidRPr="002E6571">
        <w:rPr>
          <w:b/>
          <w:color w:val="4F81BD" w:themeColor="accent1"/>
          <w:sz w:val="26"/>
        </w:rPr>
        <w:t>Harms Students Emotionally &amp; Academically</w:t>
      </w:r>
    </w:p>
    <w:p w14:paraId="6C67FB19" w14:textId="77777777" w:rsidR="00510067" w:rsidRDefault="00000000" w:rsidP="002E6571">
      <w:pPr>
        <w:pStyle w:val="ListBullet"/>
        <w:numPr>
          <w:ilvl w:val="0"/>
          <w:numId w:val="0"/>
        </w:numPr>
        <w:ind w:left="360"/>
      </w:pPr>
      <w:r>
        <w:t>• Without intervention, students face academic failure, anxiety, low self-esteem, and depression.</w:t>
      </w:r>
    </w:p>
    <w:p w14:paraId="6C18CDFD" w14:textId="77777777" w:rsidR="00510067" w:rsidRDefault="00000000" w:rsidP="002E6571">
      <w:pPr>
        <w:pStyle w:val="ListBullet"/>
        <w:numPr>
          <w:ilvl w:val="0"/>
          <w:numId w:val="0"/>
        </w:numPr>
        <w:ind w:left="360"/>
      </w:pPr>
      <w:r>
        <w:t>• Denying help because of a rigid formula treats them worse than nondisabled peers, even though IDEA requires individualized programming.</w:t>
      </w:r>
    </w:p>
    <w:p w14:paraId="0EA34FEF" w14:textId="77777777" w:rsidR="00510067" w:rsidRDefault="00000000" w:rsidP="002E6571">
      <w:pPr>
        <w:pStyle w:val="ListBullet"/>
        <w:numPr>
          <w:ilvl w:val="0"/>
          <w:numId w:val="0"/>
        </w:numPr>
        <w:ind w:left="360"/>
      </w:pPr>
      <w:r>
        <w:t>• Endrew F. v. Douglas Cty. Sch. Dist., 580 U.S. 386 (2017): IEPs must be 'reasonably calculated to enable progress appropriate in light of the child’s circumstances.'</w:t>
      </w:r>
    </w:p>
    <w:p w14:paraId="2A3E4264" w14:textId="4D0DC921" w:rsidR="00510067" w:rsidRPr="002E6571" w:rsidRDefault="00000000">
      <w:pPr>
        <w:rPr>
          <w:color w:val="4F81BD" w:themeColor="accent1"/>
        </w:rPr>
      </w:pPr>
      <w:r>
        <w:rPr>
          <w:b/>
          <w:sz w:val="26"/>
        </w:rPr>
        <w:t xml:space="preserve"> </w:t>
      </w:r>
      <w:r w:rsidRPr="002E6571">
        <w:rPr>
          <w:b/>
          <w:color w:val="4F81BD" w:themeColor="accent1"/>
          <w:sz w:val="26"/>
        </w:rPr>
        <w:t>The Legal Bottom Line</w:t>
      </w:r>
    </w:p>
    <w:p w14:paraId="3185C381" w14:textId="1D358C2C" w:rsidR="00510067" w:rsidRDefault="00000000" w:rsidP="00EB21EC">
      <w:pPr>
        <w:pStyle w:val="ListBullet"/>
        <w:numPr>
          <w:ilvl w:val="0"/>
          <w:numId w:val="0"/>
        </w:numPr>
        <w:ind w:left="360"/>
      </w:pPr>
      <w:r>
        <w:t xml:space="preserve">• </w:t>
      </w:r>
      <w:r w:rsidR="00EB21EC">
        <w:t xml:space="preserve">   </w:t>
      </w:r>
      <w:r>
        <w:t xml:space="preserve">IDEA regulations: States must not require use of severe discrepancy (34 C.F.R. </w:t>
      </w:r>
      <w:proofErr w:type="gramStart"/>
      <w:r>
        <w:t xml:space="preserve">§ </w:t>
      </w:r>
      <w:r w:rsidR="00EB21EC">
        <w:t xml:space="preserve"> </w:t>
      </w:r>
      <w:r>
        <w:t>300.307</w:t>
      </w:r>
      <w:proofErr w:type="gramEnd"/>
      <w:r>
        <w:t>).</w:t>
      </w:r>
    </w:p>
    <w:p w14:paraId="73AA0925" w14:textId="77777777" w:rsidR="00510067" w:rsidRDefault="00000000" w:rsidP="00EB21EC">
      <w:pPr>
        <w:pStyle w:val="ListBullet"/>
        <w:numPr>
          <w:ilvl w:val="0"/>
          <w:numId w:val="0"/>
        </w:numPr>
        <w:ind w:left="360"/>
      </w:pPr>
      <w:r>
        <w:t>• Districts must consider multiple data sources—not just IQ/achievement gaps.</w:t>
      </w:r>
    </w:p>
    <w:p w14:paraId="5D2DD61D" w14:textId="77777777" w:rsidR="00510067" w:rsidRDefault="00000000" w:rsidP="00EB21EC">
      <w:pPr>
        <w:pStyle w:val="ListBullet"/>
        <w:numPr>
          <w:ilvl w:val="0"/>
          <w:numId w:val="0"/>
        </w:numPr>
        <w:ind w:left="360"/>
      </w:pPr>
      <w:r>
        <w:t>• Failure to do so is not only educational malpractice—it is discrimination.</w:t>
      </w:r>
    </w:p>
    <w:p w14:paraId="28066172" w14:textId="24E9D506" w:rsidR="00510067" w:rsidRDefault="00000000">
      <w:r>
        <w:rPr>
          <w:b/>
        </w:rPr>
        <w:t xml:space="preserve"> Key Message for Teams:</w:t>
      </w:r>
    </w:p>
    <w:p w14:paraId="17D515A1" w14:textId="77777777" w:rsidR="00510067" w:rsidRDefault="00000000">
      <w:r>
        <w:t>A rigid discrepancy formula denies early, appropriate services and discriminates against children with dyslexia. Federal law requires schools to evaluate based on needs, not arbitrary gaps.</w:t>
      </w:r>
    </w:p>
    <w:sectPr w:rsidR="00510067" w:rsidSect="00EB21E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6757163">
    <w:abstractNumId w:val="8"/>
  </w:num>
  <w:num w:numId="2" w16cid:durableId="1266040950">
    <w:abstractNumId w:val="6"/>
  </w:num>
  <w:num w:numId="3" w16cid:durableId="1839423190">
    <w:abstractNumId w:val="5"/>
  </w:num>
  <w:num w:numId="4" w16cid:durableId="1182360492">
    <w:abstractNumId w:val="4"/>
  </w:num>
  <w:num w:numId="5" w16cid:durableId="301620141">
    <w:abstractNumId w:val="7"/>
  </w:num>
  <w:num w:numId="6" w16cid:durableId="548610047">
    <w:abstractNumId w:val="3"/>
  </w:num>
  <w:num w:numId="7" w16cid:durableId="2098281666">
    <w:abstractNumId w:val="2"/>
  </w:num>
  <w:num w:numId="8" w16cid:durableId="1958681727">
    <w:abstractNumId w:val="1"/>
  </w:num>
  <w:num w:numId="9" w16cid:durableId="19731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6571"/>
    <w:rsid w:val="00326F90"/>
    <w:rsid w:val="003572A3"/>
    <w:rsid w:val="00510067"/>
    <w:rsid w:val="008B2DB4"/>
    <w:rsid w:val="00AA1D8D"/>
    <w:rsid w:val="00B47730"/>
    <w:rsid w:val="00CB0664"/>
    <w:rsid w:val="00EB21EC"/>
    <w:rsid w:val="00ED37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D8554"/>
  <w14:defaultImageDpi w14:val="300"/>
  <w15:docId w15:val="{F88D1DA2-A590-4FDD-9F6F-FE42205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4</cp:revision>
  <dcterms:created xsi:type="dcterms:W3CDTF">2025-09-14T20:31:00Z</dcterms:created>
  <dcterms:modified xsi:type="dcterms:W3CDTF">2025-09-19T23:54:00Z</dcterms:modified>
  <cp:category/>
</cp:coreProperties>
</file>