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27E4" w14:textId="77777777" w:rsidR="00002F89" w:rsidRPr="005D3167" w:rsidRDefault="00000000" w:rsidP="005D3167">
      <w:pPr>
        <w:pStyle w:val="Heading1"/>
        <w:numPr>
          <w:ilvl w:val="0"/>
          <w:numId w:val="4"/>
        </w:numPr>
        <w:rPr>
          <w:sz w:val="36"/>
          <w:szCs w:val="36"/>
        </w:rPr>
      </w:pPr>
      <w:r w:rsidRPr="005D3167">
        <w:rPr>
          <w:sz w:val="36"/>
          <w:szCs w:val="36"/>
        </w:rPr>
        <w:t>Common False Statements Parents Hear from Districts — And the Law that Counters Them</w:t>
      </w:r>
    </w:p>
    <w:p w14:paraId="08ADACD9" w14:textId="77777777" w:rsidR="00A04C4F" w:rsidRDefault="00A04C4F">
      <w:pPr>
        <w:pStyle w:val="Heading2"/>
      </w:pPr>
    </w:p>
    <w:p w14:paraId="573E3ECD" w14:textId="3EE4BE98" w:rsidR="00002F89" w:rsidRPr="00D02EB6" w:rsidRDefault="00000000" w:rsidP="005D3167">
      <w:pPr>
        <w:pStyle w:val="Heading2"/>
        <w:numPr>
          <w:ilvl w:val="0"/>
          <w:numId w:val="4"/>
        </w:numPr>
        <w:rPr>
          <w:i/>
          <w:iCs/>
        </w:rPr>
      </w:pPr>
      <w:r w:rsidRPr="00D02EB6">
        <w:rPr>
          <w:i/>
          <w:iCs/>
        </w:rPr>
        <w:t>“We don’t recognize dyslexia in Wyoming.”</w:t>
      </w:r>
    </w:p>
    <w:p w14:paraId="4791730C" w14:textId="77777777" w:rsidR="00D02EB6" w:rsidRDefault="005D3167" w:rsidP="00D02EB6">
      <w:r>
        <w:rPr>
          <w:b/>
          <w:bCs/>
        </w:rPr>
        <w:t xml:space="preserve">     False. </w:t>
      </w:r>
      <w:r>
        <w:t xml:space="preserve">IDEA (20 U.S.C. §1401(30)), Section 504, ADA, and Wyoming Special Education Rules </w:t>
      </w:r>
    </w:p>
    <w:p w14:paraId="0CAD2E37" w14:textId="1E87352D" w:rsidR="005D3167" w:rsidRDefault="00D02EB6" w:rsidP="005D3167">
      <w:pPr>
        <w:spacing w:after="200"/>
      </w:pPr>
      <w:r>
        <w:t xml:space="preserve">     A</w:t>
      </w:r>
      <w:r w:rsidR="005D3167">
        <w:t>ll</w:t>
      </w:r>
      <w:r>
        <w:t xml:space="preserve"> </w:t>
      </w:r>
      <w:r w:rsidR="005D3167">
        <w:t>recognize dyslexia.</w:t>
      </w:r>
    </w:p>
    <w:p w14:paraId="640522D9" w14:textId="7932BB41" w:rsidR="005D3167" w:rsidRDefault="005D3167" w:rsidP="00D02EB6">
      <w:r>
        <w:t xml:space="preserve">        </w:t>
      </w:r>
    </w:p>
    <w:p w14:paraId="29FDC70D" w14:textId="202703B0" w:rsidR="00002F89" w:rsidRPr="00D02EB6" w:rsidRDefault="00000000" w:rsidP="00D02EB6">
      <w:pPr>
        <w:pStyle w:val="Heading2"/>
        <w:numPr>
          <w:ilvl w:val="0"/>
          <w:numId w:val="5"/>
        </w:numPr>
        <w:rPr>
          <w:i/>
          <w:iCs/>
        </w:rPr>
      </w:pPr>
      <w:r w:rsidRPr="00D02EB6">
        <w:rPr>
          <w:i/>
          <w:iCs/>
        </w:rPr>
        <w:t>“We can’t specify Wilson/Orton-Gillingham in the IEP.”</w:t>
      </w:r>
    </w:p>
    <w:p w14:paraId="57DD65B4" w14:textId="77777777" w:rsidR="008A4CE1" w:rsidRDefault="00D02EB6" w:rsidP="008A4CE1">
      <w:r>
        <w:rPr>
          <w:b/>
          <w:bCs/>
        </w:rPr>
        <w:t xml:space="preserve">      False. </w:t>
      </w:r>
      <w:r>
        <w:t xml:space="preserve">IDEA requires IEPs to be individualized. </w:t>
      </w:r>
      <w:r w:rsidR="008A4CE1">
        <w:t xml:space="preserve">High </w:t>
      </w:r>
      <w:r>
        <w:t>Courts have ruled methodology must be</w:t>
      </w:r>
      <w:r w:rsidR="008A4CE1">
        <w:t xml:space="preserve"> </w:t>
      </w:r>
    </w:p>
    <w:p w14:paraId="5A056AF7" w14:textId="77777777" w:rsidR="008A4CE1" w:rsidRDefault="008A4CE1" w:rsidP="008A4CE1">
      <w:r>
        <w:t xml:space="preserve">      included if necessary for FAPE.</w:t>
      </w:r>
    </w:p>
    <w:p w14:paraId="7099BBFF" w14:textId="1CE568CA" w:rsidR="00D02EB6" w:rsidRDefault="00000000" w:rsidP="008A4CE1">
      <w:r>
        <w:t xml:space="preserve"> </w:t>
      </w:r>
      <w:r w:rsidR="008A4CE1">
        <w:t xml:space="preserve">  </w:t>
      </w:r>
    </w:p>
    <w:p w14:paraId="6D10F6D7" w14:textId="75FC047D" w:rsidR="00002F89" w:rsidRPr="008A4CE1" w:rsidRDefault="00000000" w:rsidP="008A4CE1">
      <w:pPr>
        <w:pStyle w:val="ListParagraph"/>
        <w:numPr>
          <w:ilvl w:val="0"/>
          <w:numId w:val="5"/>
        </w:numPr>
        <w:spacing w:after="200"/>
        <w:rPr>
          <w:b/>
          <w:bCs/>
          <w:i/>
          <w:iCs/>
        </w:rPr>
      </w:pPr>
      <w:r w:rsidRPr="008A4CE1">
        <w:rPr>
          <w:b/>
          <w:bCs/>
          <w:i/>
          <w:iCs/>
        </w:rPr>
        <w:t>“We have a cap on spending for services.”</w:t>
      </w:r>
    </w:p>
    <w:p w14:paraId="6E3A1683" w14:textId="77777777" w:rsidR="0079464D" w:rsidRDefault="0079464D" w:rsidP="0079464D">
      <w:r>
        <w:rPr>
          <w:b/>
          <w:bCs/>
        </w:rPr>
        <w:t xml:space="preserve">      False. </w:t>
      </w:r>
      <w:r>
        <w:t xml:space="preserve">IDEA guarantees FAPE regardless of cost. Districts cannot limit services based on budget </w:t>
      </w:r>
    </w:p>
    <w:p w14:paraId="186E3C6A" w14:textId="77777777" w:rsidR="0079464D" w:rsidRDefault="0079464D" w:rsidP="0079464D">
      <w:r>
        <w:t xml:space="preserve">      caps.</w:t>
      </w:r>
    </w:p>
    <w:p w14:paraId="3EDA756A" w14:textId="58106CEC" w:rsidR="00002F89" w:rsidRDefault="0079464D" w:rsidP="0079464D">
      <w:r>
        <w:t xml:space="preserve"> </w:t>
      </w:r>
    </w:p>
    <w:p w14:paraId="5DD73F25" w14:textId="3065465A" w:rsidR="00002F89" w:rsidRPr="00805A6A" w:rsidRDefault="00000000" w:rsidP="00805A6A">
      <w:pPr>
        <w:pStyle w:val="Heading2"/>
        <w:numPr>
          <w:ilvl w:val="0"/>
          <w:numId w:val="5"/>
        </w:numPr>
        <w:rPr>
          <w:i/>
          <w:iCs/>
        </w:rPr>
      </w:pPr>
      <w:r w:rsidRPr="00805A6A">
        <w:rPr>
          <w:i/>
          <w:iCs/>
        </w:rPr>
        <w:t>“Your child doesn’t qualify for Extended School Year (ESY).”</w:t>
      </w:r>
    </w:p>
    <w:p w14:paraId="259E4DE7" w14:textId="202CC905" w:rsidR="00002F89" w:rsidRDefault="00251A0A">
      <w:pPr>
        <w:spacing w:after="120"/>
      </w:pPr>
      <w:r>
        <w:rPr>
          <w:b/>
          <w:bCs/>
        </w:rPr>
        <w:t xml:space="preserve">      False. </w:t>
      </w:r>
      <w:r>
        <w:t>34 C.F.R. §300.106 requires individualized ESY decisions. Blanket denials violate IDEA.</w:t>
      </w:r>
    </w:p>
    <w:p w14:paraId="678B1F29" w14:textId="77777777" w:rsidR="00251A0A" w:rsidRDefault="00251A0A">
      <w:pPr>
        <w:spacing w:before="120" w:after="120"/>
        <w:rPr>
          <w:b/>
          <w:bCs/>
        </w:rPr>
      </w:pPr>
      <w:r>
        <w:rPr>
          <w:b/>
          <w:bCs/>
        </w:rPr>
        <w:t xml:space="preserve">     </w:t>
      </w:r>
    </w:p>
    <w:p w14:paraId="451F5A21" w14:textId="783E3935" w:rsidR="00002F89" w:rsidRDefault="00251A0A">
      <w:pPr>
        <w:spacing w:before="120" w:after="120"/>
      </w:pPr>
      <w:r>
        <w:rPr>
          <w:b/>
          <w:bCs/>
        </w:rPr>
        <w:t xml:space="preserve">     Nine ESY Factors for Consideration (</w:t>
      </w:r>
      <w:proofErr w:type="spellStart"/>
      <w:r>
        <w:rPr>
          <w:b/>
          <w:bCs/>
        </w:rPr>
        <w:t>Wrightslaw</w:t>
      </w:r>
      <w:proofErr w:type="spellEnd"/>
      <w:r>
        <w:rPr>
          <w:b/>
          <w:bCs/>
        </w:rPr>
        <w:t xml:space="preserve"> – All About IEPs)</w:t>
      </w:r>
    </w:p>
    <w:p w14:paraId="5ED17B34" w14:textId="338AC1D3" w:rsidR="00002F89" w:rsidRDefault="00251A0A">
      <w:pPr>
        <w:spacing w:after="80"/>
      </w:pPr>
      <w:r>
        <w:t xml:space="preserve">     1. Regression and recoupment</w:t>
      </w:r>
    </w:p>
    <w:p w14:paraId="25706437" w14:textId="579D71C1" w:rsidR="00002F89" w:rsidRDefault="00251A0A">
      <w:pPr>
        <w:spacing w:after="80"/>
      </w:pPr>
      <w:r>
        <w:t xml:space="preserve">     2. Degree of progress toward IEP goals</w:t>
      </w:r>
    </w:p>
    <w:p w14:paraId="63C16227" w14:textId="642AB125" w:rsidR="00002F89" w:rsidRDefault="00251A0A">
      <w:pPr>
        <w:spacing w:after="80"/>
      </w:pPr>
      <w:r>
        <w:t xml:space="preserve">     3. Emerging skills and breakthrough opportunities</w:t>
      </w:r>
    </w:p>
    <w:p w14:paraId="0CDF59A6" w14:textId="3E92C496" w:rsidR="00002F89" w:rsidRDefault="00251A0A">
      <w:pPr>
        <w:spacing w:after="80"/>
      </w:pPr>
      <w:r>
        <w:t xml:space="preserve">     4. Interfering behaviors</w:t>
      </w:r>
    </w:p>
    <w:p w14:paraId="6F7EE2DC" w14:textId="516D646A" w:rsidR="00002F89" w:rsidRDefault="00251A0A">
      <w:pPr>
        <w:spacing w:after="80"/>
      </w:pPr>
      <w:r>
        <w:t xml:space="preserve">     5. Nature and severity of the disability</w:t>
      </w:r>
    </w:p>
    <w:p w14:paraId="71D1FC8B" w14:textId="4A698383" w:rsidR="00002F89" w:rsidRDefault="00251A0A">
      <w:pPr>
        <w:spacing w:after="80"/>
      </w:pPr>
      <w:r>
        <w:t xml:space="preserve">     6. Special circumstances (family, home, community)</w:t>
      </w:r>
    </w:p>
    <w:p w14:paraId="1FD24C9F" w14:textId="773E9901" w:rsidR="00002F89" w:rsidRDefault="00251A0A">
      <w:pPr>
        <w:spacing w:after="80"/>
      </w:pPr>
      <w:r>
        <w:t xml:space="preserve">     7. Availability of alternative resources</w:t>
      </w:r>
    </w:p>
    <w:p w14:paraId="61D2276F" w14:textId="5BE8C586" w:rsidR="00002F89" w:rsidRDefault="00251A0A">
      <w:pPr>
        <w:spacing w:after="80"/>
      </w:pPr>
      <w:r>
        <w:t xml:space="preserve">     8. Vocational needs of the child</w:t>
      </w:r>
    </w:p>
    <w:p w14:paraId="563FA597" w14:textId="7638DD52" w:rsidR="00002F89" w:rsidRDefault="00251A0A">
      <w:pPr>
        <w:spacing w:after="200"/>
      </w:pPr>
      <w:r>
        <w:t xml:space="preserve">     9. Other relevant factors determined by the IEP team</w:t>
      </w:r>
    </w:p>
    <w:p w14:paraId="53F03A1D" w14:textId="77777777" w:rsidR="0039505C" w:rsidRDefault="00000000">
      <w:pPr>
        <w:pStyle w:val="Heading2"/>
      </w:pPr>
      <w:r>
        <w:t xml:space="preserve"> </w:t>
      </w:r>
    </w:p>
    <w:p w14:paraId="62C06AA5" w14:textId="258AABDE" w:rsidR="00002F89" w:rsidRDefault="00000000" w:rsidP="0039505C">
      <w:pPr>
        <w:pStyle w:val="Heading2"/>
        <w:numPr>
          <w:ilvl w:val="0"/>
          <w:numId w:val="5"/>
        </w:numPr>
      </w:pPr>
      <w:r>
        <w:t>“</w:t>
      </w:r>
      <w:r w:rsidR="00A04C4F">
        <w:t>Our ‘</w:t>
      </w:r>
      <w:r>
        <w:t>Standardized</w:t>
      </w:r>
      <w:r w:rsidR="00A04C4F">
        <w:t>’</w:t>
      </w:r>
      <w:r>
        <w:t xml:space="preserve"> test scores prove your child is fine.”</w:t>
      </w:r>
    </w:p>
    <w:p w14:paraId="10F015DE" w14:textId="77777777" w:rsidR="0039505C" w:rsidRDefault="0039505C" w:rsidP="0039505C">
      <w:r>
        <w:rPr>
          <w:b/>
          <w:bCs/>
        </w:rPr>
        <w:t xml:space="preserve">      False. </w:t>
      </w:r>
      <w:r>
        <w:t xml:space="preserve">34 C.F.R. §300.304 requires multiple measures. Progress monitoring, mastery checks, </w:t>
      </w:r>
    </w:p>
    <w:p w14:paraId="4C082ADB" w14:textId="77777777" w:rsidR="0039505C" w:rsidRDefault="0039505C" w:rsidP="0039505C">
      <w:pPr>
        <w:spacing w:after="120"/>
      </w:pPr>
      <w:r>
        <w:t xml:space="preserve">      and teacher reports are valid data.</w:t>
      </w:r>
    </w:p>
    <w:p w14:paraId="0AC81F26" w14:textId="706101B3" w:rsidR="00002F89" w:rsidRDefault="0039505C">
      <w:pPr>
        <w:spacing w:after="120"/>
      </w:pPr>
      <w:r>
        <w:t xml:space="preserve"> </w:t>
      </w:r>
    </w:p>
    <w:p w14:paraId="3A5FBB2A" w14:textId="77777777" w:rsidR="00002F89" w:rsidRDefault="00000000" w:rsidP="00F24029">
      <w:pPr>
        <w:pStyle w:val="ListParagraph"/>
        <w:numPr>
          <w:ilvl w:val="0"/>
          <w:numId w:val="5"/>
        </w:numPr>
        <w:spacing w:before="120" w:after="120"/>
      </w:pPr>
      <w:r w:rsidRPr="00F24029">
        <w:rPr>
          <w:b/>
          <w:bCs/>
        </w:rPr>
        <w:t>Why Standardized Tests Cannot Be Used to Deny Wilson/OG Instruction</w:t>
      </w:r>
    </w:p>
    <w:p w14:paraId="059C033E" w14:textId="3E3F55A7" w:rsidR="00002F89" w:rsidRDefault="00F24029">
      <w:pPr>
        <w:spacing w:after="80"/>
      </w:pPr>
      <w:r>
        <w:t xml:space="preserve">      1. Timed, speed-based tests underestimate dyslexic students.</w:t>
      </w:r>
    </w:p>
    <w:p w14:paraId="4D3511DA" w14:textId="3978D044" w:rsidR="00002F89" w:rsidRDefault="00F24029">
      <w:pPr>
        <w:spacing w:after="80"/>
      </w:pPr>
      <w:r>
        <w:t xml:space="preserve">      2. IDEA requires multiple measures (20 U.S.C. §1414; 34 C.F.R. §300.304).</w:t>
      </w:r>
    </w:p>
    <w:p w14:paraId="07FAB81B" w14:textId="4CAE2D03" w:rsidR="00002F89" w:rsidRDefault="00F24029">
      <w:pPr>
        <w:spacing w:after="80"/>
      </w:pPr>
      <w:r>
        <w:t xml:space="preserve">      3. Wilson/OG mastery checks, lesson completion, and teacher reports are valid data.</w:t>
      </w:r>
    </w:p>
    <w:p w14:paraId="3875AA77" w14:textId="18FEFC92" w:rsidR="00002F89" w:rsidRDefault="00005431">
      <w:pPr>
        <w:spacing w:after="200"/>
      </w:pPr>
      <w:r>
        <w:lastRenderedPageBreak/>
        <w:t xml:space="preserve">      4. Reliance on a single standardized test violates IDEA and ignores body-of-evidence progress.</w:t>
      </w:r>
    </w:p>
    <w:p w14:paraId="014F06EF" w14:textId="77777777" w:rsidR="00005431" w:rsidRDefault="00000000">
      <w:pPr>
        <w:pStyle w:val="Heading2"/>
      </w:pPr>
      <w:r>
        <w:t xml:space="preserve"> </w:t>
      </w:r>
    </w:p>
    <w:p w14:paraId="15197C16" w14:textId="092C3DE4" w:rsidR="00002F89" w:rsidRDefault="00000000" w:rsidP="00005431">
      <w:pPr>
        <w:pStyle w:val="Heading2"/>
        <w:numPr>
          <w:ilvl w:val="0"/>
          <w:numId w:val="5"/>
        </w:numPr>
      </w:pPr>
      <w:r>
        <w:t>“Your child doesn’t qualify for SLD/dyslexia on the IEP under our discrepancy formula our district uses.”</w:t>
      </w:r>
    </w:p>
    <w:p w14:paraId="0DBA1E34" w14:textId="40316F50" w:rsidR="00002F89" w:rsidRDefault="00005431" w:rsidP="00005431">
      <w:r>
        <w:rPr>
          <w:b/>
          <w:bCs/>
        </w:rPr>
        <w:t xml:space="preserve">      False. </w:t>
      </w:r>
      <w:r>
        <w:t xml:space="preserve">IDEA explicitly prohibits requiring a severe discrepancy between achievement and </w:t>
      </w:r>
    </w:p>
    <w:p w14:paraId="6543D7AB" w14:textId="50C07573" w:rsidR="00005431" w:rsidRDefault="00005431" w:rsidP="00005431">
      <w:r>
        <w:t xml:space="preserve">      intellectual ability (20 U.S.C. §1414(b)(6); 34 C.F.R. §300.307(a)(1)). Districts </w:t>
      </w:r>
      <w:r>
        <w:rPr>
          <w:b/>
          <w:bCs/>
        </w:rPr>
        <w:t xml:space="preserve">may not </w:t>
      </w:r>
      <w:r>
        <w:t xml:space="preserve">mandate  </w:t>
      </w:r>
    </w:p>
    <w:p w14:paraId="6321B138" w14:textId="1DC133B5" w:rsidR="00005431" w:rsidRDefault="00005431" w:rsidP="00005431">
      <w:r>
        <w:t xml:space="preserve">      use of a discrepancy model and </w:t>
      </w:r>
      <w:r>
        <w:rPr>
          <w:b/>
          <w:bCs/>
        </w:rPr>
        <w:t xml:space="preserve">must </w:t>
      </w:r>
      <w:r>
        <w:t xml:space="preserve">permit the use of a process based on the child's response </w:t>
      </w:r>
    </w:p>
    <w:p w14:paraId="5F22035D" w14:textId="0A9DC6A1" w:rsidR="00005431" w:rsidRDefault="00005431" w:rsidP="00005431">
      <w:r>
        <w:t xml:space="preserve">      to scientific, research-based intervention (RTI). Additionally, districts may use alternative </w:t>
      </w:r>
    </w:p>
    <w:p w14:paraId="15441A38" w14:textId="1034C83A" w:rsidR="00945D82" w:rsidRDefault="00945D82" w:rsidP="00945D82">
      <w:r>
        <w:t xml:space="preserve">      research-based procedures. A district cannot deny eligibility solely because a child doesn't meet </w:t>
      </w:r>
    </w:p>
    <w:p w14:paraId="48D08C41" w14:textId="77777777" w:rsidR="00945D82" w:rsidRDefault="00945D82" w:rsidP="00945D82">
      <w:r>
        <w:t xml:space="preserve">      an outdated discrepancy formula.</w:t>
      </w:r>
    </w:p>
    <w:p w14:paraId="08F79B9A" w14:textId="03A174A8" w:rsidR="00945D82" w:rsidRDefault="00945D82" w:rsidP="00945D82"/>
    <w:p w14:paraId="7BC77D52" w14:textId="70AE9282" w:rsidR="00945D82" w:rsidRDefault="00945D82" w:rsidP="00005431"/>
    <w:p w14:paraId="6DF25E35" w14:textId="36E7E01A" w:rsidR="00005431" w:rsidRDefault="00005431" w:rsidP="00005431"/>
    <w:p w14:paraId="14B4E145" w14:textId="77777777" w:rsidR="00BE338F" w:rsidRPr="00BE338F" w:rsidRDefault="00BE338F" w:rsidP="00BE338F"/>
    <w:p w14:paraId="5836E138" w14:textId="037FDBFA" w:rsidR="00BE338F" w:rsidRPr="00BE338F" w:rsidRDefault="00E31CD9" w:rsidP="00BE338F">
      <w:r>
        <w:rPr>
          <w:b/>
          <w:bCs/>
        </w:rPr>
        <w:t xml:space="preserve">REMEMBER: </w:t>
      </w:r>
      <w:r w:rsidR="00BE338F" w:rsidRPr="00BE338F">
        <w:rPr>
          <w:b/>
          <w:bCs/>
        </w:rPr>
        <w:t>IDEA 2004 explicitly recognizes dyslexia</w:t>
      </w:r>
      <w:r w:rsidR="00BE338F" w:rsidRPr="00BE338F">
        <w:t> in the federal regulations at 34 C.F.R. § 300.8(c)(10)</w:t>
      </w:r>
    </w:p>
    <w:p w14:paraId="159AE7BE" w14:textId="77777777" w:rsidR="00BE338F" w:rsidRDefault="00BE338F" w:rsidP="00BE338F">
      <w:pPr>
        <w:rPr>
          <w:rFonts w:ascii="Segoe UI Symbol" w:hAnsi="Segoe UI Symbol" w:cs="Segoe UI Symbol"/>
        </w:rPr>
      </w:pPr>
    </w:p>
    <w:p w14:paraId="4C6AFB2F" w14:textId="744852BC" w:rsidR="00BE338F" w:rsidRPr="00BE338F" w:rsidRDefault="00BE338F" w:rsidP="00BE338F">
      <w:r w:rsidRPr="00BE338F">
        <w:rPr>
          <w:b/>
          <w:bCs/>
        </w:rPr>
        <w:t>Dyslexia is listed as a condition under SLD</w:t>
      </w:r>
      <w:r w:rsidRPr="00BE338F">
        <w:t> - the regulation states: </w:t>
      </w:r>
      <w:r w:rsidRPr="00BE338F">
        <w:rPr>
          <w:i/>
          <w:iCs/>
        </w:rPr>
        <w:t>"Specific learning disability means a disorder in one or more of the basic psychological processes... </w:t>
      </w:r>
      <w:r w:rsidRPr="00BE338F">
        <w:rPr>
          <w:b/>
          <w:bCs/>
          <w:i/>
          <w:iCs/>
        </w:rPr>
        <w:t>The term includes such conditions as perceptual disabilities, brain injury, minimal brain dysfunction, dyslexia, and developmental aphasia.</w:t>
      </w:r>
      <w:r w:rsidRPr="00BE338F">
        <w:rPr>
          <w:i/>
          <w:iCs/>
        </w:rPr>
        <w:t>"</w:t>
      </w:r>
    </w:p>
    <w:p w14:paraId="19DDB1A8" w14:textId="77777777" w:rsidR="00BE338F" w:rsidRDefault="00BE338F" w:rsidP="00BE338F">
      <w:pPr>
        <w:rPr>
          <w:rFonts w:ascii="Segoe UI Symbol" w:hAnsi="Segoe UI Symbol" w:cs="Segoe UI Symbol"/>
        </w:rPr>
      </w:pPr>
    </w:p>
    <w:p w14:paraId="3F330BBF" w14:textId="511B2816" w:rsidR="00BE338F" w:rsidRPr="00BE338F" w:rsidRDefault="00BE338F" w:rsidP="00BE338F">
      <w:r w:rsidRPr="00BE338F">
        <w:rPr>
          <w:b/>
          <w:bCs/>
        </w:rPr>
        <w:t>Schools cannot legally prohibit the term "dyslexia"</w:t>
      </w:r>
      <w:r w:rsidRPr="00BE338F">
        <w:t> in IEPs or evaluations - this is backed by:</w:t>
      </w:r>
    </w:p>
    <w:p w14:paraId="245677C7" w14:textId="50A42FDE" w:rsidR="00BE338F" w:rsidRPr="00BE338F" w:rsidRDefault="00BE338F" w:rsidP="00BE338F">
      <w:pPr>
        <w:numPr>
          <w:ilvl w:val="0"/>
          <w:numId w:val="6"/>
        </w:numPr>
      </w:pPr>
      <w:r w:rsidRPr="00BE338F">
        <w:t xml:space="preserve">The 2015 Dear Colleague Letter </w:t>
      </w:r>
      <w:r w:rsidR="00E31CD9">
        <w:t>(</w:t>
      </w:r>
      <w:r w:rsidRPr="00BE338F">
        <w:t xml:space="preserve">cited in </w:t>
      </w:r>
      <w:proofErr w:type="gramStart"/>
      <w:r w:rsidRPr="00BE338F">
        <w:t xml:space="preserve">your </w:t>
      </w:r>
      <w:r w:rsidR="00E31CD9">
        <w:t>our</w:t>
      </w:r>
      <w:proofErr w:type="gramEnd"/>
      <w:r w:rsidR="00E31CD9">
        <w:t xml:space="preserve"> </w:t>
      </w:r>
      <w:r w:rsidRPr="00BE338F">
        <w:t>advocacy work)</w:t>
      </w:r>
    </w:p>
    <w:p w14:paraId="243DDB85" w14:textId="77777777" w:rsidR="00BE338F" w:rsidRDefault="00BE338F" w:rsidP="00BE338F">
      <w:pPr>
        <w:numPr>
          <w:ilvl w:val="0"/>
          <w:numId w:val="6"/>
        </w:numPr>
      </w:pPr>
      <w:r w:rsidRPr="00BE338F">
        <w:t>Multiple Office of Special Education Programs (OSEP) guidance documents</w:t>
      </w:r>
    </w:p>
    <w:p w14:paraId="6DBF2542" w14:textId="64EF6FD6" w:rsidR="00E31CD9" w:rsidRPr="00BE338F" w:rsidRDefault="00E31CD9" w:rsidP="00BE338F">
      <w:pPr>
        <w:numPr>
          <w:ilvl w:val="0"/>
          <w:numId w:val="6"/>
        </w:numPr>
      </w:pPr>
      <w:r>
        <w:t>Court cases</w:t>
      </w:r>
    </w:p>
    <w:p w14:paraId="5E6AD469" w14:textId="77777777" w:rsidR="00BE338F" w:rsidRDefault="00BE338F" w:rsidP="00BE338F">
      <w:pPr>
        <w:rPr>
          <w:rFonts w:ascii="Segoe UI Symbol" w:hAnsi="Segoe UI Symbol" w:cs="Segoe UI Symbol"/>
        </w:rPr>
      </w:pPr>
    </w:p>
    <w:p w14:paraId="741B4911" w14:textId="72130319" w:rsidR="00BE338F" w:rsidRPr="00BE338F" w:rsidRDefault="00BE338F" w:rsidP="00BE338F">
      <w:r w:rsidRPr="00BE338F">
        <w:rPr>
          <w:b/>
          <w:bCs/>
        </w:rPr>
        <w:t>Section 504 provides additional protections</w:t>
      </w:r>
      <w:r w:rsidRPr="00BE338F">
        <w:t> for students with dyslexia</w:t>
      </w:r>
    </w:p>
    <w:p w14:paraId="608719AA" w14:textId="77777777" w:rsidR="00BE338F" w:rsidRDefault="00BE338F" w:rsidP="00BE338F">
      <w:pPr>
        <w:rPr>
          <w:b/>
          <w:bCs/>
        </w:rPr>
      </w:pPr>
    </w:p>
    <w:p w14:paraId="55CF0384" w14:textId="4363A393" w:rsidR="00BE338F" w:rsidRPr="00BE338F" w:rsidRDefault="00BE338F" w:rsidP="00BE338F">
      <w:pPr>
        <w:rPr>
          <w:b/>
          <w:bCs/>
        </w:rPr>
      </w:pPr>
      <w:r w:rsidRPr="00BE338F">
        <w:rPr>
          <w:b/>
          <w:bCs/>
        </w:rPr>
        <w:t>The Important Clarification:</w:t>
      </w:r>
    </w:p>
    <w:p w14:paraId="01C6BFFD" w14:textId="77777777" w:rsidR="00BE338F" w:rsidRPr="00BE338F" w:rsidRDefault="00BE338F" w:rsidP="00BE338F">
      <w:r w:rsidRPr="00BE338F">
        <w:t>The statement </w:t>
      </w:r>
      <w:r w:rsidRPr="00BE338F">
        <w:rPr>
          <w:i/>
          <w:iCs/>
        </w:rPr>
        <w:t>"meaning it is a recognized condition for evaluation, eligibility, and Individualized Education Program (IEP) documents"</w:t>
      </w:r>
      <w:r w:rsidRPr="00BE338F">
        <w:t> is accurate </w:t>
      </w:r>
      <w:r w:rsidRPr="00BE338F">
        <w:rPr>
          <w:b/>
          <w:bCs/>
        </w:rPr>
        <w:t>but</w:t>
      </w:r>
      <w:r w:rsidRPr="00BE338F">
        <w:t> doesn't mean dyslexia automatically = eligibility.</w:t>
      </w:r>
    </w:p>
    <w:p w14:paraId="5848377A" w14:textId="77777777" w:rsidR="00BE338F" w:rsidRDefault="00BE338F" w:rsidP="00BE338F">
      <w:pPr>
        <w:rPr>
          <w:b/>
          <w:bCs/>
        </w:rPr>
      </w:pPr>
    </w:p>
    <w:p w14:paraId="40C00901" w14:textId="39F071BD" w:rsidR="00BE338F" w:rsidRPr="00BE338F" w:rsidRDefault="00BE338F" w:rsidP="00BE338F">
      <w:r w:rsidRPr="00BE338F">
        <w:rPr>
          <w:b/>
          <w:bCs/>
        </w:rPr>
        <w:t>More precisely</w:t>
      </w:r>
      <w:r w:rsidRPr="00BE338F">
        <w:t>: A student with dyslexia must still meet the two-prong test for SLD eligibility:</w:t>
      </w:r>
    </w:p>
    <w:p w14:paraId="290DD48B" w14:textId="77777777" w:rsidR="00BE338F" w:rsidRPr="00BE338F" w:rsidRDefault="00BE338F" w:rsidP="00BE338F">
      <w:pPr>
        <w:ind w:left="360"/>
      </w:pPr>
    </w:p>
    <w:p w14:paraId="222638C5" w14:textId="7F24278A" w:rsidR="00BE338F" w:rsidRPr="00BE338F" w:rsidRDefault="00BE338F" w:rsidP="00BE338F">
      <w:pPr>
        <w:numPr>
          <w:ilvl w:val="0"/>
          <w:numId w:val="7"/>
        </w:numPr>
      </w:pPr>
      <w:r w:rsidRPr="00BE338F">
        <w:rPr>
          <w:b/>
          <w:bCs/>
        </w:rPr>
        <w:t>Pattern of strengths and weaknesses</w:t>
      </w:r>
      <w:r w:rsidRPr="00BE338F">
        <w:t> (or RTI/alternative research-based procedures showing insufficient response)</w:t>
      </w:r>
    </w:p>
    <w:p w14:paraId="0EBB1645" w14:textId="77777777" w:rsidR="00BE338F" w:rsidRPr="00BE338F" w:rsidRDefault="00BE338F" w:rsidP="00BE338F">
      <w:pPr>
        <w:ind w:left="720"/>
      </w:pPr>
    </w:p>
    <w:p w14:paraId="2F5C9A09" w14:textId="129F9245" w:rsidR="00BE338F" w:rsidRPr="00BE338F" w:rsidRDefault="00BE338F" w:rsidP="00BE338F">
      <w:pPr>
        <w:numPr>
          <w:ilvl w:val="0"/>
          <w:numId w:val="7"/>
        </w:numPr>
      </w:pPr>
      <w:r w:rsidRPr="00BE338F">
        <w:rPr>
          <w:b/>
          <w:bCs/>
        </w:rPr>
        <w:t>Adverse educational impact</w:t>
      </w:r>
      <w:r w:rsidRPr="00BE338F">
        <w:t> requiring special education</w:t>
      </w:r>
    </w:p>
    <w:p w14:paraId="77EAD07E" w14:textId="77777777" w:rsidR="00BE338F" w:rsidRDefault="00BE338F" w:rsidP="00BE338F"/>
    <w:p w14:paraId="0E8E1527" w14:textId="1C4DC0E8" w:rsidR="00BE338F" w:rsidRPr="00BE338F" w:rsidRDefault="00BE338F" w:rsidP="00BE338F">
      <w:r w:rsidRPr="00BE338F">
        <w:t xml:space="preserve">This matters for your </w:t>
      </w:r>
      <w:r w:rsidR="00E31CD9">
        <w:t>school district</w:t>
      </w:r>
      <w:r w:rsidRPr="00BE338F">
        <w:t xml:space="preserve"> advocacy because districts sometimes argue "the student is reading at grade level so dyslexia doesn't qualify them" - but federal law is clear that if the disability adversely affects educational performance </w:t>
      </w:r>
      <w:r w:rsidRPr="00BE338F">
        <w:rPr>
          <w:b/>
          <w:bCs/>
        </w:rPr>
        <w:t>in any area</w:t>
      </w:r>
      <w:r w:rsidRPr="00BE338F">
        <w:t> (not just reading achievement), eligibility should be considered.</w:t>
      </w:r>
    </w:p>
    <w:p w14:paraId="63A75ABD" w14:textId="77777777" w:rsidR="00BE338F" w:rsidRDefault="00BE338F" w:rsidP="00BE338F">
      <w:pPr>
        <w:rPr>
          <w:b/>
          <w:bCs/>
        </w:rPr>
      </w:pPr>
    </w:p>
    <w:p w14:paraId="7BCE3063" w14:textId="2650F069" w:rsidR="00BE338F" w:rsidRPr="00BE338F" w:rsidRDefault="00BE338F" w:rsidP="00BE338F">
      <w:r w:rsidRPr="00BE338F">
        <w:rPr>
          <w:b/>
          <w:bCs/>
        </w:rPr>
        <w:t>For your legal letters</w:t>
      </w:r>
      <w:r w:rsidRPr="00BE338F">
        <w:t>: You might add one sentence clarifying that </w:t>
      </w:r>
      <w:r w:rsidRPr="00BE338F">
        <w:rPr>
          <w:i/>
          <w:iCs/>
        </w:rPr>
        <w:t>"federal law requires schools to use the term dyslexia when that condition has been identified through evaluation, and eligibility is determined based on adverse educational impact, not solely on achievement test scores."</w:t>
      </w:r>
    </w:p>
    <w:p w14:paraId="522734DB" w14:textId="3B547490" w:rsidR="00BE338F" w:rsidRPr="00BE338F" w:rsidRDefault="00BE338F" w:rsidP="00BE338F"/>
    <w:p w14:paraId="033DA4B2" w14:textId="32088664" w:rsidR="00BE338F" w:rsidRPr="00BE338F" w:rsidRDefault="00BE338F" w:rsidP="00BE338F"/>
    <w:p w14:paraId="6EE3F317" w14:textId="77777777" w:rsidR="00BE338F" w:rsidRDefault="00BE338F" w:rsidP="00BE338F">
      <w:r w:rsidRPr="00BE338F">
        <w:t>The Individuals with Disabilities Education Act (IDEA), specifically under the Individuals with Disabilities Education Improvement Act of 2004 (Public Law 108-446), explicitly recognizes dyslexia within federal regulations. It lists dyslexia as a condition under the definition of a "Specific Learning Disability" (SLD) in 34 C.F.R. § 300.8(c)(10).</w:t>
      </w:r>
    </w:p>
    <w:p w14:paraId="228CABDF" w14:textId="77777777" w:rsidR="00BE338F" w:rsidRPr="00BE338F" w:rsidRDefault="00BE338F" w:rsidP="00BE338F"/>
    <w:p w14:paraId="39F19C90" w14:textId="77777777" w:rsidR="00BE338F" w:rsidRDefault="00BE338F" w:rsidP="00BE338F">
      <w:pPr>
        <w:numPr>
          <w:ilvl w:val="0"/>
          <w:numId w:val="8"/>
        </w:numPr>
      </w:pPr>
      <w:r w:rsidRPr="00BE338F">
        <w:t>Federal Recognition: IDEA includes dyslexia in its definition of Specific Learning Disability (SLD), meaning it is a recognized condition for evaluation, eligibility, and Individualized Education Program (IEP) documents.</w:t>
      </w:r>
    </w:p>
    <w:p w14:paraId="64C621E8" w14:textId="77777777" w:rsidR="00BE338F" w:rsidRPr="00BE338F" w:rsidRDefault="00BE338F" w:rsidP="00BE338F">
      <w:pPr>
        <w:ind w:left="720"/>
      </w:pPr>
    </w:p>
    <w:p w14:paraId="05101DC1" w14:textId="77777777" w:rsidR="00BE338F" w:rsidRDefault="00BE338F" w:rsidP="00BE338F">
      <w:pPr>
        <w:numPr>
          <w:ilvl w:val="0"/>
          <w:numId w:val="8"/>
        </w:numPr>
      </w:pPr>
      <w:r w:rsidRPr="00BE338F">
        <w:t>Legal Status: While IDEA defines the overarching category as "Specific Learning Disability," federal regulations (34 C.F.R. § 300.8(c)(10)) specifically mention dyslexia as one of the conditions included.</w:t>
      </w:r>
    </w:p>
    <w:p w14:paraId="33310A50" w14:textId="77777777" w:rsidR="00BE338F" w:rsidRDefault="00BE338F" w:rsidP="00BE338F">
      <w:pPr>
        <w:pStyle w:val="ListParagraph"/>
      </w:pPr>
    </w:p>
    <w:p w14:paraId="565215A2" w14:textId="77777777" w:rsidR="00BE338F" w:rsidRPr="00BE338F" w:rsidRDefault="00BE338F" w:rsidP="00BE338F">
      <w:pPr>
        <w:numPr>
          <w:ilvl w:val="0"/>
          <w:numId w:val="8"/>
        </w:numPr>
      </w:pPr>
      <w:r w:rsidRPr="00BE338F">
        <w:t>Significance: Schools cannot legally prohibit the use of the term "dyslexia" in IEPs or evaluation documents.</w:t>
      </w:r>
    </w:p>
    <w:p w14:paraId="1E98A5DC" w14:textId="77777777" w:rsidR="00005431" w:rsidRDefault="00005431" w:rsidP="00005431"/>
    <w:p w14:paraId="359012DB" w14:textId="611FADB4" w:rsidR="00005431" w:rsidRDefault="00005431" w:rsidP="00005431"/>
    <w:p w14:paraId="56CB3679" w14:textId="76B5ADE9" w:rsidR="00005431" w:rsidRDefault="00005431" w:rsidP="00005431"/>
    <w:sectPr w:rsidR="00005431" w:rsidSect="005D3167">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984"/>
    <w:multiLevelType w:val="hybridMultilevel"/>
    <w:tmpl w:val="05E0C3AE"/>
    <w:lvl w:ilvl="0" w:tplc="F180631A">
      <w:start w:val="1"/>
      <w:numFmt w:val="bullet"/>
      <w:lvlText w:val="■"/>
      <w:lvlJc w:val="left"/>
      <w:pPr>
        <w:ind w:left="792" w:hanging="360"/>
      </w:p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D8D62B9"/>
    <w:multiLevelType w:val="multilevel"/>
    <w:tmpl w:val="5638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695F1B"/>
    <w:multiLevelType w:val="hybridMultilevel"/>
    <w:tmpl w:val="A134C48E"/>
    <w:lvl w:ilvl="0" w:tplc="F3303A84">
      <w:start w:val="1"/>
      <w:numFmt w:val="bullet"/>
      <w:lvlText w:val="●"/>
      <w:lvlJc w:val="left"/>
      <w:pPr>
        <w:ind w:left="720" w:hanging="360"/>
      </w:pPr>
    </w:lvl>
    <w:lvl w:ilvl="1" w:tplc="473C18E8">
      <w:start w:val="1"/>
      <w:numFmt w:val="bullet"/>
      <w:lvlText w:val="○"/>
      <w:lvlJc w:val="left"/>
      <w:pPr>
        <w:ind w:left="1440" w:hanging="360"/>
      </w:pPr>
    </w:lvl>
    <w:lvl w:ilvl="2" w:tplc="F180631A">
      <w:start w:val="1"/>
      <w:numFmt w:val="bullet"/>
      <w:lvlText w:val="■"/>
      <w:lvlJc w:val="left"/>
      <w:pPr>
        <w:ind w:left="2160" w:hanging="360"/>
      </w:pPr>
    </w:lvl>
    <w:lvl w:ilvl="3" w:tplc="5EC295F8">
      <w:start w:val="1"/>
      <w:numFmt w:val="bullet"/>
      <w:lvlText w:val="●"/>
      <w:lvlJc w:val="left"/>
      <w:pPr>
        <w:ind w:left="2880" w:hanging="360"/>
      </w:pPr>
    </w:lvl>
    <w:lvl w:ilvl="4" w:tplc="B2785B1E">
      <w:start w:val="1"/>
      <w:numFmt w:val="bullet"/>
      <w:lvlText w:val="○"/>
      <w:lvlJc w:val="left"/>
      <w:pPr>
        <w:ind w:left="3600" w:hanging="360"/>
      </w:pPr>
    </w:lvl>
    <w:lvl w:ilvl="5" w:tplc="F564C4A8">
      <w:start w:val="1"/>
      <w:numFmt w:val="bullet"/>
      <w:lvlText w:val="■"/>
      <w:lvlJc w:val="left"/>
      <w:pPr>
        <w:ind w:left="4320" w:hanging="360"/>
      </w:pPr>
    </w:lvl>
    <w:lvl w:ilvl="6" w:tplc="EBC8F20A">
      <w:start w:val="1"/>
      <w:numFmt w:val="bullet"/>
      <w:lvlText w:val="●"/>
      <w:lvlJc w:val="left"/>
      <w:pPr>
        <w:ind w:left="5040" w:hanging="360"/>
      </w:pPr>
    </w:lvl>
    <w:lvl w:ilvl="7" w:tplc="FB9C292E">
      <w:start w:val="1"/>
      <w:numFmt w:val="bullet"/>
      <w:lvlText w:val="●"/>
      <w:lvlJc w:val="left"/>
      <w:pPr>
        <w:ind w:left="5760" w:hanging="360"/>
      </w:pPr>
    </w:lvl>
    <w:lvl w:ilvl="8" w:tplc="0D027582">
      <w:start w:val="1"/>
      <w:numFmt w:val="bullet"/>
      <w:lvlText w:val="●"/>
      <w:lvlJc w:val="left"/>
      <w:pPr>
        <w:ind w:left="6480" w:hanging="360"/>
      </w:pPr>
    </w:lvl>
  </w:abstractNum>
  <w:abstractNum w:abstractNumId="3" w15:restartNumberingAfterBreak="0">
    <w:nsid w:val="3C252A9F"/>
    <w:multiLevelType w:val="hybridMultilevel"/>
    <w:tmpl w:val="B136E71A"/>
    <w:lvl w:ilvl="0" w:tplc="F180631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218"/>
    <w:multiLevelType w:val="hybridMultilevel"/>
    <w:tmpl w:val="AB7421C8"/>
    <w:lvl w:ilvl="0" w:tplc="F180631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94764"/>
    <w:multiLevelType w:val="multilevel"/>
    <w:tmpl w:val="0A44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695E07"/>
    <w:multiLevelType w:val="multilevel"/>
    <w:tmpl w:val="0AF49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8003720">
    <w:abstractNumId w:val="2"/>
    <w:lvlOverride w:ilvl="0">
      <w:startOverride w:val="1"/>
    </w:lvlOverride>
  </w:num>
  <w:num w:numId="2" w16cid:durableId="1716155368">
    <w:abstractNumId w:val="2"/>
  </w:num>
  <w:num w:numId="3" w16cid:durableId="1452897305">
    <w:abstractNumId w:val="3"/>
  </w:num>
  <w:num w:numId="4" w16cid:durableId="834226192">
    <w:abstractNumId w:val="4"/>
  </w:num>
  <w:num w:numId="5" w16cid:durableId="1439137560">
    <w:abstractNumId w:val="0"/>
  </w:num>
  <w:num w:numId="6" w16cid:durableId="2040932136">
    <w:abstractNumId w:val="1"/>
  </w:num>
  <w:num w:numId="7" w16cid:durableId="2004358340">
    <w:abstractNumId w:val="6"/>
  </w:num>
  <w:num w:numId="8" w16cid:durableId="208529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89"/>
    <w:rsid w:val="00002F89"/>
    <w:rsid w:val="00005431"/>
    <w:rsid w:val="001B641B"/>
    <w:rsid w:val="00251A0A"/>
    <w:rsid w:val="0039505C"/>
    <w:rsid w:val="003C65CE"/>
    <w:rsid w:val="005D3167"/>
    <w:rsid w:val="0079464D"/>
    <w:rsid w:val="00805A6A"/>
    <w:rsid w:val="008A4CE1"/>
    <w:rsid w:val="00945D82"/>
    <w:rsid w:val="00A04C4F"/>
    <w:rsid w:val="00A1092D"/>
    <w:rsid w:val="00AA2F0B"/>
    <w:rsid w:val="00BC682D"/>
    <w:rsid w:val="00BE338F"/>
    <w:rsid w:val="00D02EB6"/>
    <w:rsid w:val="00E31CD9"/>
    <w:rsid w:val="00F2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45EB"/>
  <w15:docId w15:val="{8E697C9C-0697-456B-A008-10C9606C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180" w:after="12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Annie McGlothlin</cp:lastModifiedBy>
  <cp:revision>2</cp:revision>
  <cp:lastPrinted>2026-03-03T22:57:00Z</cp:lastPrinted>
  <dcterms:created xsi:type="dcterms:W3CDTF">2026-03-03T23:15:00Z</dcterms:created>
  <dcterms:modified xsi:type="dcterms:W3CDTF">2026-03-03T23:15:00Z</dcterms:modified>
</cp:coreProperties>
</file>