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2E2F" w14:textId="77777777" w:rsidR="007669E3" w:rsidRDefault="00000000">
      <w:pPr>
        <w:spacing w:after="120"/>
        <w:jc w:val="center"/>
        <w:rPr>
          <w:b/>
          <w:color w:val="4F81BD" w:themeColor="accent1"/>
          <w:sz w:val="32"/>
          <w:szCs w:val="32"/>
        </w:rPr>
      </w:pPr>
      <w:r w:rsidRPr="00E25035">
        <w:rPr>
          <w:b/>
          <w:color w:val="4F81BD" w:themeColor="accent1"/>
          <w:sz w:val="32"/>
          <w:szCs w:val="32"/>
        </w:rPr>
        <w:t xml:space="preserve">Common False Statements Parents Hear from Districts — </w:t>
      </w:r>
    </w:p>
    <w:p w14:paraId="0B95C893" w14:textId="440D34D2" w:rsidR="00680B01" w:rsidRPr="00E25035" w:rsidRDefault="00000000">
      <w:pPr>
        <w:spacing w:after="120"/>
        <w:jc w:val="center"/>
        <w:rPr>
          <w:color w:val="4F81BD" w:themeColor="accent1"/>
          <w:sz w:val="32"/>
          <w:szCs w:val="32"/>
        </w:rPr>
      </w:pPr>
      <w:r w:rsidRPr="00E25035">
        <w:rPr>
          <w:b/>
          <w:color w:val="4F81BD" w:themeColor="accent1"/>
          <w:sz w:val="32"/>
          <w:szCs w:val="32"/>
        </w:rPr>
        <w:t>And the Law that Counters Them</w:t>
      </w:r>
    </w:p>
    <w:p w14:paraId="0C3C74A4" w14:textId="77777777" w:rsidR="00680B01" w:rsidRPr="00E25035" w:rsidRDefault="00000000">
      <w:pPr>
        <w:spacing w:after="360"/>
        <w:jc w:val="center"/>
        <w:rPr>
          <w:i/>
          <w:iCs/>
          <w:sz w:val="24"/>
          <w:szCs w:val="24"/>
        </w:rPr>
      </w:pPr>
      <w:r w:rsidRPr="00E25035">
        <w:rPr>
          <w:i/>
          <w:iCs/>
          <w:sz w:val="24"/>
          <w:szCs w:val="24"/>
        </w:rPr>
        <w:t>Quick legal backup you can cite in meetings, emails, PWNs, and due process filings (Wyoming &amp; federal).</w:t>
      </w:r>
    </w:p>
    <w:p w14:paraId="065364C4" w14:textId="77777777" w:rsidR="00680B01" w:rsidRDefault="00000000">
      <w:pPr>
        <w:pStyle w:val="Heading2"/>
      </w:pPr>
      <w:r>
        <w:t>Key Takeaways (Yes, You Can…)</w:t>
      </w:r>
    </w:p>
    <w:p w14:paraId="484D549F" w14:textId="77777777" w:rsidR="00680B01" w:rsidRDefault="00000000">
      <w:pPr>
        <w:pStyle w:val="ListBullet"/>
      </w:pPr>
      <w:r>
        <w:t>Yes, dyslexia is recognized under federal law and Wyoming rules.</w:t>
      </w:r>
    </w:p>
    <w:p w14:paraId="59B4320D" w14:textId="77777777" w:rsidR="00680B01" w:rsidRDefault="00000000">
      <w:pPr>
        <w:pStyle w:val="ListBullet"/>
      </w:pPr>
      <w:r>
        <w:t xml:space="preserve">Yes, a specific methodology (e.g., Wilson/Orton‑Gillingham) can and </w:t>
      </w:r>
      <w:r w:rsidRPr="00715E2F">
        <w:rPr>
          <w:b/>
          <w:bCs/>
        </w:rPr>
        <w:t>must</w:t>
      </w:r>
      <w:r>
        <w:t xml:space="preserve"> be specified in the IEP when necessary for FAPE.</w:t>
      </w:r>
    </w:p>
    <w:p w14:paraId="70F0F1D7" w14:textId="05159DE0" w:rsidR="00680B01" w:rsidRDefault="00000000">
      <w:pPr>
        <w:pStyle w:val="ListBullet"/>
      </w:pPr>
      <w:r>
        <w:t xml:space="preserve">Yes, ESY decisions must be individualized using established </w:t>
      </w:r>
      <w:r w:rsidR="00715E2F">
        <w:t xml:space="preserve">NINE </w:t>
      </w:r>
      <w:r>
        <w:t>legal factors (not blanket denials).</w:t>
      </w:r>
    </w:p>
    <w:p w14:paraId="667AAC21" w14:textId="77777777" w:rsidR="00680B01" w:rsidRDefault="00000000">
      <w:pPr>
        <w:pStyle w:val="ListBullet"/>
      </w:pPr>
      <w:r>
        <w:t xml:space="preserve">Yes, </w:t>
      </w:r>
      <w:proofErr w:type="gramStart"/>
      <w:r>
        <w:t>Stay</w:t>
      </w:r>
      <w:proofErr w:type="gramEnd"/>
      <w:r>
        <w:t>‑Put protects the current placement/services during disputes, and courts recognize ADA/§504 damages for deliberate indifference.</w:t>
      </w:r>
    </w:p>
    <w:p w14:paraId="0B2A64E7" w14:textId="77777777" w:rsidR="00680B01" w:rsidRDefault="00000000">
      <w:pPr>
        <w:pStyle w:val="ListBullet"/>
      </w:pPr>
      <w:r>
        <w:t>No, districts cannot cite cost caps to deny services required for FAPE.</w:t>
      </w:r>
    </w:p>
    <w:p w14:paraId="661EA6FD" w14:textId="2E58EBE6" w:rsidR="00ED7280" w:rsidRDefault="00ED7280">
      <w:pPr>
        <w:pStyle w:val="ListBullet"/>
      </w:pPr>
      <w:r>
        <w:t xml:space="preserve">No, districts cannot </w:t>
      </w:r>
    </w:p>
    <w:p w14:paraId="2EF2F3E8" w14:textId="77777777" w:rsidR="00680B01" w:rsidRDefault="00000000">
      <w:pPr>
        <w:pStyle w:val="Heading2"/>
      </w:pPr>
      <w:r>
        <w:t>1) “We don’t recognize dyslexia in Wyoming.” — False</w:t>
      </w:r>
    </w:p>
    <w:p w14:paraId="3983D17D" w14:textId="77777777" w:rsidR="00680B01" w:rsidRDefault="00000000">
      <w:r>
        <w:t>Federal IDEA regulations explicitly list dyslexia within the definition of a Specific Learning Disability (SLD). Wyoming’s special‑education rules adopt and implement IDEA for all districts statewide.</w:t>
      </w:r>
    </w:p>
    <w:p w14:paraId="110889D2" w14:textId="77777777" w:rsidR="00680B01" w:rsidRPr="005C1E7C" w:rsidRDefault="00000000">
      <w:pPr>
        <w:pStyle w:val="ListBullet"/>
        <w:rPr>
          <w:b/>
          <w:bCs/>
          <w:sz w:val="28"/>
          <w:szCs w:val="28"/>
        </w:rPr>
      </w:pPr>
      <w:r w:rsidRPr="005C1E7C">
        <w:rPr>
          <w:b/>
          <w:bCs/>
          <w:sz w:val="28"/>
          <w:szCs w:val="28"/>
        </w:rPr>
        <w:t>Legal backup:</w:t>
      </w:r>
    </w:p>
    <w:p w14:paraId="0F9BF5DD" w14:textId="77777777" w:rsidR="00680B01" w:rsidRDefault="00000000">
      <w:r>
        <w:t>• IDEA: 34 C.F.R. § 300.8(c)(10) — SLD includes dyslexia.</w:t>
      </w:r>
    </w:p>
    <w:p w14:paraId="6D33D814" w14:textId="77777777" w:rsidR="00680B01" w:rsidRDefault="00000000">
      <w:r>
        <w:t>• Evaluation rules: 34 C.F.R. § 300.304 — comprehensive evaluation; multiple measures.</w:t>
      </w:r>
    </w:p>
    <w:p w14:paraId="78F56B54" w14:textId="77777777" w:rsidR="00680B01" w:rsidRDefault="00000000">
      <w:r>
        <w:t>• Wyoming: Chapter 7, Services for Children with Disabilities — statewide rules implementing IDEA.</w:t>
      </w:r>
    </w:p>
    <w:p w14:paraId="7A235D4A" w14:textId="77777777" w:rsidR="00680B01" w:rsidRDefault="00000000">
      <w:pPr>
        <w:pStyle w:val="Heading2"/>
      </w:pPr>
      <w:r>
        <w:t>2) “We can’t specify Wilson/OG in the IEP.” — Often False</w:t>
      </w:r>
    </w:p>
    <w:p w14:paraId="39BECFC0" w14:textId="3BA75DEF" w:rsidR="00680B01" w:rsidRDefault="00000000">
      <w:r>
        <w:t xml:space="preserve">While schools usually have latitude on methodology, courts and federal guidance recognize that when a particular method is necessary for the child to receive FAPE, the IEP </w:t>
      </w:r>
      <w:r w:rsidR="00DF5991">
        <w:t>MUST</w:t>
      </w:r>
      <w:r>
        <w:t xml:space="preserve"> specify it</w:t>
      </w:r>
      <w:r w:rsidR="000D6874">
        <w:t xml:space="preserve"> on the IEP. </w:t>
      </w:r>
      <w:r>
        <w:t>Predetermination or refusing to consider an appropriate methodology can violate IDEA.</w:t>
      </w:r>
    </w:p>
    <w:p w14:paraId="6834D9EE" w14:textId="77777777" w:rsidR="00680B01" w:rsidRPr="000D6874" w:rsidRDefault="00000000" w:rsidP="005C1E7C">
      <w:pPr>
        <w:pStyle w:val="ListBullet"/>
        <w:numPr>
          <w:ilvl w:val="0"/>
          <w:numId w:val="19"/>
        </w:numPr>
        <w:rPr>
          <w:b/>
          <w:bCs/>
          <w:sz w:val="28"/>
          <w:szCs w:val="28"/>
        </w:rPr>
      </w:pPr>
      <w:r w:rsidRPr="000D6874">
        <w:rPr>
          <w:b/>
          <w:bCs/>
          <w:sz w:val="28"/>
          <w:szCs w:val="28"/>
        </w:rPr>
        <w:t>Legal backup:</w:t>
      </w:r>
    </w:p>
    <w:p w14:paraId="7FF6097E" w14:textId="7F859FB6" w:rsidR="000D6874" w:rsidRDefault="00000000" w:rsidP="000D6874">
      <w:pPr>
        <w:pStyle w:val="NoSpacing"/>
        <w:numPr>
          <w:ilvl w:val="0"/>
          <w:numId w:val="19"/>
        </w:numPr>
      </w:pPr>
      <w:r>
        <w:t>Deal v. Hamilton County Bd. of Educ., 392 F.3d 840 (6th Cir. 2004) — Procedural FAPE violation where</w:t>
      </w:r>
      <w:r w:rsidR="000D6874">
        <w:t xml:space="preserve"> </w:t>
      </w:r>
      <w:r w:rsidR="000D6874">
        <w:t xml:space="preserve">district </w:t>
      </w:r>
      <w:r w:rsidR="000D6874">
        <w:t xml:space="preserve">  </w:t>
      </w:r>
      <w:r w:rsidR="000D6874">
        <w:t>refused to consider ABA methodology (predetermination).</w:t>
      </w:r>
    </w:p>
    <w:p w14:paraId="063DC0E1" w14:textId="1CD72734" w:rsidR="000D6874" w:rsidRDefault="000D6874" w:rsidP="000D6874">
      <w:pPr>
        <w:pStyle w:val="NoSpacing"/>
      </w:pPr>
    </w:p>
    <w:p w14:paraId="518A2FA7" w14:textId="0780EEB6" w:rsidR="00DF5991" w:rsidRPr="000D6874" w:rsidRDefault="000D6874" w:rsidP="000D6874">
      <w:pPr>
        <w:pStyle w:val="ListParagraph"/>
        <w:numPr>
          <w:ilvl w:val="0"/>
          <w:numId w:val="19"/>
        </w:numPr>
        <w:rPr>
          <w:rFonts w:cstheme="majorHAnsi"/>
          <w:b/>
          <w:bCs/>
        </w:rPr>
      </w:pPr>
      <w:r>
        <w:rPr>
          <w:rFonts w:cstheme="majorHAnsi"/>
        </w:rPr>
        <w:t>**</w:t>
      </w:r>
      <w:r w:rsidR="00DF5991" w:rsidRPr="000D6874">
        <w:rPr>
          <w:rFonts w:cstheme="majorHAnsi"/>
        </w:rPr>
        <w:t>R.E.B. v. Hawaii Department of Education (9th Cir. 2017)</w:t>
      </w:r>
    </w:p>
    <w:p w14:paraId="3D52FCB9" w14:textId="723370F2" w:rsidR="00DF5991" w:rsidRPr="000D6874" w:rsidRDefault="00DF5991" w:rsidP="000D6874">
      <w:pPr>
        <w:ind w:firstLine="360"/>
        <w:rPr>
          <w:rFonts w:asciiTheme="majorHAnsi" w:hAnsiTheme="majorHAnsi" w:cstheme="majorHAnsi"/>
          <w:b/>
          <w:bCs/>
          <w:sz w:val="24"/>
          <w:szCs w:val="24"/>
        </w:rPr>
      </w:pPr>
      <w:r w:rsidRPr="000D6874">
        <w:rPr>
          <w:rFonts w:asciiTheme="majorHAnsi" w:hAnsiTheme="majorHAnsi" w:cstheme="majorHAnsi"/>
          <w:b/>
          <w:bCs/>
          <w:sz w:val="24"/>
          <w:szCs w:val="24"/>
        </w:rPr>
        <w:t>**Strong Language Requiring Methodology on the IEP</w:t>
      </w:r>
    </w:p>
    <w:p w14:paraId="0214FE8D" w14:textId="2D80EA66" w:rsidR="00DF5991" w:rsidRPr="000D6874" w:rsidRDefault="000D6874" w:rsidP="000D6874">
      <w:pPr>
        <w:ind w:left="1440"/>
        <w:rPr>
          <w:b/>
          <w:bCs/>
        </w:rPr>
      </w:pPr>
      <w:r>
        <w:t>**</w:t>
      </w:r>
      <w:r w:rsidR="00DF5991">
        <w:t xml:space="preserve">In R.E.B v. Hawaii DOE the Ninth Circuit </w:t>
      </w:r>
      <w:r>
        <w:t xml:space="preserve">of Appeals </w:t>
      </w:r>
      <w:r w:rsidR="00DF5991">
        <w:t xml:space="preserve">held that when a particular methodology plays a </w:t>
      </w:r>
      <w:r w:rsidR="00DF5991" w:rsidRPr="000D6874">
        <w:rPr>
          <w:b/>
          <w:bCs/>
        </w:rPr>
        <w:t>“critical role” in the student’s educational plan, “it must be specified in the student’s IEP”.</w:t>
      </w:r>
    </w:p>
    <w:p w14:paraId="6F64E9B7" w14:textId="06D15BFE" w:rsidR="00680B01" w:rsidRDefault="00000000" w:rsidP="000D6874">
      <w:pPr>
        <w:pStyle w:val="ListParagraph"/>
        <w:numPr>
          <w:ilvl w:val="0"/>
          <w:numId w:val="19"/>
        </w:numPr>
      </w:pPr>
      <w:r>
        <w:t>OSEP guidance: IEP may include methodology when needed for FAPE; methodology deference is not absolute.</w:t>
      </w:r>
    </w:p>
    <w:p w14:paraId="0D67046D" w14:textId="44C4C5E4" w:rsidR="00680B01" w:rsidRDefault="00000000" w:rsidP="000D6874">
      <w:pPr>
        <w:pStyle w:val="ListParagraph"/>
        <w:numPr>
          <w:ilvl w:val="0"/>
          <w:numId w:val="19"/>
        </w:numPr>
      </w:pPr>
      <w:r>
        <w:t>General rule: If the student is not making appropriate progress, the team must revisit and may need to specify an effective methodology.</w:t>
      </w:r>
    </w:p>
    <w:p w14:paraId="44216F49" w14:textId="77777777" w:rsidR="00680B01" w:rsidRDefault="00000000">
      <w:pPr>
        <w:pStyle w:val="Heading2"/>
      </w:pPr>
      <w:r>
        <w:lastRenderedPageBreak/>
        <w:t>3) “We have a cap on spending.” — Illegal</w:t>
      </w:r>
    </w:p>
    <w:p w14:paraId="51B72B5F" w14:textId="77777777" w:rsidR="00680B01" w:rsidRDefault="00000000">
      <w:r>
        <w:t>Cost cannot be used to deny services required for FAPE. The Supreme Court has held that districts must fund necessary services, even when costly.</w:t>
      </w:r>
    </w:p>
    <w:p w14:paraId="7B07ABE8" w14:textId="77777777" w:rsidR="00680B01" w:rsidRPr="005C1E7C" w:rsidRDefault="00000000">
      <w:pPr>
        <w:pStyle w:val="ListBullet"/>
        <w:rPr>
          <w:b/>
          <w:bCs/>
          <w:sz w:val="28"/>
          <w:szCs w:val="28"/>
        </w:rPr>
      </w:pPr>
      <w:r w:rsidRPr="005C1E7C">
        <w:rPr>
          <w:b/>
          <w:bCs/>
          <w:sz w:val="28"/>
          <w:szCs w:val="28"/>
        </w:rPr>
        <w:t>Legal backup:</w:t>
      </w:r>
    </w:p>
    <w:p w14:paraId="705ADFA9" w14:textId="77777777" w:rsidR="00680B01" w:rsidRDefault="00000000">
      <w:r>
        <w:t>• Cedar Rapids Community Sch. Dist. v. Garret F., 526 U.S. 66 (1999) — District required to provide needed nursing services; cost defense rejected.</w:t>
      </w:r>
    </w:p>
    <w:p w14:paraId="69434450" w14:textId="77777777" w:rsidR="00680B01" w:rsidRDefault="00000000">
      <w:r>
        <w:t>• 34 C.F.R. § 300.101 (FAPE must be available to all eligible children).</w:t>
      </w:r>
    </w:p>
    <w:p w14:paraId="54A09CE2" w14:textId="77777777" w:rsidR="00680B01" w:rsidRDefault="00000000">
      <w:pPr>
        <w:pStyle w:val="Heading2"/>
      </w:pPr>
      <w:r>
        <w:t>4) “Your child doesn’t qualify for ESY.” — Must Be Individualized</w:t>
      </w:r>
    </w:p>
    <w:p w14:paraId="30AF728E" w14:textId="77777777" w:rsidR="00680B01" w:rsidRDefault="00000000">
      <w:r>
        <w:t>ESY decisions must be individualized based on multiple factors (e.g., regression/recoupment, emerging skills, severity, behaviors, availability of alternatives, vocational needs). Blanket denials or ‘no regression’ policies are unlawful.</w:t>
      </w:r>
    </w:p>
    <w:p w14:paraId="55CA6D01" w14:textId="77777777" w:rsidR="00680B01" w:rsidRPr="005C1E7C" w:rsidRDefault="00000000">
      <w:pPr>
        <w:pStyle w:val="ListBullet"/>
        <w:rPr>
          <w:b/>
          <w:bCs/>
          <w:sz w:val="28"/>
          <w:szCs w:val="28"/>
        </w:rPr>
      </w:pPr>
      <w:r w:rsidRPr="005C1E7C">
        <w:rPr>
          <w:b/>
          <w:bCs/>
          <w:sz w:val="28"/>
          <w:szCs w:val="28"/>
        </w:rPr>
        <w:t>Legal backup:</w:t>
      </w:r>
    </w:p>
    <w:p w14:paraId="51C49AC6" w14:textId="77777777" w:rsidR="00680B01" w:rsidRDefault="00000000">
      <w:r>
        <w:t>• Johnson v. Indep. Sch. Dist. No. 4 of Bixby, 921 F.2d 1022 (10th Cir. 1990) — ESY requires individualized analysis; regression/recoupment key.</w:t>
      </w:r>
    </w:p>
    <w:p w14:paraId="7E728ED8" w14:textId="77777777" w:rsidR="00680B01" w:rsidRDefault="00000000">
      <w:r>
        <w:t>• Reusch v. Fountain, 872 F. Supp. 1421 (D. Md. 1994) — Courts articulated multiple ESY factors; decisions must be timely and individualized.</w:t>
      </w:r>
    </w:p>
    <w:p w14:paraId="0BDEEA69" w14:textId="77777777" w:rsidR="00680B01" w:rsidRDefault="00000000">
      <w:r>
        <w:t>• Wyoming WDE ESY Guidance (2013) — Lists factors and emphasizes individualized determinations.</w:t>
      </w:r>
    </w:p>
    <w:p w14:paraId="01D36E07" w14:textId="77777777" w:rsidR="00680B01" w:rsidRDefault="00000000">
      <w:pPr>
        <w:pStyle w:val="Heading2"/>
      </w:pPr>
      <w:r>
        <w:t>5) “Standardized test scores prove your child is fine.” — Wrong Standard</w:t>
      </w:r>
    </w:p>
    <w:p w14:paraId="2730B8A5" w14:textId="77777777" w:rsidR="00680B01" w:rsidRDefault="00000000">
      <w:r>
        <w:t>IDEA requires a variety of assessment tools and prohibits using any single measure (like one standardized test) as the sole criterion for eligibility or programming decisions.</w:t>
      </w:r>
    </w:p>
    <w:p w14:paraId="13284AF8" w14:textId="77777777" w:rsidR="00680B01" w:rsidRPr="005C1E7C" w:rsidRDefault="00000000">
      <w:pPr>
        <w:pStyle w:val="ListBullet"/>
        <w:rPr>
          <w:b/>
          <w:bCs/>
          <w:sz w:val="28"/>
          <w:szCs w:val="28"/>
        </w:rPr>
      </w:pPr>
      <w:r w:rsidRPr="005C1E7C">
        <w:rPr>
          <w:b/>
          <w:bCs/>
          <w:sz w:val="28"/>
          <w:szCs w:val="28"/>
        </w:rPr>
        <w:t>Legal backup:</w:t>
      </w:r>
    </w:p>
    <w:p w14:paraId="0BD0B8FB" w14:textId="77777777" w:rsidR="00680B01" w:rsidRDefault="00000000">
      <w:r>
        <w:t>• 34 C.F.R. § 300.304(b)(2) — No single measure may be the sole criterion for eligibility or the educational program.</w:t>
      </w:r>
    </w:p>
    <w:p w14:paraId="61552117" w14:textId="77777777" w:rsidR="00680B01" w:rsidRDefault="00000000">
      <w:r>
        <w:t>• OSEP Memo 11‑07 — RTI/MTSS cannot be used to delay or deny evaluations.</w:t>
      </w:r>
    </w:p>
    <w:p w14:paraId="5E418A2F" w14:textId="658DD3A3" w:rsidR="00ED7280" w:rsidRDefault="00ED7280">
      <w:pPr>
        <w:rPr>
          <w:b/>
          <w:bCs/>
          <w:color w:val="4F81BD" w:themeColor="accent1"/>
          <w:sz w:val="26"/>
          <w:szCs w:val="26"/>
        </w:rPr>
      </w:pPr>
      <w:r>
        <w:rPr>
          <w:b/>
          <w:bCs/>
          <w:color w:val="4F81BD" w:themeColor="accent1"/>
          <w:sz w:val="26"/>
          <w:szCs w:val="26"/>
        </w:rPr>
        <w:t xml:space="preserve">6) “Your child doesn’t qualify </w:t>
      </w:r>
      <w:r w:rsidR="00BE267C">
        <w:rPr>
          <w:b/>
          <w:bCs/>
          <w:color w:val="4F81BD" w:themeColor="accent1"/>
          <w:sz w:val="26"/>
          <w:szCs w:val="26"/>
        </w:rPr>
        <w:t>under</w:t>
      </w:r>
      <w:r>
        <w:rPr>
          <w:b/>
          <w:bCs/>
          <w:color w:val="4F81BD" w:themeColor="accent1"/>
          <w:sz w:val="26"/>
          <w:szCs w:val="26"/>
        </w:rPr>
        <w:t xml:space="preserve"> SLD on the IEP because of the district’s discrepancy provision.”</w:t>
      </w:r>
    </w:p>
    <w:p w14:paraId="2B52F7FD" w14:textId="77777777" w:rsidR="00ED7280" w:rsidRPr="005C1E7C" w:rsidRDefault="00ED7280" w:rsidP="00ED7280">
      <w:pPr>
        <w:rPr>
          <w:b/>
          <w:bCs/>
          <w:sz w:val="28"/>
          <w:szCs w:val="28"/>
        </w:rPr>
      </w:pPr>
      <w:r w:rsidRPr="005C1E7C">
        <w:rPr>
          <w:b/>
          <w:bCs/>
          <w:sz w:val="28"/>
          <w:szCs w:val="28"/>
        </w:rPr>
        <w:t>Why that statement is wrong—quick cites</w:t>
      </w:r>
    </w:p>
    <w:p w14:paraId="29005EE8" w14:textId="39D65A67" w:rsidR="00ED7280" w:rsidRPr="00ED7280" w:rsidRDefault="00ED7280" w:rsidP="00ED7280">
      <w:pPr>
        <w:numPr>
          <w:ilvl w:val="0"/>
          <w:numId w:val="14"/>
        </w:numPr>
      </w:pPr>
      <w:r w:rsidRPr="00ED7280">
        <w:t xml:space="preserve">Federal statute: Districts are not required to use an IQ–achievement severe discrepancy to identify SLD; they may use RTI and other research-based procedures. 20 U.S.C. § 1414(b)(6)(A)–(B). </w:t>
      </w:r>
    </w:p>
    <w:p w14:paraId="0E45B464" w14:textId="77A41CA1" w:rsidR="00ED7280" w:rsidRPr="00ED7280" w:rsidRDefault="00ED7280" w:rsidP="00ED7280">
      <w:pPr>
        <w:numPr>
          <w:ilvl w:val="0"/>
          <w:numId w:val="14"/>
        </w:numPr>
      </w:pPr>
      <w:r w:rsidRPr="00ED7280">
        <w:t>Federal regs (state criteria): States must not require a severe discrepancy, must permit RTI, and may permit other research-based procedures (e.g., PSW). 34 C.F.R. § 300.307(a)(1)</w:t>
      </w:r>
      <w:proofErr w:type="gramStart"/>
      <w:r w:rsidRPr="00ED7280">
        <w:t>–(</w:t>
      </w:r>
      <w:proofErr w:type="gramEnd"/>
      <w:r w:rsidRPr="00ED7280">
        <w:t>3).</w:t>
      </w:r>
    </w:p>
    <w:p w14:paraId="23260618" w14:textId="22086CDC" w:rsidR="00ED7280" w:rsidRPr="00ED7280" w:rsidRDefault="00ED7280" w:rsidP="00ED7280">
      <w:pPr>
        <w:numPr>
          <w:ilvl w:val="0"/>
          <w:numId w:val="14"/>
        </w:numPr>
      </w:pPr>
      <w:r w:rsidRPr="00ED7280">
        <w:t>Federal regs (team decision): A child may be found SLD if (a) achievement is inadequate and either (</w:t>
      </w:r>
      <w:proofErr w:type="spellStart"/>
      <w:r w:rsidRPr="00ED7280">
        <w:t>i</w:t>
      </w:r>
      <w:proofErr w:type="spellEnd"/>
      <w:r w:rsidRPr="00ED7280">
        <w:t>) the child doesn’t make sufficient progress under an RTI process or (ii) shows a pattern of strengths &amp; weaknesses (PSW)—not just discrepancy. 34 C.F.R. § 300.309(a)(2)(</w:t>
      </w:r>
      <w:proofErr w:type="spellStart"/>
      <w:r w:rsidRPr="00ED7280">
        <w:t>i</w:t>
      </w:r>
      <w:proofErr w:type="spellEnd"/>
      <w:r w:rsidRPr="00ED7280">
        <w:t xml:space="preserve">)–(ii). </w:t>
      </w:r>
    </w:p>
    <w:p w14:paraId="04C48F2E" w14:textId="12838349" w:rsidR="00ED7280" w:rsidRPr="00ED7280" w:rsidRDefault="00ED7280" w:rsidP="00ED7280">
      <w:pPr>
        <w:numPr>
          <w:ilvl w:val="0"/>
          <w:numId w:val="14"/>
        </w:numPr>
      </w:pPr>
      <w:r w:rsidRPr="00ED7280">
        <w:t xml:space="preserve">No “single test” gatekeeping: Teams may not use any single measure (like a discrepancy score) as the sole criterion for eligibility. 34 C.F.R. § 300.304(b)(2). </w:t>
      </w:r>
    </w:p>
    <w:p w14:paraId="57E25AF0" w14:textId="77777777" w:rsidR="00223B70" w:rsidRDefault="00ED7280" w:rsidP="00ED7280">
      <w:pPr>
        <w:numPr>
          <w:ilvl w:val="0"/>
          <w:numId w:val="14"/>
        </w:numPr>
      </w:pPr>
      <w:r w:rsidRPr="00ED7280">
        <w:lastRenderedPageBreak/>
        <w:t xml:space="preserve">RTI cannot be a stall: OSEP warns districts may not use RTI/MTSS to delay or deny a timely IDEA evaluation. OSEP Memorandum 11-07 (Jan. 21, 2011). </w:t>
      </w:r>
    </w:p>
    <w:p w14:paraId="64A13984" w14:textId="52E28A59" w:rsidR="00ED7280" w:rsidRPr="005C1E7C" w:rsidRDefault="00ED7280" w:rsidP="00ED7280">
      <w:pPr>
        <w:numPr>
          <w:ilvl w:val="0"/>
          <w:numId w:val="14"/>
        </w:numPr>
        <w:rPr>
          <w:b/>
          <w:bCs/>
          <w:sz w:val="28"/>
          <w:szCs w:val="28"/>
        </w:rPr>
      </w:pPr>
      <w:r w:rsidRPr="005C1E7C">
        <w:rPr>
          <w:b/>
          <w:bCs/>
          <w:sz w:val="28"/>
          <w:szCs w:val="28"/>
        </w:rPr>
        <w:t>Case law you can cite</w:t>
      </w:r>
    </w:p>
    <w:p w14:paraId="1828675B" w14:textId="77777777" w:rsidR="00ED7280" w:rsidRPr="00ED7280" w:rsidRDefault="00ED7280" w:rsidP="00ED7280">
      <w:pPr>
        <w:numPr>
          <w:ilvl w:val="0"/>
          <w:numId w:val="15"/>
        </w:numPr>
      </w:pPr>
      <w:r w:rsidRPr="00ED7280">
        <w:t xml:space="preserve">State rules can’t mandate discrepancy: The Ninth Circuit condemned Hawaii regulations that required the severe-discrepancy model and recognized this could taint eligibility; the state later amended the rule to comply with IDEA (must allow RTI). </w:t>
      </w:r>
      <w:r w:rsidRPr="00ED7280">
        <w:rPr>
          <w:i/>
          <w:iCs/>
        </w:rPr>
        <w:t>M.P. (Michael P.) v. Hawaii DOE</w:t>
      </w:r>
      <w:r w:rsidRPr="00ED7280">
        <w:t xml:space="preserve">, 656 F.3d 1110 (9th Cir. 2011). </w:t>
      </w:r>
      <w:hyperlink r:id="rId6" w:tgtFrame="_blank" w:history="1">
        <w:r w:rsidRPr="00ED7280">
          <w:rPr>
            <w:rStyle w:val="Hyperlink"/>
            <w:color w:val="auto"/>
          </w:rPr>
          <w:t>Ninth Circuit Court of Appeals</w:t>
        </w:r>
      </w:hyperlink>
    </w:p>
    <w:p w14:paraId="6111BED6" w14:textId="77777777" w:rsidR="00ED7280" w:rsidRPr="00ED7280" w:rsidRDefault="00ED7280" w:rsidP="00ED7280">
      <w:pPr>
        <w:numPr>
          <w:ilvl w:val="0"/>
          <w:numId w:val="15"/>
        </w:numPr>
      </w:pPr>
      <w:r w:rsidRPr="00ED7280">
        <w:t xml:space="preserve">Child Find—can’t “wait for a discrepancy”: Child-Find claims are cognizable; districts violate IDEA by failing to timely evaluate when disability is suspected (you can’t sit on your hands while awaiting a bigger “gap”). </w:t>
      </w:r>
      <w:r w:rsidRPr="00ED7280">
        <w:rPr>
          <w:i/>
          <w:iCs/>
        </w:rPr>
        <w:t>Compton USD v. Addison</w:t>
      </w:r>
      <w:r w:rsidRPr="00ED7280">
        <w:t xml:space="preserve">, 598 F.3d 1181 (9th Cir. 2010). </w:t>
      </w:r>
      <w:hyperlink r:id="rId7" w:tgtFrame="_blank" w:history="1">
        <w:r w:rsidRPr="00ED7280">
          <w:rPr>
            <w:rStyle w:val="Hyperlink"/>
            <w:color w:val="auto"/>
          </w:rPr>
          <w:t>Ninth Circuit Court of Appeals+1</w:t>
        </w:r>
      </w:hyperlink>
    </w:p>
    <w:p w14:paraId="00D2FB1A" w14:textId="790CF742" w:rsidR="00ED7280" w:rsidRPr="00ED7280" w:rsidRDefault="00ED7280" w:rsidP="00ED7280">
      <w:pPr>
        <w:numPr>
          <w:ilvl w:val="0"/>
          <w:numId w:val="15"/>
        </w:numPr>
      </w:pPr>
      <w:r w:rsidRPr="00ED7280">
        <w:t xml:space="preserve">Comprehensive evaluation: Courts require assessment in all suspected areas; failure to do so violates IDEA (another reason a single discrepancy rule fails). </w:t>
      </w:r>
      <w:r w:rsidRPr="00ED7280">
        <w:rPr>
          <w:i/>
          <w:iCs/>
        </w:rPr>
        <w:t>N.B. v. Hellgate Elementary Sch. Dist.</w:t>
      </w:r>
      <w:r w:rsidRPr="00ED7280">
        <w:t xml:space="preserve">, 541 F.3d 1202 (9th Cir. 2008). </w:t>
      </w:r>
    </w:p>
    <w:p w14:paraId="38F7C261" w14:textId="77777777" w:rsidR="00ED7280" w:rsidRPr="00ED7280" w:rsidRDefault="00ED7280" w:rsidP="00ED7280">
      <w:pPr>
        <w:numPr>
          <w:ilvl w:val="0"/>
          <w:numId w:val="15"/>
        </w:numPr>
      </w:pPr>
      <w:r w:rsidRPr="00ED7280">
        <w:t xml:space="preserve">5th Cir. timing example: Using general-ed processes instead of promptly evaluating can breach Child Find. </w:t>
      </w:r>
      <w:r w:rsidRPr="00ED7280">
        <w:rPr>
          <w:i/>
          <w:iCs/>
        </w:rPr>
        <w:t>Spring Branch ISD v. O.W.</w:t>
      </w:r>
      <w:r w:rsidRPr="00ED7280">
        <w:t xml:space="preserve">, 961 F.3d 781 (5th Cir. 2020). </w:t>
      </w:r>
      <w:hyperlink r:id="rId8" w:tgtFrame="_blank" w:history="1">
        <w:r w:rsidRPr="00ED7280">
          <w:rPr>
            <w:rStyle w:val="Hyperlink"/>
            <w:color w:val="auto"/>
          </w:rPr>
          <w:t>Fifth Circuit Court+1</w:t>
        </w:r>
      </w:hyperlink>
    </w:p>
    <w:p w14:paraId="13E8C3FB" w14:textId="77777777" w:rsidR="00ED7280" w:rsidRPr="005C1E7C" w:rsidRDefault="00ED7280" w:rsidP="00ED7280">
      <w:pPr>
        <w:rPr>
          <w:b/>
          <w:bCs/>
          <w:sz w:val="28"/>
          <w:szCs w:val="28"/>
        </w:rPr>
      </w:pPr>
      <w:r w:rsidRPr="005C1E7C">
        <w:rPr>
          <w:b/>
          <w:bCs/>
          <w:sz w:val="28"/>
          <w:szCs w:val="28"/>
        </w:rPr>
        <w:t>Wyoming-specific backup</w:t>
      </w:r>
    </w:p>
    <w:p w14:paraId="63B330B9" w14:textId="6EEF9658" w:rsidR="00ED7280" w:rsidRPr="00ED7280" w:rsidRDefault="00ED7280" w:rsidP="00ED7280">
      <w:pPr>
        <w:numPr>
          <w:ilvl w:val="0"/>
          <w:numId w:val="16"/>
        </w:numPr>
      </w:pPr>
      <w:r w:rsidRPr="00ED7280">
        <w:t xml:space="preserve">WY allows options: WDE materials show teams may use either the Wyoming Severe Discrepancy Formula or an RTI process for SLD—i.e., discrepancy is optional, not mandatory (consistent with IDEA). </w:t>
      </w:r>
    </w:p>
    <w:p w14:paraId="6C61206A" w14:textId="5C4F758D" w:rsidR="00ED7280" w:rsidRPr="00ED7280" w:rsidRDefault="00ED7280" w:rsidP="00ED7280">
      <w:pPr>
        <w:numPr>
          <w:ilvl w:val="0"/>
          <w:numId w:val="16"/>
        </w:numPr>
      </w:pPr>
      <w:r w:rsidRPr="00ED7280">
        <w:t>Current Chapter 7 text: When a district chooses the discrepancy route, it must apply Wyoming’s formula—but that does not make discrepancy a universal prerequisite to SLD. (This aligns with 34 C.F.R. § 300.307’s “must not require” rule</w:t>
      </w:r>
      <w:r w:rsidR="00223B70">
        <w:t>).</w:t>
      </w:r>
      <w:r w:rsidR="00223B70" w:rsidRPr="00ED7280">
        <w:t xml:space="preserve"> </w:t>
      </w:r>
    </w:p>
    <w:p w14:paraId="6B05F295" w14:textId="77777777" w:rsidR="00ED7280" w:rsidRPr="00ED7280" w:rsidRDefault="00ED7280" w:rsidP="00ED7280">
      <w:pPr>
        <w:rPr>
          <w:color w:val="4F81BD" w:themeColor="accent1"/>
          <w:sz w:val="28"/>
          <w:szCs w:val="28"/>
        </w:rPr>
      </w:pPr>
      <w:r w:rsidRPr="00ED7280">
        <w:rPr>
          <w:color w:val="4F81BD" w:themeColor="accent1"/>
          <w:sz w:val="28"/>
          <w:szCs w:val="28"/>
        </w:rPr>
        <w:t>One-sentence script for your PWN request</w:t>
      </w:r>
    </w:p>
    <w:p w14:paraId="5E383A0F" w14:textId="77777777" w:rsidR="00ED7280" w:rsidRPr="005C1E7C" w:rsidRDefault="00ED7280" w:rsidP="00ED7280">
      <w:pPr>
        <w:rPr>
          <w:sz w:val="28"/>
          <w:szCs w:val="28"/>
        </w:rPr>
      </w:pPr>
      <w:r w:rsidRPr="005C1E7C">
        <w:rPr>
          <w:sz w:val="28"/>
          <w:szCs w:val="28"/>
        </w:rPr>
        <w:t xml:space="preserve">“Please issue Prior Written Notice explaining how the district’s reliance on a ‘discrepancy provision’ complies with 20 U.S.C. § 1414(b)(6) and 34 C.F.R. §§ 300.307, 300.309 and 300.304(b)(2), and identify why RTI/PSW pathways were rejected, given OSEP Memo 11-07 and cases such as </w:t>
      </w:r>
      <w:r w:rsidRPr="005C1E7C">
        <w:rPr>
          <w:i/>
          <w:iCs/>
          <w:sz w:val="28"/>
          <w:szCs w:val="28"/>
        </w:rPr>
        <w:t>M.P. v. Hawaii DOE</w:t>
      </w:r>
      <w:r w:rsidRPr="005C1E7C">
        <w:rPr>
          <w:sz w:val="28"/>
          <w:szCs w:val="28"/>
        </w:rPr>
        <w:t xml:space="preserve"> and </w:t>
      </w:r>
      <w:r w:rsidRPr="005C1E7C">
        <w:rPr>
          <w:i/>
          <w:iCs/>
          <w:sz w:val="28"/>
          <w:szCs w:val="28"/>
        </w:rPr>
        <w:t>Compton v. Addison</w:t>
      </w:r>
      <w:r w:rsidRPr="005C1E7C">
        <w:rPr>
          <w:sz w:val="28"/>
          <w:szCs w:val="28"/>
        </w:rPr>
        <w:t xml:space="preserve">.” </w:t>
      </w:r>
    </w:p>
    <w:p w14:paraId="19E35A22" w14:textId="355ED31A" w:rsidR="00680B01" w:rsidRDefault="00ED7280">
      <w:pPr>
        <w:pStyle w:val="Heading2"/>
      </w:pPr>
      <w:r>
        <w:t>7) Deliberate Indifference (ADA/§504) &amp; Stay‑Put</w:t>
      </w:r>
    </w:p>
    <w:p w14:paraId="4205779C" w14:textId="77777777" w:rsidR="00680B01" w:rsidRDefault="00000000">
      <w:r>
        <w:t>Parents may seek damages under §504/ADA where they prove ‘deliberate indifference’ (knowledge of likely violation and failure to act). During disputes, ‘Stay‑Put’ keeps the current placement/services in place until proceedings end.</w:t>
      </w:r>
    </w:p>
    <w:p w14:paraId="66CA6A6B" w14:textId="77777777" w:rsidR="00680B01" w:rsidRPr="005C1E7C" w:rsidRDefault="00000000">
      <w:pPr>
        <w:pStyle w:val="ListBullet"/>
        <w:rPr>
          <w:b/>
          <w:bCs/>
          <w:sz w:val="28"/>
          <w:szCs w:val="28"/>
        </w:rPr>
      </w:pPr>
      <w:r w:rsidRPr="005C1E7C">
        <w:rPr>
          <w:b/>
          <w:bCs/>
          <w:sz w:val="28"/>
          <w:szCs w:val="28"/>
        </w:rPr>
        <w:t>Legal backup:</w:t>
      </w:r>
    </w:p>
    <w:p w14:paraId="7E618766" w14:textId="77777777" w:rsidR="00680B01" w:rsidRDefault="00000000">
      <w:r>
        <w:t>• Duvall v. County of Kitsap, 260 F.3d 1124 (9th Cir. 2001) — Deliberate indifference standard.</w:t>
      </w:r>
    </w:p>
    <w:p w14:paraId="7E944FE8" w14:textId="77777777" w:rsidR="00680B01" w:rsidRDefault="00000000">
      <w:r>
        <w:t>• S.H. v. Lower Merion Sch. Dist., 729 F.3d 248 (3d Cir. 2013) — §504/ADA intentional discrimination uses deliberate indifference standard.</w:t>
      </w:r>
    </w:p>
    <w:p w14:paraId="1ACA813A" w14:textId="77777777" w:rsidR="00680B01" w:rsidRDefault="00000000">
      <w:r>
        <w:t>• 34 C.F.R. § 300.518 — ‘Stay‑Put’ keeps current placement during due process.</w:t>
      </w:r>
    </w:p>
    <w:p w14:paraId="65CC50FB" w14:textId="77777777" w:rsidR="00680B01" w:rsidRDefault="00000000">
      <w:r>
        <w:lastRenderedPageBreak/>
        <w:t>• N.D. v. Hawaii DOE, 600 F.3d 1104 (9th Cir. 2010) — Explains scope/limits of stay‑put in system‑wide changes.</w:t>
      </w:r>
    </w:p>
    <w:p w14:paraId="6A4B8EE3" w14:textId="77777777" w:rsidR="00680B01" w:rsidRDefault="00000000">
      <w:pPr>
        <w:pStyle w:val="Heading2"/>
      </w:pPr>
      <w:r>
        <w:t>Practical How‑To for Parents (Use in Meetings &amp; PWNs)</w:t>
      </w:r>
    </w:p>
    <w:p w14:paraId="6FB59545" w14:textId="77777777" w:rsidR="00680B01" w:rsidRDefault="00000000">
      <w:pPr>
        <w:pStyle w:val="ListNumber"/>
      </w:pPr>
      <w:r>
        <w:t>Bring this handout and cite the law by section number and case name.</w:t>
      </w:r>
    </w:p>
    <w:p w14:paraId="242C6D1B" w14:textId="77777777" w:rsidR="00680B01" w:rsidRDefault="00000000">
      <w:pPr>
        <w:pStyle w:val="ListNumber"/>
      </w:pPr>
      <w:r>
        <w:t>If the district refuses a methodology that worked (e.g., Wilson), ask the team to document progress data and why the proposed alternative is reasonably calculated to enable appropriate progress (Endrew F.).</w:t>
      </w:r>
    </w:p>
    <w:p w14:paraId="57627428" w14:textId="6B5B9EBC" w:rsidR="00680B01" w:rsidRDefault="00000000">
      <w:pPr>
        <w:pStyle w:val="ListNumber"/>
      </w:pPr>
      <w:r>
        <w:t>If ESY is denied, request a written analysis of each ESY factor the team considered and the data relied upon</w:t>
      </w:r>
      <w:r w:rsidR="00DF5991">
        <w:t xml:space="preserve"> in the PWN</w:t>
      </w:r>
    </w:p>
    <w:p w14:paraId="770F0A14" w14:textId="77777777" w:rsidR="00680B01" w:rsidRDefault="00000000">
      <w:pPr>
        <w:pStyle w:val="ListNumber"/>
      </w:pPr>
      <w:r>
        <w:t>If evaluation is delayed due to RTI/MTSS, cite OSEP Memo 11‑07 and request an immediate comprehensive evaluation under 34 C.F.R. §§ 300.304–300.305.</w:t>
      </w:r>
    </w:p>
    <w:p w14:paraId="1702A285" w14:textId="77777777" w:rsidR="00680B01" w:rsidRDefault="00000000">
      <w:pPr>
        <w:pStyle w:val="ListNumber"/>
      </w:pPr>
      <w:r>
        <w:t>If services are reduced during a dispute, invoke Stay‑Put (34 C.F.R. § 300.518) in writing.</w:t>
      </w:r>
    </w:p>
    <w:p w14:paraId="5B218887" w14:textId="77777777" w:rsidR="00680B01" w:rsidRDefault="00000000">
      <w:pPr>
        <w:pStyle w:val="Heading3"/>
      </w:pPr>
      <w:r>
        <w:t>Primary Sources (Quick Citations)</w:t>
      </w:r>
    </w:p>
    <w:p w14:paraId="307F966F" w14:textId="77777777" w:rsidR="00680B01" w:rsidRDefault="00000000">
      <w:r>
        <w:t>• 34 C.F.R. § 300.8(c)(10) (SLD includes dyslexia).</w:t>
      </w:r>
    </w:p>
    <w:p w14:paraId="29BAEFAD" w14:textId="77777777" w:rsidR="00680B01" w:rsidRDefault="00000000">
      <w:r>
        <w:t>• 34 C.F.R. § 300.304(b)(2) (multiple measures; no single test).</w:t>
      </w:r>
    </w:p>
    <w:p w14:paraId="0389810A" w14:textId="77777777" w:rsidR="00680B01" w:rsidRDefault="00000000">
      <w:r>
        <w:t>• 34 C.F.R. § 300.101 (FAPE available to all).</w:t>
      </w:r>
    </w:p>
    <w:p w14:paraId="4D281128" w14:textId="77777777" w:rsidR="00680B01" w:rsidRDefault="00000000">
      <w:r>
        <w:t>• 34 C.F.R. § 300.518 (Stay‑Put).</w:t>
      </w:r>
    </w:p>
    <w:p w14:paraId="15271209" w14:textId="77777777" w:rsidR="00680B01" w:rsidRDefault="00000000">
      <w:r>
        <w:t>• OSEP Memo 11‑07 (RTI/MTSS cannot delay/deny evaluation).</w:t>
      </w:r>
    </w:p>
    <w:p w14:paraId="16EBA955" w14:textId="77777777" w:rsidR="00680B01" w:rsidRDefault="00000000">
      <w:r>
        <w:t>• Johnson v. ISD No. 4 of Bixby, 921 F.2d 1022 (10th Cir. 1990) (ESY).</w:t>
      </w:r>
    </w:p>
    <w:p w14:paraId="69CBCEFC" w14:textId="77777777" w:rsidR="00680B01" w:rsidRDefault="00000000">
      <w:r>
        <w:t>• Reusch v. Fountain, 872 F. Supp. 1421 (D. Md. 1994) (ESY factors).</w:t>
      </w:r>
    </w:p>
    <w:p w14:paraId="4AD080B9" w14:textId="77777777" w:rsidR="00680B01" w:rsidRDefault="00000000">
      <w:r>
        <w:t>• Cedar Rapids v. Garret F., 526 U.S. 66 (1999) (cost not a defense).</w:t>
      </w:r>
    </w:p>
    <w:p w14:paraId="3BE7179E" w14:textId="77777777" w:rsidR="00680B01" w:rsidRDefault="00000000">
      <w:r>
        <w:t>• Deal v. Hamilton Cty. Bd. of Educ., 392 F.3d 840 (6th Cir. 2004) (predetermination/methodology).</w:t>
      </w:r>
    </w:p>
    <w:p w14:paraId="2B81DD25" w14:textId="77777777" w:rsidR="00680B01" w:rsidRDefault="00000000">
      <w:r>
        <w:t>• Duvall v. County of Kitsap, 260 F.3d 1124 (9th Cir. 2001) (deliberate indifference).</w:t>
      </w:r>
    </w:p>
    <w:p w14:paraId="300D98A1" w14:textId="77777777" w:rsidR="00680B01" w:rsidRDefault="00000000">
      <w:r>
        <w:t>• S.H. v. Lower Merion Sch. Dist., 729 F.3d 248 (3d Cir. 2013) (§504/ADA standard).</w:t>
      </w:r>
    </w:p>
    <w:p w14:paraId="14A51735" w14:textId="77777777" w:rsidR="00680B01" w:rsidRDefault="00000000">
      <w:r>
        <w:t>• Wyoming: Chapter 7 – Services for Children with Disabilities (WDE).</w:t>
      </w:r>
    </w:p>
    <w:sectPr w:rsidR="00680B01" w:rsidSect="00DF59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D0086"/>
    <w:multiLevelType w:val="multilevel"/>
    <w:tmpl w:val="A7BE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4D2514"/>
    <w:multiLevelType w:val="hybridMultilevel"/>
    <w:tmpl w:val="717E7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2F23E5"/>
    <w:multiLevelType w:val="multilevel"/>
    <w:tmpl w:val="6AFA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3458AC"/>
    <w:multiLevelType w:val="hybridMultilevel"/>
    <w:tmpl w:val="2C3A2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26D74"/>
    <w:multiLevelType w:val="hybridMultilevel"/>
    <w:tmpl w:val="93CC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30C85"/>
    <w:multiLevelType w:val="hybridMultilevel"/>
    <w:tmpl w:val="21CE52FE"/>
    <w:lvl w:ilvl="0" w:tplc="5E7C26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F2925"/>
    <w:multiLevelType w:val="multilevel"/>
    <w:tmpl w:val="4ADA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C042B4"/>
    <w:multiLevelType w:val="hybridMultilevel"/>
    <w:tmpl w:val="589CC9F0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7" w15:restartNumberingAfterBreak="0">
    <w:nsid w:val="59554C8D"/>
    <w:multiLevelType w:val="hybridMultilevel"/>
    <w:tmpl w:val="0C08D8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86D5D06"/>
    <w:multiLevelType w:val="hybridMultilevel"/>
    <w:tmpl w:val="07D85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B75BFA"/>
    <w:multiLevelType w:val="hybridMultilevel"/>
    <w:tmpl w:val="E5EAF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29145">
    <w:abstractNumId w:val="8"/>
  </w:num>
  <w:num w:numId="2" w16cid:durableId="1235890694">
    <w:abstractNumId w:val="6"/>
  </w:num>
  <w:num w:numId="3" w16cid:durableId="2123767642">
    <w:abstractNumId w:val="5"/>
  </w:num>
  <w:num w:numId="4" w16cid:durableId="472675661">
    <w:abstractNumId w:val="4"/>
  </w:num>
  <w:num w:numId="5" w16cid:durableId="322970474">
    <w:abstractNumId w:val="7"/>
  </w:num>
  <w:num w:numId="6" w16cid:durableId="2034070579">
    <w:abstractNumId w:val="3"/>
  </w:num>
  <w:num w:numId="7" w16cid:durableId="970398754">
    <w:abstractNumId w:val="2"/>
  </w:num>
  <w:num w:numId="8" w16cid:durableId="1404792125">
    <w:abstractNumId w:val="1"/>
  </w:num>
  <w:num w:numId="9" w16cid:durableId="1371342779">
    <w:abstractNumId w:val="0"/>
  </w:num>
  <w:num w:numId="10" w16cid:durableId="1389182896">
    <w:abstractNumId w:val="19"/>
  </w:num>
  <w:num w:numId="11" w16cid:durableId="92559371">
    <w:abstractNumId w:val="18"/>
  </w:num>
  <w:num w:numId="12" w16cid:durableId="1198086027">
    <w:abstractNumId w:val="12"/>
  </w:num>
  <w:num w:numId="13" w16cid:durableId="1624845098">
    <w:abstractNumId w:val="14"/>
  </w:num>
  <w:num w:numId="14" w16cid:durableId="1576816401">
    <w:abstractNumId w:val="9"/>
  </w:num>
  <w:num w:numId="15" w16cid:durableId="778188001">
    <w:abstractNumId w:val="11"/>
  </w:num>
  <w:num w:numId="16" w16cid:durableId="388384424">
    <w:abstractNumId w:val="15"/>
  </w:num>
  <w:num w:numId="17" w16cid:durableId="440880860">
    <w:abstractNumId w:val="10"/>
  </w:num>
  <w:num w:numId="18" w16cid:durableId="96296864">
    <w:abstractNumId w:val="16"/>
  </w:num>
  <w:num w:numId="19" w16cid:durableId="476383760">
    <w:abstractNumId w:val="13"/>
  </w:num>
  <w:num w:numId="20" w16cid:durableId="16857861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874"/>
    <w:rsid w:val="0015074B"/>
    <w:rsid w:val="00223B70"/>
    <w:rsid w:val="00224DF2"/>
    <w:rsid w:val="0029639D"/>
    <w:rsid w:val="002C0795"/>
    <w:rsid w:val="00326F90"/>
    <w:rsid w:val="005C1E7C"/>
    <w:rsid w:val="00680B01"/>
    <w:rsid w:val="006945B1"/>
    <w:rsid w:val="00715E2F"/>
    <w:rsid w:val="007669E3"/>
    <w:rsid w:val="009A743E"/>
    <w:rsid w:val="00AA1D8D"/>
    <w:rsid w:val="00B47730"/>
    <w:rsid w:val="00BE267C"/>
    <w:rsid w:val="00CB0664"/>
    <w:rsid w:val="00DF5991"/>
    <w:rsid w:val="00E25035"/>
    <w:rsid w:val="00ED7280"/>
    <w:rsid w:val="00FC01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81A5B3"/>
  <w14:defaultImageDpi w14:val="300"/>
  <w15:docId w15:val="{6B3845DA-1475-4DF3-944B-96E47F2F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D72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5.uscourts.gov/opinions/pub/18/18-20274-CV1.pdf?utm_source=chatgpt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cdn.ca9.uscourts.gov/datastore/opinions/2010/03/22/07-55751.pdf?utm_source=chatgp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dn.ca9.uscourts.gov/datastore/opinions/2011/09/08/09-16078.pdf?utm_source=chatgpt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8</cp:revision>
  <dcterms:created xsi:type="dcterms:W3CDTF">2025-09-22T01:49:00Z</dcterms:created>
  <dcterms:modified xsi:type="dcterms:W3CDTF">2025-09-23T18:09:00Z</dcterms:modified>
  <cp:category/>
</cp:coreProperties>
</file>