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2560320" cy="2003729"/>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560320" cy="20037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color w:val="003866"/>
          <w:sz w:val="32"/>
          <w:szCs w:val="32"/>
          <w:rtl w:val="0"/>
        </w:rPr>
        <w:t xml:space="preserve">Can a School District Refuse to Name a Specific Reading Program or Methodology in a Child’s IEP?</w:t>
      </w:r>
      <w:r w:rsidDel="00000000" w:rsidR="00000000" w:rsidRPr="00000000">
        <w:rPr>
          <w:rtl w:val="0"/>
        </w:rPr>
      </w:r>
    </w:p>
    <w:p w:rsidR="00000000" w:rsidDel="00000000" w:rsidP="00000000" w:rsidRDefault="00000000" w:rsidRPr="00000000" w14:paraId="00000003">
      <w:pPr>
        <w:rPr/>
      </w:pPr>
      <w:r w:rsidDel="00000000" w:rsidR="00000000" w:rsidRPr="00000000">
        <w:rPr>
          <w:b w:val="1"/>
          <w:color w:val="b8860b"/>
          <w:sz w:val="24"/>
          <w:szCs w:val="24"/>
          <w:rtl w:val="0"/>
        </w:rPr>
        <w:t xml:space="preserve">1. The Statement at Issue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 Wyoming district has recently told a family in writing:</w:t>
        <w:br w:type="textWrapping"/>
        <w:br w:type="textWrapping"/>
        <w:t xml:space="preserve">“Please note that we will not write specific programs, publishers, or methodologies into the IEP. This is supported by case law and legal guidance, which I am certain your lawyer can advise you of.  While it has been a past practice in our district, moving forward, we will write IEPs that address student needs but remain flexible so we can be responsive when the data indicate we need to do something different.”</w:t>
        <w:br w:type="textWrapping"/>
        <w:br w:type="textWrapping"/>
        <w:t xml:space="preserve">This statement is legally incorrect. Neither the Individuals with Disabilities Education Act (IDEA) nor Wyoming law prohibits an IEP team from naming specific programs or instructional methodologies when those methods are necessary for the child’s progress.</w:t>
      </w:r>
    </w:p>
    <w:p w:rsidR="00000000" w:rsidDel="00000000" w:rsidP="00000000" w:rsidRDefault="00000000" w:rsidRPr="00000000" w14:paraId="00000005">
      <w:pPr>
        <w:rPr/>
      </w:pPr>
      <w:r w:rsidDel="00000000" w:rsidR="00000000" w:rsidRPr="00000000">
        <w:rPr>
          <w:b w:val="1"/>
          <w:color w:val="003866"/>
          <w:sz w:val="24"/>
          <w:szCs w:val="24"/>
          <w:rtl w:val="0"/>
        </w:rPr>
        <w:t xml:space="preserve">2. What Federal Law Actually Requires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IEP must be individualized—not generic, not based on district policy. Under 20 U.S.C. § 1414(d)(1)(A)(i) and 34 C.F.R. §§ 300.320–324, an IEP must specify the special education and related services to be provided, the frequency, duration, and location of those services, and the methods or supports necessary for the child to make appropriate progress.</w:t>
        <w:br w:type="textWrapping"/>
        <w:br w:type="textWrapping"/>
        <w:t xml:space="preserve">The U.S. Department of Education (OSEP) clarified in the Federal Register that:</w:t>
        <w:br w:type="textWrapping"/>
        <w:t xml:space="preserve">“If a particular instructional methodology is necessary for the child to receive FAPE, the IEP must include that methodology.” (71 Fed. Reg. 46665, Aug. 14, 2006)</w:t>
        <w:br w:type="textWrapping"/>
        <w:br w:type="textWrapping"/>
        <w:t xml:space="preserve">Thus, if a child’s data show that a structured literacy program such as Wilson Reading, Orton-Gillingham, or Barton is essential, it must be specified in the IEP.</w:t>
      </w:r>
    </w:p>
    <w:p w:rsidR="00000000" w:rsidDel="00000000" w:rsidP="00000000" w:rsidRDefault="00000000" w:rsidRPr="00000000" w14:paraId="00000007">
      <w:pPr>
        <w:rPr/>
      </w:pPr>
      <w:r w:rsidDel="00000000" w:rsidR="00000000" w:rsidRPr="00000000">
        <w:rPr>
          <w:b w:val="1"/>
          <w:color w:val="b8860b"/>
          <w:sz w:val="24"/>
          <w:szCs w:val="24"/>
          <w:rtl w:val="0"/>
        </w:rPr>
        <w:t xml:space="preserve">3. Wyoming’s Rule: Individual Needs, Not Availability</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Wyoming Department of Education’s Chapter 7 Rules reinforce this principle:</w:t>
        <w:br w:type="textWrapping"/>
        <w:t xml:space="preserve">“Each district shall ensure that the IEP team determines the services to be provided based upon the individual needs of the child, not the availability of services within the district.” (WDE Chapter 7, § 4(g))</w:t>
        <w:br w:type="textWrapping"/>
        <w:br w:type="textWrapping"/>
        <w:t xml:space="preserve">A district-wide refusal to include a specific methodology violates both IDEA and Wyoming law, as it substitutes administrative preference for individualized decision-making.</w:t>
      </w:r>
    </w:p>
    <w:p w:rsidR="00000000" w:rsidDel="00000000" w:rsidP="00000000" w:rsidRDefault="00000000" w:rsidRPr="00000000" w14:paraId="00000009">
      <w:pPr>
        <w:rPr/>
      </w:pPr>
      <w:r w:rsidDel="00000000" w:rsidR="00000000" w:rsidRPr="00000000">
        <w:rPr>
          <w:b w:val="1"/>
          <w:color w:val="003866"/>
          <w:sz w:val="24"/>
          <w:szCs w:val="24"/>
          <w:rtl w:val="0"/>
        </w:rPr>
        <w:t xml:space="preserve">4. Key Federal Cases Supporting This Principle</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R.E.B. v. Hawaii Department of Education (9th Cir. 2018): Held that when a methodology is critical for a child to access education, it must be specified in the IEP.</w:t>
        <w:br w:type="textWrapping"/>
        <w:br w:type="textWrapping"/>
        <w:t xml:space="preserve">O.R. v. Clark County School District (D. Nev. 2018): In a dyslexia case, the district refused to use the Orton-Gillingham methodology recommended by evaluation. The court found this denied FAPE and ordered reimbursement for private-school costs.</w:t>
        <w:br w:type="textWrapping"/>
        <w:br w:type="textWrapping"/>
        <w:t xml:space="preserve">Deal v. Hamilton County Board of Education (6th Cir. 2004): Found a district violated IDEA by refusing to consider Applied Behavior Analysis due to policy.</w:t>
        <w:br w:type="textWrapping"/>
        <w:br w:type="textWrapping"/>
        <w:t xml:space="preserve">R.E. v. New York City Department of Education (2d Cir. 2012): Held that flexibility cannot replace individualized instruction.</w:t>
        <w:br w:type="textWrapping"/>
        <w:br w:type="textWrapping"/>
        <w:t xml:space="preserve">Endrew F. v. Douglas County School District (U.S. 2017): Clarified that an IEP must be ‘reasonably calculated to enable progress appropriate in light of the child’s circumstances.’</w:t>
      </w:r>
    </w:p>
    <w:p w:rsidR="00000000" w:rsidDel="00000000" w:rsidP="00000000" w:rsidRDefault="00000000" w:rsidRPr="00000000" w14:paraId="0000000B">
      <w:pPr>
        <w:rPr/>
      </w:pPr>
      <w:r w:rsidDel="00000000" w:rsidR="00000000" w:rsidRPr="00000000">
        <w:rPr>
          <w:b w:val="1"/>
          <w:color w:val="b8860b"/>
          <w:sz w:val="24"/>
          <w:szCs w:val="24"/>
          <w:rtl w:val="0"/>
        </w:rPr>
        <w:t xml:space="preserve">5. Why Blanket “No-Methodology” Policies Are Illegal</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Such a statement or policy:</w:t>
        <w:br w:type="textWrapping"/>
        <w:t xml:space="preserve">• Predetermines IEP content (34 C.F.R. § 300.501(b))</w:t>
        <w:br w:type="textWrapping"/>
        <w:t xml:space="preserve">• Denies parental participation and meaningful input</w:t>
        <w:br w:type="textWrapping"/>
        <w:t xml:space="preserve">• Violates the individualization requirement under IDEA and WDE Chapter 7 § 4(g)</w:t>
        <w:br w:type="textWrapping"/>
        <w:t xml:space="preserve">• Risks denial of FAPE under Endrew F. and R.E.B.</w:t>
        <w:br w:type="textWrapping"/>
        <w:t xml:space="preserve">• Has been rejected by federal courts (O.R., Deal, R.E.)</w:t>
      </w:r>
    </w:p>
    <w:p w:rsidR="00000000" w:rsidDel="00000000" w:rsidP="00000000" w:rsidRDefault="00000000" w:rsidRPr="00000000" w14:paraId="0000000D">
      <w:pPr>
        <w:rPr/>
      </w:pPr>
      <w:r w:rsidDel="00000000" w:rsidR="00000000" w:rsidRPr="00000000">
        <w:rPr>
          <w:b w:val="1"/>
          <w:color w:val="003866"/>
          <w:sz w:val="24"/>
          <w:szCs w:val="24"/>
          <w:rtl w:val="0"/>
        </w:rPr>
        <w:t xml:space="preserve">6. The Correct Legal Standard</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IEP must be individualized, based on data — 20 U.S.C. § 1414(d); 34 C.F.R. § 300.324</w:t>
        <w:br w:type="textWrapping"/>
        <w:t xml:space="preserve">Methodology must be included if essential — 71 Fed. Reg. 46665 (OSEP)</w:t>
        <w:br w:type="textWrapping"/>
        <w:t xml:space="preserve">Districts cannot limit services based on availability — WDE Ch. 7 § 4(g)</w:t>
        <w:br w:type="textWrapping"/>
        <w:t xml:space="preserve">Predetermination violates IDEA — 34 C.F.R. § 300.501(b); Deal, 392 F.3d 840</w:t>
        <w:br w:type="textWrapping"/>
        <w:t xml:space="preserve">Courts require inclusion of necessary methods — R.E.B., O.R., R.E.</w:t>
        <w:br w:type="textWrapping"/>
        <w:t xml:space="preserve">FAPE requires meaningful progress — Endrew F., 580 U.S. 386</w:t>
      </w:r>
    </w:p>
    <w:p w:rsidR="00000000" w:rsidDel="00000000" w:rsidP="00000000" w:rsidRDefault="00000000" w:rsidRPr="00000000" w14:paraId="0000000F">
      <w:pPr>
        <w:rPr/>
      </w:pPr>
      <w:r w:rsidDel="00000000" w:rsidR="00000000" w:rsidRPr="00000000">
        <w:rPr>
          <w:b w:val="1"/>
          <w:color w:val="b8860b"/>
          <w:sz w:val="24"/>
          <w:szCs w:val="24"/>
          <w:rtl w:val="0"/>
        </w:rPr>
        <w:t xml:space="preserve">7. Bottom Line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District officials cannot lawfully forbid IEP teams from identifying or continuing a specific reading methodology when it is necessary for the child’s progress. Statements such as “we will not write specific programs into IEPs” violate federal and Wyoming law when applied as a blanket policy. The IEP team—not the district administrator—determines what methods are required. Refusing to include an effective structured literacy method can result in denial of FAPE and reimbursement orders, as seen in O.R. v. Clark County SD.</w:t>
      </w:r>
    </w:p>
    <w:p w:rsidR="00000000" w:rsidDel="00000000" w:rsidP="00000000" w:rsidRDefault="00000000" w:rsidRPr="00000000" w14:paraId="00000011">
      <w:pPr>
        <w:rPr/>
      </w:pPr>
      <w:r w:rsidDel="00000000" w:rsidR="00000000" w:rsidRPr="00000000">
        <w:rPr>
          <w:b w:val="1"/>
          <w:color w:val="003866"/>
          <w:sz w:val="24"/>
          <w:szCs w:val="24"/>
          <w:rtl w:val="0"/>
        </w:rPr>
        <w:t xml:space="preserve">8. Parent Action Steps</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1. Request Prior Written Notice (PWN) under 34 C.F.R. § 300.503 if a district refuses to include a methodology.</w:t>
        <w:br w:type="textWrapping"/>
        <w:t xml:space="preserve">2. Provide data (reading assessments, progress monitoring, private evaluations) showing why the program is necessary.</w:t>
        <w:br w:type="textWrapping"/>
        <w:t xml:space="preserve">3. Cite R.E.B., O.R., Deal, Endrew F., and WDE Chapter 7 § 4(g) in writing.</w:t>
        <w:br w:type="textWrapping"/>
        <w:t xml:space="preserve">4. File a State Complaint with the WDE or request mediation/due process if the district continues applying a blanket “no-program” rule.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5+klwY/zavDZ4mJo63IlGkWA7Q==">CgMxLjA4AHIhMWdLZlpBbmdEWXdTRHFLNlJjQmNUczFIZlhaX3RMLUw1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