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1CC32" w14:textId="77777777" w:rsidR="00F950B5" w:rsidRPr="00180831" w:rsidRDefault="00F950B5" w:rsidP="00F950B5">
      <w:pPr>
        <w:jc w:val="center"/>
        <w:rPr>
          <w:b/>
          <w:bCs/>
          <w:color w:val="EE0000"/>
          <w:sz w:val="32"/>
          <w:szCs w:val="32"/>
        </w:rPr>
      </w:pPr>
      <w:r w:rsidRPr="00180831">
        <w:rPr>
          <w:b/>
          <w:bCs/>
          <w:color w:val="EE0000"/>
          <w:sz w:val="32"/>
          <w:szCs w:val="32"/>
        </w:rPr>
        <w:t>Advocacy Handout Series: Protecting Your Child’s Rights Under IDEA</w:t>
      </w:r>
    </w:p>
    <w:p w14:paraId="52B8BA62" w14:textId="77777777" w:rsidR="00180831" w:rsidRDefault="00180831" w:rsidP="00F950B5">
      <w:pPr>
        <w:jc w:val="center"/>
        <w:rPr>
          <w:b/>
          <w:bCs/>
          <w:sz w:val="32"/>
          <w:szCs w:val="32"/>
        </w:rPr>
      </w:pPr>
    </w:p>
    <w:p w14:paraId="05C3847E" w14:textId="77777777" w:rsidR="00F950B5" w:rsidRPr="00F950B5" w:rsidRDefault="00F950B5" w:rsidP="00F950B5">
      <w:pPr>
        <w:numPr>
          <w:ilvl w:val="0"/>
          <w:numId w:val="1"/>
        </w:numPr>
      </w:pPr>
      <w:r w:rsidRPr="00F950B5">
        <w:rPr>
          <w:b/>
          <w:bCs/>
        </w:rPr>
        <w:t>Predetermination</w:t>
      </w:r>
    </w:p>
    <w:p w14:paraId="38BE7F96" w14:textId="77777777" w:rsidR="00F950B5" w:rsidRPr="00F950B5" w:rsidRDefault="00F950B5" w:rsidP="00F950B5">
      <w:pPr>
        <w:numPr>
          <w:ilvl w:val="1"/>
          <w:numId w:val="1"/>
        </w:numPr>
      </w:pPr>
      <w:r w:rsidRPr="00F950B5">
        <w:t>District drafts IEPs removing critical services or makes decisions outside the IEP team.</w:t>
      </w:r>
    </w:p>
    <w:p w14:paraId="7F315E9A" w14:textId="77777777" w:rsidR="00F950B5" w:rsidRPr="00F950B5" w:rsidRDefault="00F950B5" w:rsidP="00F950B5">
      <w:pPr>
        <w:numPr>
          <w:ilvl w:val="1"/>
          <w:numId w:val="1"/>
        </w:numPr>
      </w:pPr>
      <w:r w:rsidRPr="00F950B5">
        <w:t xml:space="preserve">Citations: </w:t>
      </w:r>
      <w:r w:rsidRPr="00F950B5">
        <w:rPr>
          <w:i/>
          <w:iCs/>
        </w:rPr>
        <w:t>Deal v. Hamilton County</w:t>
      </w:r>
      <w:r w:rsidRPr="00F950B5">
        <w:t xml:space="preserve">; </w:t>
      </w:r>
      <w:r w:rsidRPr="00F950B5">
        <w:rPr>
          <w:i/>
          <w:iCs/>
        </w:rPr>
        <w:t>R.E.B. v. Hawaii DOE</w:t>
      </w:r>
      <w:r w:rsidRPr="00F950B5">
        <w:t xml:space="preserve">; </w:t>
      </w:r>
      <w:r w:rsidRPr="00F950B5">
        <w:rPr>
          <w:i/>
          <w:iCs/>
        </w:rPr>
        <w:t>Nack v. Orange City</w:t>
      </w:r>
      <w:r w:rsidRPr="00F950B5">
        <w:t>.</w:t>
      </w:r>
    </w:p>
    <w:p w14:paraId="436B7FB2" w14:textId="77777777" w:rsidR="00F950B5" w:rsidRPr="00F950B5" w:rsidRDefault="00F950B5" w:rsidP="00F950B5">
      <w:pPr>
        <w:numPr>
          <w:ilvl w:val="0"/>
          <w:numId w:val="1"/>
        </w:numPr>
      </w:pPr>
      <w:r w:rsidRPr="00F950B5">
        <w:rPr>
          <w:b/>
          <w:bCs/>
        </w:rPr>
        <w:t>Extended School Year (ESY) Services</w:t>
      </w:r>
    </w:p>
    <w:p w14:paraId="0E0E955A" w14:textId="77777777" w:rsidR="00F950B5" w:rsidRPr="00F950B5" w:rsidRDefault="00F950B5" w:rsidP="00F950B5">
      <w:pPr>
        <w:numPr>
          <w:ilvl w:val="1"/>
          <w:numId w:val="1"/>
        </w:numPr>
      </w:pPr>
      <w:r w:rsidRPr="00F950B5">
        <w:t>Legal factors for ESY consideration (</w:t>
      </w:r>
      <w:proofErr w:type="spellStart"/>
      <w:r w:rsidRPr="00F950B5">
        <w:t>Wrightslaw</w:t>
      </w:r>
      <w:proofErr w:type="spellEnd"/>
      <w:r w:rsidRPr="00F950B5">
        <w:t xml:space="preserve"> “9 ESY Factors”).</w:t>
      </w:r>
    </w:p>
    <w:p w14:paraId="60844E52" w14:textId="77777777" w:rsidR="00F950B5" w:rsidRPr="00F950B5" w:rsidRDefault="00F950B5" w:rsidP="00F950B5">
      <w:pPr>
        <w:numPr>
          <w:ilvl w:val="1"/>
          <w:numId w:val="1"/>
        </w:numPr>
      </w:pPr>
      <w:r w:rsidRPr="00F950B5">
        <w:t>Courts rejecting regression/recoupment as the sole test.</w:t>
      </w:r>
    </w:p>
    <w:p w14:paraId="4EBD9B92" w14:textId="77777777" w:rsidR="00F950B5" w:rsidRPr="00F950B5" w:rsidRDefault="00F950B5" w:rsidP="00F950B5">
      <w:pPr>
        <w:numPr>
          <w:ilvl w:val="1"/>
          <w:numId w:val="1"/>
        </w:numPr>
      </w:pPr>
      <w:r w:rsidRPr="00F950B5">
        <w:t xml:space="preserve">Citations: </w:t>
      </w:r>
      <w:r w:rsidRPr="00F950B5">
        <w:rPr>
          <w:i/>
          <w:iCs/>
        </w:rPr>
        <w:t>Reusch v. Fountain</w:t>
      </w:r>
      <w:r w:rsidRPr="00F950B5">
        <w:t xml:space="preserve">, </w:t>
      </w:r>
      <w:r w:rsidRPr="00F950B5">
        <w:rPr>
          <w:i/>
          <w:iCs/>
        </w:rPr>
        <w:t>Johnson v. Independent School Dist. No. 4</w:t>
      </w:r>
      <w:r w:rsidRPr="00F950B5">
        <w:t>.</w:t>
      </w:r>
    </w:p>
    <w:p w14:paraId="5B060C93" w14:textId="77777777" w:rsidR="00F950B5" w:rsidRPr="00F950B5" w:rsidRDefault="00F950B5" w:rsidP="00F950B5">
      <w:pPr>
        <w:numPr>
          <w:ilvl w:val="0"/>
          <w:numId w:val="1"/>
        </w:numPr>
      </w:pPr>
      <w:r w:rsidRPr="00F950B5">
        <w:rPr>
          <w:b/>
          <w:bCs/>
        </w:rPr>
        <w:t>Methodology on the IEP</w:t>
      </w:r>
    </w:p>
    <w:p w14:paraId="121D49C2" w14:textId="77777777" w:rsidR="00F950B5" w:rsidRPr="00F950B5" w:rsidRDefault="00F950B5" w:rsidP="00F950B5">
      <w:pPr>
        <w:numPr>
          <w:ilvl w:val="1"/>
          <w:numId w:val="1"/>
        </w:numPr>
      </w:pPr>
      <w:r w:rsidRPr="00F950B5">
        <w:t>Parents’ right to request evidence-based instruction (e.g., Wilson/OG).</w:t>
      </w:r>
    </w:p>
    <w:p w14:paraId="08A34F9A" w14:textId="77777777" w:rsidR="00F950B5" w:rsidRPr="00F950B5" w:rsidRDefault="00F950B5" w:rsidP="00F950B5">
      <w:pPr>
        <w:numPr>
          <w:ilvl w:val="1"/>
          <w:numId w:val="1"/>
        </w:numPr>
      </w:pPr>
      <w:r w:rsidRPr="00F950B5">
        <w:t>Districts cannot insist only on “district-preferred” methods if ineffective.</w:t>
      </w:r>
    </w:p>
    <w:p w14:paraId="7C317C4A" w14:textId="77777777" w:rsidR="00F950B5" w:rsidRPr="00F950B5" w:rsidRDefault="00F950B5" w:rsidP="00F950B5">
      <w:pPr>
        <w:numPr>
          <w:ilvl w:val="1"/>
          <w:numId w:val="1"/>
        </w:numPr>
      </w:pPr>
      <w:r w:rsidRPr="00F950B5">
        <w:t xml:space="preserve">Citations: </w:t>
      </w:r>
      <w:r w:rsidRPr="00F950B5">
        <w:rPr>
          <w:i/>
          <w:iCs/>
        </w:rPr>
        <w:t>Ridley Sch. Dist. v. M.R.</w:t>
      </w:r>
      <w:r w:rsidRPr="00F950B5">
        <w:t xml:space="preserve">; </w:t>
      </w:r>
      <w:r w:rsidRPr="00F950B5">
        <w:rPr>
          <w:i/>
          <w:iCs/>
        </w:rPr>
        <w:t>Oberti v. Board of Educ.</w:t>
      </w:r>
    </w:p>
    <w:p w14:paraId="117A2FAD" w14:textId="77777777" w:rsidR="00F950B5" w:rsidRPr="00F950B5" w:rsidRDefault="00F950B5" w:rsidP="00F950B5">
      <w:pPr>
        <w:numPr>
          <w:ilvl w:val="0"/>
          <w:numId w:val="1"/>
        </w:numPr>
      </w:pPr>
      <w:r w:rsidRPr="00F950B5">
        <w:rPr>
          <w:b/>
          <w:bCs/>
        </w:rPr>
        <w:t>Standardized Tests Cannot Deny Services</w:t>
      </w:r>
    </w:p>
    <w:p w14:paraId="1783BF04" w14:textId="77777777" w:rsidR="00F950B5" w:rsidRPr="00F950B5" w:rsidRDefault="00F950B5" w:rsidP="00F950B5">
      <w:pPr>
        <w:numPr>
          <w:ilvl w:val="1"/>
          <w:numId w:val="1"/>
        </w:numPr>
      </w:pPr>
      <w:r w:rsidRPr="00F950B5">
        <w:t>IDEA requires “variety of assessment tools.” Reliance on one standardized test = unlawful.</w:t>
      </w:r>
    </w:p>
    <w:p w14:paraId="3443B4A6" w14:textId="77777777" w:rsidR="00F950B5" w:rsidRPr="00F950B5" w:rsidRDefault="00F950B5" w:rsidP="00F950B5">
      <w:pPr>
        <w:numPr>
          <w:ilvl w:val="1"/>
          <w:numId w:val="1"/>
        </w:numPr>
      </w:pPr>
      <w:r w:rsidRPr="00F950B5">
        <w:t>Citations: 20 U.S.C. § 1414; 34 C.F.R. § 300.304; IDA position papers.</w:t>
      </w:r>
    </w:p>
    <w:p w14:paraId="247626FD" w14:textId="77777777" w:rsidR="00F950B5" w:rsidRPr="00F950B5" w:rsidRDefault="00F950B5" w:rsidP="00F950B5">
      <w:pPr>
        <w:numPr>
          <w:ilvl w:val="0"/>
          <w:numId w:val="1"/>
        </w:numPr>
      </w:pPr>
      <w:r w:rsidRPr="00F950B5">
        <w:rPr>
          <w:b/>
          <w:bCs/>
        </w:rPr>
        <w:t>Deliberate Indifference under ADA/§504</w:t>
      </w:r>
    </w:p>
    <w:p w14:paraId="63C273DA" w14:textId="77777777" w:rsidR="00F950B5" w:rsidRPr="00F950B5" w:rsidRDefault="00F950B5" w:rsidP="00F950B5">
      <w:pPr>
        <w:numPr>
          <w:ilvl w:val="1"/>
          <w:numId w:val="1"/>
        </w:numPr>
      </w:pPr>
      <w:r w:rsidRPr="00F950B5">
        <w:t>When districts ignore known needs, they risk ADA and §504 liability.</w:t>
      </w:r>
    </w:p>
    <w:p w14:paraId="35E35806" w14:textId="77777777" w:rsidR="00F950B5" w:rsidRPr="00F950B5" w:rsidRDefault="00F950B5" w:rsidP="00F950B5">
      <w:pPr>
        <w:numPr>
          <w:ilvl w:val="1"/>
          <w:numId w:val="1"/>
        </w:numPr>
      </w:pPr>
      <w:r w:rsidRPr="00F950B5">
        <w:t xml:space="preserve">Citations: </w:t>
      </w:r>
      <w:r w:rsidRPr="00F950B5">
        <w:rPr>
          <w:i/>
          <w:iCs/>
        </w:rPr>
        <w:t>Duvall v. County of Kitsap</w:t>
      </w:r>
      <w:r w:rsidRPr="00F950B5">
        <w:t xml:space="preserve">; </w:t>
      </w:r>
      <w:r w:rsidRPr="00F950B5">
        <w:rPr>
          <w:i/>
          <w:iCs/>
        </w:rPr>
        <w:t xml:space="preserve">Mark H. v. </w:t>
      </w:r>
      <w:proofErr w:type="spellStart"/>
      <w:r w:rsidRPr="00F950B5">
        <w:rPr>
          <w:i/>
          <w:iCs/>
        </w:rPr>
        <w:t>Lemahieu</w:t>
      </w:r>
      <w:proofErr w:type="spellEnd"/>
      <w:r w:rsidRPr="00F950B5">
        <w:t>.</w:t>
      </w:r>
    </w:p>
    <w:p w14:paraId="6DB4B23F" w14:textId="77777777" w:rsidR="00F950B5" w:rsidRPr="00F950B5" w:rsidRDefault="00F950B5" w:rsidP="00F950B5">
      <w:pPr>
        <w:numPr>
          <w:ilvl w:val="0"/>
          <w:numId w:val="1"/>
        </w:numPr>
      </w:pPr>
      <w:r w:rsidRPr="00F950B5">
        <w:rPr>
          <w:b/>
          <w:bCs/>
        </w:rPr>
        <w:t>Stay Put Provision (34 C.F.R. § 300.518)</w:t>
      </w:r>
    </w:p>
    <w:p w14:paraId="48271372" w14:textId="77777777" w:rsidR="00F950B5" w:rsidRPr="00F950B5" w:rsidRDefault="00F950B5" w:rsidP="00F950B5">
      <w:pPr>
        <w:numPr>
          <w:ilvl w:val="1"/>
          <w:numId w:val="1"/>
        </w:numPr>
      </w:pPr>
      <w:r w:rsidRPr="00F950B5">
        <w:t>Student remains in last agreed-upon placement/methodology during disputes.</w:t>
      </w:r>
    </w:p>
    <w:p w14:paraId="1E21E04C" w14:textId="77777777" w:rsidR="00F950B5" w:rsidRPr="00F950B5" w:rsidRDefault="00F950B5" w:rsidP="00F950B5">
      <w:pPr>
        <w:numPr>
          <w:ilvl w:val="1"/>
          <w:numId w:val="1"/>
        </w:numPr>
      </w:pPr>
      <w:r w:rsidRPr="00F950B5">
        <w:t xml:space="preserve">Citations: </w:t>
      </w:r>
      <w:r w:rsidRPr="00F950B5">
        <w:rPr>
          <w:i/>
          <w:iCs/>
        </w:rPr>
        <w:t>Honig v. Doe</w:t>
      </w:r>
      <w:r w:rsidRPr="00F950B5">
        <w:t xml:space="preserve"> (U.S. Supreme Court).</w:t>
      </w:r>
    </w:p>
    <w:p w14:paraId="14A67BF5" w14:textId="77777777" w:rsidR="00F950B5" w:rsidRPr="00F950B5" w:rsidRDefault="00F950B5" w:rsidP="00F950B5">
      <w:pPr>
        <w:numPr>
          <w:ilvl w:val="0"/>
          <w:numId w:val="1"/>
        </w:numPr>
      </w:pPr>
      <w:r w:rsidRPr="00F950B5">
        <w:rPr>
          <w:b/>
          <w:bCs/>
        </w:rPr>
        <w:t>Prior Written Notice (PWN)</w:t>
      </w:r>
    </w:p>
    <w:p w14:paraId="51EE3042" w14:textId="77777777" w:rsidR="00F950B5" w:rsidRPr="00F950B5" w:rsidRDefault="00F950B5" w:rsidP="00F950B5">
      <w:pPr>
        <w:numPr>
          <w:ilvl w:val="1"/>
          <w:numId w:val="1"/>
        </w:numPr>
      </w:pPr>
      <w:r w:rsidRPr="00F950B5">
        <w:t>Required whenever a district refuses or proposes a change.</w:t>
      </w:r>
    </w:p>
    <w:p w14:paraId="39BE2E0B" w14:textId="77777777" w:rsidR="00F950B5" w:rsidRPr="00F950B5" w:rsidRDefault="00F950B5" w:rsidP="00F950B5">
      <w:pPr>
        <w:numPr>
          <w:ilvl w:val="1"/>
          <w:numId w:val="1"/>
        </w:numPr>
      </w:pPr>
      <w:r w:rsidRPr="00F950B5">
        <w:t>Must include reasons, data, options considered, and law.</w:t>
      </w:r>
    </w:p>
    <w:p w14:paraId="4FF91C36" w14:textId="77777777" w:rsidR="00F950B5" w:rsidRPr="00F950B5" w:rsidRDefault="00F950B5" w:rsidP="00F950B5">
      <w:pPr>
        <w:numPr>
          <w:ilvl w:val="1"/>
          <w:numId w:val="1"/>
        </w:numPr>
      </w:pPr>
      <w:r w:rsidRPr="00F950B5">
        <w:t>Citations: 34 C.F.R. § 300.503.</w:t>
      </w:r>
    </w:p>
    <w:sectPr w:rsidR="00F950B5" w:rsidRPr="00F950B5" w:rsidSect="00180831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0DC"/>
    <w:multiLevelType w:val="multilevel"/>
    <w:tmpl w:val="12E2E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684F24"/>
    <w:multiLevelType w:val="multilevel"/>
    <w:tmpl w:val="A57C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3022148">
    <w:abstractNumId w:val="0"/>
  </w:num>
  <w:num w:numId="2" w16cid:durableId="161622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B5"/>
    <w:rsid w:val="00180831"/>
    <w:rsid w:val="00204A9A"/>
    <w:rsid w:val="00752633"/>
    <w:rsid w:val="00A36CDA"/>
    <w:rsid w:val="00B82B5D"/>
    <w:rsid w:val="00CA6E95"/>
    <w:rsid w:val="00F9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F64F5"/>
  <w15:chartTrackingRefBased/>
  <w15:docId w15:val="{2FD85680-A5AD-4AB9-A9ED-6E684D9C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0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0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0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0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0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0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0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0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0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0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0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0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0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0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McGlothlin</dc:creator>
  <cp:keywords/>
  <dc:description/>
  <cp:lastModifiedBy>Annie McGlothlin</cp:lastModifiedBy>
  <cp:revision>3</cp:revision>
  <dcterms:created xsi:type="dcterms:W3CDTF">2025-09-15T02:22:00Z</dcterms:created>
  <dcterms:modified xsi:type="dcterms:W3CDTF">2025-09-15T02:30:00Z</dcterms:modified>
</cp:coreProperties>
</file>