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41B5A" w14:textId="1F11EFD3" w:rsidR="00A740C4" w:rsidRDefault="00A740C4" w:rsidP="00A740C4">
      <w:pPr>
        <w:pStyle w:val="Title"/>
      </w:pPr>
      <w:r w:rsidRPr="00A740C4">
        <w:rPr>
          <w:noProof/>
        </w:rPr>
        <w:drawing>
          <wp:inline distT="0" distB="0" distL="0" distR="0" wp14:anchorId="2FB39016" wp14:editId="0E2A431A">
            <wp:extent cx="5731510" cy="4486275"/>
            <wp:effectExtent l="0" t="0" r="2540" b="9525"/>
            <wp:docPr id="17640326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486275"/>
                    </a:xfrm>
                    <a:prstGeom prst="rect">
                      <a:avLst/>
                    </a:prstGeom>
                    <a:noFill/>
                    <a:ln>
                      <a:noFill/>
                    </a:ln>
                  </pic:spPr>
                </pic:pic>
              </a:graphicData>
            </a:graphic>
          </wp:inline>
        </w:drawing>
      </w:r>
    </w:p>
    <w:p w14:paraId="11EEB268" w14:textId="33AE6EF9" w:rsidR="00E84BAF" w:rsidRDefault="00000000">
      <w:pPr>
        <w:pStyle w:val="Title"/>
      </w:pPr>
      <w:r>
        <w:t>READING IS A RIGHT, NOT A PRIVILEGE</w:t>
      </w:r>
    </w:p>
    <w:p w14:paraId="0D3F0BD6" w14:textId="77777777" w:rsidR="00E84BAF" w:rsidRDefault="00000000">
      <w:pPr>
        <w:pStyle w:val="Subtitle"/>
      </w:pPr>
      <w:r>
        <w:t>A Policy Brief on Evidence-Based Reading Instruction</w:t>
      </w:r>
    </w:p>
    <w:p w14:paraId="46B5D23B" w14:textId="77777777" w:rsidR="00E84BAF" w:rsidRDefault="00000000">
      <w:pPr>
        <w:pStyle w:val="Subtitle"/>
      </w:pPr>
      <w:r>
        <w:t>for Students with Dyslexia</w:t>
      </w:r>
    </w:p>
    <w:p w14:paraId="484EF1D5" w14:textId="36B58CA3" w:rsidR="00E84BAF" w:rsidRDefault="00000000">
      <w:pPr>
        <w:spacing w:before="120" w:after="360"/>
        <w:jc w:val="center"/>
      </w:pPr>
      <w:r>
        <w:rPr>
          <w:sz w:val="22"/>
          <w:szCs w:val="22"/>
        </w:rPr>
        <w:t xml:space="preserve">Prepared by </w:t>
      </w:r>
      <w:r>
        <w:rPr>
          <w:b/>
          <w:bCs/>
          <w:sz w:val="22"/>
          <w:szCs w:val="22"/>
        </w:rPr>
        <w:t>WYO Right to Read</w:t>
      </w:r>
      <w:r>
        <w:rPr>
          <w:sz w:val="22"/>
          <w:szCs w:val="22"/>
        </w:rPr>
        <w:t xml:space="preserve"> </w:t>
      </w:r>
      <w:r w:rsidR="00921B75">
        <w:rPr>
          <w:sz w:val="22"/>
          <w:szCs w:val="22"/>
        </w:rPr>
        <w:t>f</w:t>
      </w:r>
      <w:r>
        <w:rPr>
          <w:sz w:val="22"/>
          <w:szCs w:val="22"/>
        </w:rPr>
        <w:t>or the Wyoming Joint Education Committee November 2025</w:t>
      </w:r>
    </w:p>
    <w:p w14:paraId="17A04E66" w14:textId="77777777" w:rsidR="00E84BAF" w:rsidRDefault="00000000">
      <w:pPr>
        <w:spacing w:after="240"/>
        <w:jc w:val="center"/>
      </w:pPr>
      <w:r>
        <w:rPr>
          <w:color w:val="1F4788"/>
          <w:sz w:val="20"/>
          <w:szCs w:val="20"/>
        </w:rPr>
        <w:t>WyoRightToRead.org</w:t>
      </w:r>
    </w:p>
    <w:p w14:paraId="7BEC669C" w14:textId="77777777" w:rsidR="00E84BAF" w:rsidRDefault="00000000">
      <w:r>
        <w:br w:type="page"/>
      </w:r>
    </w:p>
    <w:p w14:paraId="37295A6B" w14:textId="77777777" w:rsidR="00E84BAF" w:rsidRDefault="00000000">
      <w:pPr>
        <w:pStyle w:val="Heading1"/>
      </w:pPr>
      <w:r>
        <w:lastRenderedPageBreak/>
        <w:t>EXECUTIVE SUMMARY</w:t>
      </w:r>
    </w:p>
    <w:p w14:paraId="487E9C81" w14:textId="77777777" w:rsidR="00E84BAF" w:rsidRDefault="00000000">
      <w:pPr>
        <w:spacing w:after="120"/>
      </w:pPr>
      <w:r>
        <w:t>Students with dyslexia have both a legal and moral right to receive evidence-based reading instruction. No matter how a student's brain is wired, they deserve access to scientifically proven methods that work. Reading is not a privilege reserved for those whose brains process language naturally—it is a fundamental right that opens doors to education, employment, and full participation in society.</w:t>
      </w:r>
    </w:p>
    <w:p w14:paraId="3C46CE57" w14:textId="77777777" w:rsidR="00E84BAF" w:rsidRDefault="00000000">
      <w:pPr>
        <w:spacing w:after="240"/>
      </w:pPr>
      <w:r>
        <w:t>This brief presents the scientific consensus on reading instruction for students with dyslexia and urges the Wyoming Joint Education Committee to adopt policies that ensure every teacher is trained in evidence-based Structured Literacy methods.</w:t>
      </w:r>
    </w:p>
    <w:p w14:paraId="0366B268" w14:textId="77777777" w:rsidR="00E84BAF" w:rsidRDefault="00000000">
      <w:pPr>
        <w:pStyle w:val="Heading1"/>
      </w:pPr>
      <w:r>
        <w:t>THE CORE PRINCIPLE</w:t>
      </w:r>
    </w:p>
    <w:p w14:paraId="15D6E83F" w14:textId="77777777" w:rsidR="00E84BAF" w:rsidRDefault="00000000">
      <w:pPr>
        <w:spacing w:after="240"/>
      </w:pPr>
      <w:r>
        <w:rPr>
          <w:b/>
          <w:bCs/>
        </w:rPr>
        <w:t>Students with dyslexia must first master accurate and fluent word reading through explicit, systematic, and cumulative instruction in phonemic awareness, phonics, decoding, and encoding before higher-order comprehension or metacognitive strategies can meaningfully take hold.</w:t>
      </w:r>
    </w:p>
    <w:p w14:paraId="70986FA8" w14:textId="77777777" w:rsidR="00E84BAF" w:rsidRDefault="00000000">
      <w:pPr>
        <w:spacing w:after="240"/>
      </w:pPr>
      <w:r>
        <w:t>This principle represents the consensus of every major scientific and educational authority on reading. Without a solid foundation in decoding, students cannot access the meaning of text—no matter how motivated they are or how well they understand metacognitive strategies.</w:t>
      </w:r>
    </w:p>
    <w:p w14:paraId="230077C5" w14:textId="77777777" w:rsidR="00E84BAF" w:rsidRDefault="00000000">
      <w:pPr>
        <w:pStyle w:val="Heading1"/>
      </w:pPr>
      <w:r>
        <w:t>WHAT THE SCIENCE SAYS</w:t>
      </w:r>
    </w:p>
    <w:p w14:paraId="63FF7E3B" w14:textId="77777777" w:rsidR="00E84BAF" w:rsidRDefault="00000000">
      <w:pPr>
        <w:spacing w:after="120"/>
      </w:pPr>
      <w:r>
        <w:t>Decades of rigorous, federally funded research in neuroscience, cognitive psychology, and education science have established clear findings about how children learn to read and what students with dyslexia need:</w:t>
      </w:r>
    </w:p>
    <w:p w14:paraId="5B9A8A14" w14:textId="77777777" w:rsidR="00E84BAF" w:rsidRDefault="00000000">
      <w:pPr>
        <w:pStyle w:val="Heading2"/>
      </w:pPr>
      <w:r>
        <w:t>National Reading Panel (2000)</w:t>
      </w:r>
    </w:p>
    <w:p w14:paraId="52B009A4" w14:textId="77777777" w:rsidR="00E84BAF" w:rsidRDefault="00000000">
      <w:pPr>
        <w:spacing w:after="120"/>
      </w:pPr>
      <w:r>
        <w:t>Systematic phonics instruction produces significant benefits for all students, especially those having difficulty learning to read. Comprehension strategies only succeed once decoding becomes automatic. Students must be able to effortlessly recognize words before they can dedicate cognitive resources to understanding meaning.</w:t>
      </w:r>
    </w:p>
    <w:p w14:paraId="466EB364" w14:textId="77777777" w:rsidR="00E84BAF" w:rsidRDefault="00000000">
      <w:pPr>
        <w:pStyle w:val="Heading2"/>
      </w:pPr>
      <w:r>
        <w:t>National Institute of Child Health and Human Development</w:t>
      </w:r>
    </w:p>
    <w:p w14:paraId="1FE4E2DD" w14:textId="77777777" w:rsidR="00E84BAF" w:rsidRDefault="00000000">
      <w:pPr>
        <w:spacing w:after="120"/>
      </w:pPr>
      <w:r>
        <w:t>Research led by Dr. Reid Lyon and other NICHD scientists demonstrates that children with dyslexia require explicit, systematic teaching of the alphabetic principle. These skills do not develop intuitively through exposure to books or context-based guessing strategies. Dyslexic readers need direct instruction in how letters represent sounds and how those sounds combine to form words.</w:t>
      </w:r>
    </w:p>
    <w:p w14:paraId="2AE00277" w14:textId="77777777" w:rsidR="00E84BAF" w:rsidRDefault="00000000">
      <w:pPr>
        <w:pStyle w:val="Heading2"/>
      </w:pPr>
      <w:r>
        <w:t>International Dyslexia Association</w:t>
      </w:r>
    </w:p>
    <w:p w14:paraId="6ECB6253" w14:textId="77777777" w:rsidR="00E84BAF" w:rsidRDefault="00000000">
      <w:pPr>
        <w:spacing w:after="120"/>
      </w:pPr>
      <w:r>
        <w:t xml:space="preserve">The IDA's position is unequivocal: students with dyslexia require instruction that is explicit, systematic, cumulative, and diagnostic. Without mastery of foundational decoding skills, comprehension and metacognitive strategies cannot compensate for </w:t>
      </w:r>
      <w:r>
        <w:lastRenderedPageBreak/>
        <w:t>the inability to accurately and fluently read words. The IDA Knowledge and Practice Standards establish the baseline competencies required for teachers of reading.</w:t>
      </w:r>
    </w:p>
    <w:p w14:paraId="0B87F4DB" w14:textId="77777777" w:rsidR="00E84BAF" w:rsidRDefault="00000000">
      <w:pPr>
        <w:pStyle w:val="Heading2"/>
      </w:pPr>
      <w:r>
        <w:t>Institute of Education Sciences (2016)</w:t>
      </w:r>
    </w:p>
    <w:p w14:paraId="79C91BD8" w14:textId="77777777" w:rsidR="00E84BAF" w:rsidRDefault="00000000">
      <w:pPr>
        <w:spacing w:after="120"/>
      </w:pPr>
      <w:r>
        <w:t>The IES practice guide on foundational reading skills confirms that explicit, systematic instruction in phonemic awareness and phonics is essential for reading comprehension development. The guide emphasizes that these foundational skills must be taught directly and sequentially.</w:t>
      </w:r>
    </w:p>
    <w:p w14:paraId="333E26B4" w14:textId="77777777" w:rsidR="00E84BAF" w:rsidRDefault="00000000">
      <w:pPr>
        <w:pStyle w:val="Heading2"/>
      </w:pPr>
      <w:r>
        <w:t>Yale Center for Dyslexia &amp; Creativity</w:t>
      </w:r>
    </w:p>
    <w:p w14:paraId="725F9D55" w14:textId="77777777" w:rsidR="00E84BAF" w:rsidRDefault="00000000">
      <w:pPr>
        <w:spacing w:after="240"/>
      </w:pPr>
      <w:r>
        <w:t>Research by Drs. Sally and Bennett Shaywitz demonstrates through brain imaging studies that dyslexic readers struggle because their brains process phonological information differently. Structured Literacy directly addresses this neurological difference by building the neural pathways necessary for reading through systematic, explicit instruction in sound-symbol relationships.</w:t>
      </w:r>
    </w:p>
    <w:p w14:paraId="5923ACD4" w14:textId="77777777" w:rsidR="00E84BAF" w:rsidRDefault="00000000">
      <w:pPr>
        <w:pStyle w:val="Heading1"/>
      </w:pPr>
      <w:r>
        <w:t>THE SEQUENCE MATTERS: DECODE FIRST, THEN COMPREHEND</w:t>
      </w:r>
    </w:p>
    <w:p w14:paraId="48AA3109" w14:textId="77777777" w:rsidR="00E84BAF" w:rsidRDefault="00000000">
      <w:pPr>
        <w:spacing w:after="120"/>
      </w:pPr>
      <w:r>
        <w:t>Reading is not a single skill—it is a complex process that builds in stages:</w:t>
      </w:r>
    </w:p>
    <w:p w14:paraId="4427EEF3" w14:textId="77777777" w:rsidR="00E84BAF" w:rsidRDefault="00000000">
      <w:pPr>
        <w:spacing w:before="180" w:after="180"/>
        <w:jc w:val="center"/>
      </w:pPr>
      <w:r>
        <w:rPr>
          <w:b/>
          <w:bCs/>
          <w:color w:val="1F4788"/>
          <w:sz w:val="26"/>
          <w:szCs w:val="26"/>
        </w:rPr>
        <w:t>Decode  →  Build Fluency  →  Understand  →  Think Metacognitively</w:t>
      </w:r>
    </w:p>
    <w:p w14:paraId="4B06C176" w14:textId="77777777" w:rsidR="00E84BAF" w:rsidRDefault="00000000">
      <w:pPr>
        <w:spacing w:after="240"/>
      </w:pPr>
      <w:r>
        <w:t>Each stage depends on mastery of the previous one. A student who cannot decode words cannot build fluency. A student who lacks fluency cannot comprehend efficiently. And a student who struggles to comprehend has no foundation for metacognitive reflection about their reading process.</w:t>
      </w:r>
    </w:p>
    <w:p w14:paraId="5D3895E5" w14:textId="77777777" w:rsidR="00E84BAF" w:rsidRDefault="00000000">
      <w:pPr>
        <w:pStyle w:val="Heading1"/>
      </w:pPr>
      <w:r>
        <w:t>WHY METACOGNITION ALONE FAILS</w:t>
      </w:r>
    </w:p>
    <w:p w14:paraId="5EDB5DB6" w14:textId="77777777" w:rsidR="00E84BAF" w:rsidRDefault="00000000">
      <w:pPr>
        <w:spacing w:after="120"/>
      </w:pPr>
      <w:r>
        <w:t>Some reading programs emphasize metacognitive and comprehension strategies before students have mastered decoding. This approach is fundamentally flawed for students with dyslexia.</w:t>
      </w:r>
    </w:p>
    <w:p w14:paraId="20A7020F" w14:textId="77777777" w:rsidR="00E84BAF" w:rsidRDefault="00000000">
      <w:pPr>
        <w:spacing w:after="120"/>
      </w:pPr>
      <w:r>
        <w:t>Metacognitive strategies—thinking about one's own thinking and monitoring comprehension—depend on three prerequisites: efficient decoding, adequate working memory capacity, and reading fluency. When a student with dyslexia is devoting all their cognitive energy to sounding out individual words, there is no mental bandwidth remaining for comprehension monitoring or self-questioning strategies.</w:t>
      </w:r>
    </w:p>
    <w:p w14:paraId="4206C55A" w14:textId="77777777" w:rsidR="00E84BAF" w:rsidRDefault="00000000">
      <w:pPr>
        <w:spacing w:after="180"/>
      </w:pPr>
      <w:r>
        <w:t>Consider this analogy: asking a struggling reader to use metacognitive strategies before they can decode is like asking someone to analyze a symphony before they can hear the individual notes. The foundational skill must come first.</w:t>
      </w:r>
    </w:p>
    <w:p w14:paraId="18CDE79D" w14:textId="77777777" w:rsidR="00E84BAF" w:rsidRDefault="00000000">
      <w:pPr>
        <w:pStyle w:val="Quote"/>
      </w:pPr>
      <w:r>
        <w:t>"How can a child develop motivation, self-efficacy, and metacognition if they cannot yet read the words on the page?"</w:t>
      </w:r>
    </w:p>
    <w:p w14:paraId="2E3B2450" w14:textId="77777777" w:rsidR="00E84BAF" w:rsidRDefault="00000000">
      <w:pPr>
        <w:spacing w:after="240"/>
      </w:pPr>
      <w:r>
        <w:t xml:space="preserve">Without the ability to decode print, metacognitive instruction becomes meaningless. A child cannot reflect on text they cannot access. Therefore, metacognitive </w:t>
      </w:r>
      <w:r>
        <w:lastRenderedPageBreak/>
        <w:t>instruction cannot substitute for foundational decoding instruction—it can only enhance comprehension after decoding becomes automatic.</w:t>
      </w:r>
    </w:p>
    <w:p w14:paraId="2DECE655" w14:textId="77777777" w:rsidR="00E84BAF" w:rsidRDefault="00000000">
      <w:pPr>
        <w:pStyle w:val="Heading1"/>
      </w:pPr>
      <w:r>
        <w:t>THE PROBLEM WITH ALTERNATIVE APPROACHES</w:t>
      </w:r>
    </w:p>
    <w:p w14:paraId="744D197A" w14:textId="77777777" w:rsidR="00E84BAF" w:rsidRDefault="00000000">
      <w:pPr>
        <w:spacing w:after="120"/>
      </w:pPr>
      <w:r>
        <w:t>A small number of academics and commercial reading programs continue to promote methods that prioritize motivation, self-efficacy, and metacognition as part of early reading instruction. While these elements matter, they cannot substitute for explicit phonics instruction.</w:t>
      </w:r>
    </w:p>
    <w:p w14:paraId="4CD74BEA" w14:textId="77777777" w:rsidR="00E84BAF" w:rsidRDefault="00000000">
      <w:pPr>
        <w:pStyle w:val="Heading2"/>
      </w:pPr>
      <w:r>
        <w:t>The Sequence Problem</w:t>
      </w:r>
    </w:p>
    <w:p w14:paraId="7A882DBD" w14:textId="77777777" w:rsidR="00E84BAF" w:rsidRDefault="00000000">
      <w:pPr>
        <w:spacing w:after="120"/>
      </w:pPr>
      <w:r>
        <w:t>For students with dyslexia, attempting to build motivation and metacognition before establishing decoding skills leads to:</w:t>
      </w:r>
    </w:p>
    <w:p w14:paraId="554FB4C7" w14:textId="77777777" w:rsidR="00E84BAF" w:rsidRDefault="00000000">
      <w:pPr>
        <w:pStyle w:val="ListParagraph"/>
        <w:numPr>
          <w:ilvl w:val="0"/>
          <w:numId w:val="2"/>
        </w:numPr>
      </w:pPr>
      <w:r>
        <w:rPr>
          <w:b/>
          <w:bCs/>
        </w:rPr>
        <w:t>Frustration</w:t>
      </w:r>
      <w:r>
        <w:t xml:space="preserve"> instead of motivation</w:t>
      </w:r>
    </w:p>
    <w:p w14:paraId="6DD71FB7" w14:textId="77777777" w:rsidR="00E84BAF" w:rsidRDefault="00000000">
      <w:pPr>
        <w:pStyle w:val="ListParagraph"/>
        <w:numPr>
          <w:ilvl w:val="0"/>
          <w:numId w:val="2"/>
        </w:numPr>
      </w:pPr>
      <w:r>
        <w:rPr>
          <w:b/>
          <w:bCs/>
        </w:rPr>
        <w:t>Helplessness</w:t>
      </w:r>
      <w:r>
        <w:t xml:space="preserve"> instead of self-efficacy</w:t>
      </w:r>
    </w:p>
    <w:p w14:paraId="70E89F1F" w14:textId="77777777" w:rsidR="00E84BAF" w:rsidRDefault="00000000">
      <w:pPr>
        <w:pStyle w:val="ListParagraph"/>
        <w:numPr>
          <w:ilvl w:val="0"/>
          <w:numId w:val="2"/>
        </w:numPr>
      </w:pPr>
      <w:r>
        <w:rPr>
          <w:b/>
          <w:bCs/>
        </w:rPr>
        <w:t>Meaningless strategies</w:t>
      </w:r>
      <w:r>
        <w:t xml:space="preserve"> instead of metacognition, because the child cannot access text to think about it</w:t>
      </w:r>
    </w:p>
    <w:p w14:paraId="272D5AFB" w14:textId="77777777" w:rsidR="00E84BAF" w:rsidRDefault="00000000">
      <w:pPr>
        <w:spacing w:before="180" w:after="180"/>
      </w:pPr>
      <w:r>
        <w:t>Metacognitive strategies become valuable after students have achieved decoding mastery—not before.</w:t>
      </w:r>
    </w:p>
    <w:p w14:paraId="12080642" w14:textId="77777777" w:rsidR="00E84BAF" w:rsidRDefault="00000000">
      <w:pPr>
        <w:pStyle w:val="Heading2"/>
      </w:pPr>
      <w:r>
        <w:t>Evidence Against Cueing-Based Programs</w:t>
      </w:r>
    </w:p>
    <w:p w14:paraId="58E4D8DC" w14:textId="77777777" w:rsidR="00E84BAF" w:rsidRDefault="00000000">
      <w:pPr>
        <w:spacing w:after="120"/>
      </w:pPr>
      <w:r>
        <w:t>Programs that teach students to guess words from context, pictures, or sentence structure—known as three-cueing or balanced literacy approaches—have been thoroughly discredited by research:</w:t>
      </w:r>
    </w:p>
    <w:p w14:paraId="5E604351" w14:textId="77777777" w:rsidR="00E84BAF" w:rsidRDefault="00000000">
      <w:pPr>
        <w:pStyle w:val="ListParagraph"/>
        <w:numPr>
          <w:ilvl w:val="0"/>
          <w:numId w:val="2"/>
        </w:numPr>
      </w:pPr>
      <w:r>
        <w:t>Long-term studies of Reading Recovery show that initial short-term gains fade or reverse by later grades. By middle school, many participants perform below peers on standardized reading measures.</w:t>
      </w:r>
    </w:p>
    <w:p w14:paraId="2E035AA3" w14:textId="77777777" w:rsidR="00E84BAF" w:rsidRDefault="00000000">
      <w:pPr>
        <w:pStyle w:val="ListParagraph"/>
        <w:numPr>
          <w:ilvl w:val="0"/>
          <w:numId w:val="2"/>
        </w:numPr>
      </w:pPr>
      <w:r>
        <w:t>Multiple states, including Ohio, have banned three-cueing methods in statute after legislative reviews found them inconsistent with evidence-based reading research.</w:t>
      </w:r>
    </w:p>
    <w:p w14:paraId="51B8DB62" w14:textId="77777777" w:rsidR="00E84BAF" w:rsidRDefault="00000000">
      <w:pPr>
        <w:pStyle w:val="ListParagraph"/>
        <w:numPr>
          <w:ilvl w:val="0"/>
          <w:numId w:val="2"/>
        </w:numPr>
      </w:pPr>
      <w:r>
        <w:t>Cueing strategies teach students to guess rather than decode, creating readers who cannot tackle unfamiliar words independently.</w:t>
      </w:r>
    </w:p>
    <w:p w14:paraId="3BC512F9" w14:textId="77777777" w:rsidR="00E84BAF" w:rsidRDefault="00000000">
      <w:pPr>
        <w:spacing w:before="180" w:after="180"/>
      </w:pPr>
      <w:r>
        <w:t>For students with dyslexia, guessing strategies are particularly harmful because they bypass the systematic phonological processing these students need to develop.</w:t>
      </w:r>
    </w:p>
    <w:p w14:paraId="1275A22B" w14:textId="77777777" w:rsidR="00E84BAF" w:rsidRDefault="00000000">
      <w:pPr>
        <w:pStyle w:val="Heading2"/>
      </w:pPr>
      <w:r>
        <w:t>Follow the Incentives</w:t>
      </w:r>
    </w:p>
    <w:p w14:paraId="45DAF894" w14:textId="77777777" w:rsidR="00E84BAF" w:rsidRDefault="00000000">
      <w:pPr>
        <w:spacing w:after="240"/>
      </w:pPr>
      <w:r>
        <w:t>It is important to note that some opposition to Structured Literacy comes from organizations with commercial interests. Publishers of cueing-based programs profit from materials that contradict research findings. Policymakers must rely on independent, federally reviewed science—not publisher-sponsored opinions—when making decisions that affect children's futures.</w:t>
      </w:r>
    </w:p>
    <w:p w14:paraId="7C7F1F00" w14:textId="77777777" w:rsidR="00E84BAF" w:rsidRDefault="00000000">
      <w:pPr>
        <w:pStyle w:val="Heading1"/>
      </w:pPr>
      <w:r>
        <w:t>KEY TAKEAWAYS</w:t>
      </w:r>
    </w:p>
    <w:p w14:paraId="33D55004" w14:textId="77777777" w:rsidR="00E84BAF" w:rsidRDefault="00000000">
      <w:pPr>
        <w:pStyle w:val="ListParagraph"/>
        <w:numPr>
          <w:ilvl w:val="0"/>
          <w:numId w:val="2"/>
        </w:numPr>
      </w:pPr>
      <w:r>
        <w:rPr>
          <w:b/>
          <w:bCs/>
        </w:rPr>
        <w:t>Dyslexia is a phonological processing disorder</w:t>
      </w:r>
      <w:r>
        <w:t>—not a motivational deficit or metacognitive problem.</w:t>
      </w:r>
    </w:p>
    <w:p w14:paraId="196B7D9A" w14:textId="77777777" w:rsidR="00E84BAF" w:rsidRDefault="00000000">
      <w:pPr>
        <w:pStyle w:val="ListParagraph"/>
        <w:numPr>
          <w:ilvl w:val="0"/>
          <w:numId w:val="2"/>
        </w:numPr>
      </w:pPr>
      <w:r>
        <w:rPr>
          <w:b/>
          <w:bCs/>
        </w:rPr>
        <w:lastRenderedPageBreak/>
        <w:t>Students must first learn to decode and encode words</w:t>
      </w:r>
      <w:r>
        <w:t xml:space="preserve"> accurately and fluently through explicit, systematic instruction.</w:t>
      </w:r>
    </w:p>
    <w:p w14:paraId="4BBE2FBF" w14:textId="77777777" w:rsidR="00E84BAF" w:rsidRDefault="00000000">
      <w:pPr>
        <w:pStyle w:val="ListParagraph"/>
        <w:numPr>
          <w:ilvl w:val="0"/>
          <w:numId w:val="2"/>
        </w:numPr>
      </w:pPr>
      <w:r>
        <w:rPr>
          <w:b/>
          <w:bCs/>
        </w:rPr>
        <w:t>Metacognitive and comprehension strategies become effective only after decoding is automatic</w:t>
      </w:r>
      <w:r>
        <w:t>.</w:t>
      </w:r>
    </w:p>
    <w:p w14:paraId="5A3A9212" w14:textId="77777777" w:rsidR="00E84BAF" w:rsidRDefault="00000000">
      <w:pPr>
        <w:pStyle w:val="ListParagraph"/>
        <w:numPr>
          <w:ilvl w:val="0"/>
          <w:numId w:val="2"/>
        </w:numPr>
      </w:pPr>
      <w:r>
        <w:rPr>
          <w:b/>
          <w:bCs/>
        </w:rPr>
        <w:t>Structured Literacy is the gold standard</w:t>
      </w:r>
      <w:r>
        <w:t>—it is evidence-based, cumulative, systematic, and diagnostic.</w:t>
      </w:r>
    </w:p>
    <w:p w14:paraId="140294A8" w14:textId="77777777" w:rsidR="00E84BAF" w:rsidRDefault="00000000">
      <w:pPr>
        <w:pStyle w:val="ListParagraph"/>
        <w:numPr>
          <w:ilvl w:val="0"/>
          <w:numId w:val="2"/>
        </w:numPr>
      </w:pPr>
      <w:r>
        <w:rPr>
          <w:b/>
          <w:bCs/>
        </w:rPr>
        <w:t>Reading is a right, not a privilege</w:t>
      </w:r>
      <w:r>
        <w:t>. Every student deserves instruction that works.</w:t>
      </w:r>
    </w:p>
    <w:p w14:paraId="420DBBE3" w14:textId="77777777" w:rsidR="00E84BAF" w:rsidRDefault="00000000">
      <w:r>
        <w:br w:type="page"/>
      </w:r>
    </w:p>
    <w:p w14:paraId="23EDB88D" w14:textId="77777777" w:rsidR="00E84BAF" w:rsidRDefault="00000000">
      <w:pPr>
        <w:pStyle w:val="Heading1"/>
      </w:pPr>
      <w:r>
        <w:lastRenderedPageBreak/>
        <w:t>POLICY IMPLICATIONS FOR WYOMING</w:t>
      </w:r>
    </w:p>
    <w:p w14:paraId="71CDBED4" w14:textId="77777777" w:rsidR="00E84BAF" w:rsidRDefault="00000000">
      <w:pPr>
        <w:spacing w:after="120"/>
      </w:pPr>
      <w:r>
        <w:t>Wyoming has an opportunity to lead the nation in ensuring that every child receives the reading instruction they deserve. To achieve this, the state must take decisive action:</w:t>
      </w:r>
    </w:p>
    <w:p w14:paraId="7D1EC166" w14:textId="77777777" w:rsidR="00E84BAF" w:rsidRDefault="00000000">
      <w:pPr>
        <w:pStyle w:val="ListParagraph"/>
        <w:numPr>
          <w:ilvl w:val="0"/>
          <w:numId w:val="2"/>
        </w:numPr>
      </w:pPr>
      <w:r>
        <w:rPr>
          <w:b/>
          <w:bCs/>
        </w:rPr>
        <w:t>Mandate Structured Literacy training</w:t>
      </w:r>
      <w:r>
        <w:t xml:space="preserve"> for all teachers in teacher preparation programs and through professional development</w:t>
      </w:r>
    </w:p>
    <w:p w14:paraId="1FEE65F6" w14:textId="77777777" w:rsidR="00E84BAF" w:rsidRDefault="00000000">
      <w:pPr>
        <w:pStyle w:val="ListParagraph"/>
        <w:numPr>
          <w:ilvl w:val="0"/>
          <w:numId w:val="2"/>
        </w:numPr>
      </w:pPr>
      <w:r>
        <w:rPr>
          <w:b/>
          <w:bCs/>
        </w:rPr>
        <w:t>Align training with IDA standards</w:t>
      </w:r>
      <w:r>
        <w:t xml:space="preserve"> to ensure teachers receive comprehensive, evidence-based preparation</w:t>
      </w:r>
    </w:p>
    <w:p w14:paraId="17CA443E" w14:textId="77777777" w:rsidR="00E84BAF" w:rsidRDefault="00000000">
      <w:pPr>
        <w:pStyle w:val="ListParagraph"/>
        <w:numPr>
          <w:ilvl w:val="0"/>
          <w:numId w:val="2"/>
        </w:numPr>
      </w:pPr>
      <w:r>
        <w:rPr>
          <w:b/>
          <w:bCs/>
        </w:rPr>
        <w:t>Codify the sequence of instruction</w:t>
      </w:r>
      <w:r>
        <w:t>: explicit, systematic, cumulative decoding instruction must be provided before comprehension or metacognitive strategies are introduced</w:t>
      </w:r>
    </w:p>
    <w:p w14:paraId="45A8C901" w14:textId="77777777" w:rsidR="00E84BAF" w:rsidRDefault="00000000">
      <w:pPr>
        <w:pStyle w:val="ListParagraph"/>
        <w:numPr>
          <w:ilvl w:val="0"/>
          <w:numId w:val="2"/>
        </w:numPr>
      </w:pPr>
      <w:r>
        <w:rPr>
          <w:b/>
          <w:bCs/>
        </w:rPr>
        <w:t>Eliminate ineffective methods</w:t>
      </w:r>
      <w:r>
        <w:t xml:space="preserve"> such as three-cueing and balanced literacy approaches that contradict research</w:t>
      </w:r>
    </w:p>
    <w:p w14:paraId="7733F3F7" w14:textId="77777777" w:rsidR="00E84BAF" w:rsidRDefault="00000000">
      <w:pPr>
        <w:spacing w:before="240" w:after="240"/>
      </w:pPr>
      <w:r>
        <w:t>These policies will ensure that students with dyslexia—and all struggling readers—receive instruction grounded in science, not commercial interests or outdated theories.</w:t>
      </w:r>
    </w:p>
    <w:p w14:paraId="1F234B4F" w14:textId="77777777" w:rsidR="00E84BAF" w:rsidRDefault="00000000">
      <w:pPr>
        <w:pStyle w:val="Heading1"/>
      </w:pPr>
      <w:r>
        <w:t>RECOMMENDED LEGISLATIVE LANGUAGE</w:t>
      </w:r>
    </w:p>
    <w:p w14:paraId="280CE3DA" w14:textId="77777777" w:rsidR="00E84BAF" w:rsidRDefault="00000000">
      <w:pPr>
        <w:spacing w:before="120" w:after="120"/>
        <w:ind w:left="720" w:right="720"/>
      </w:pPr>
      <w:r>
        <w:rPr>
          <w:i/>
          <w:iCs/>
        </w:rPr>
        <w:t>"Teacher preparation programs and professional development shall include training in Structured Literacy—explicit, systematic, cumulative, multisensory instruction in phonological awareness, phonics, decoding, and encoding—prior to comprehension or metacognitive strategy instruction. Training must align with the International Dyslexia Association Knowledge and Practice Standards (2018)."</w:t>
      </w:r>
    </w:p>
    <w:p w14:paraId="118DE6FC" w14:textId="77777777" w:rsidR="00E84BAF" w:rsidRDefault="00000000">
      <w:pPr>
        <w:spacing w:after="240"/>
      </w:pPr>
      <w:r>
        <w:t>This language ensures that Wyoming educators receive the preparation necessary to teach all students to read, with particular attention to the needs of students with dyslexia and related reading difficulties.</w:t>
      </w:r>
    </w:p>
    <w:p w14:paraId="0BE2FB49" w14:textId="77777777" w:rsidR="00E84BAF" w:rsidRDefault="00000000">
      <w:pPr>
        <w:pStyle w:val="Heading1"/>
      </w:pPr>
      <w:r>
        <w:t>CONCLUSION</w:t>
      </w:r>
    </w:p>
    <w:p w14:paraId="1DCED9AB" w14:textId="77777777" w:rsidR="00E84BAF" w:rsidRDefault="00000000">
      <w:pPr>
        <w:spacing w:after="120"/>
      </w:pPr>
      <w:r>
        <w:t>The science of reading is not controversial among researchers—it is settled. Every major scientific and educational authority agrees that students with dyslexia require explicit, systematic, cumulative instruction in foundational reading skills.</w:t>
      </w:r>
    </w:p>
    <w:p w14:paraId="238126CD" w14:textId="77777777" w:rsidR="00E84BAF" w:rsidRDefault="00000000">
      <w:pPr>
        <w:spacing w:after="120"/>
      </w:pPr>
      <w:r>
        <w:t>Wyoming's educators, families, and legislators share one goal: every child should have the right to read. To achieve that goal, the state must ensure that teacher preparation and classroom instruction reflect what research has proven beyond dispute.</w:t>
      </w:r>
    </w:p>
    <w:p w14:paraId="2CBA4A5C" w14:textId="77777777" w:rsidR="00E84BAF" w:rsidRDefault="00000000">
      <w:pPr>
        <w:spacing w:after="240"/>
      </w:pPr>
      <w:r>
        <w:rPr>
          <w:b/>
          <w:bCs/>
        </w:rPr>
        <w:t>Structured Literacy is not one approach among many—it is the only approach consistently proven effective for students with dyslexia and similar reading difficulties. It is time for Wyoming to act.</w:t>
      </w:r>
    </w:p>
    <w:p w14:paraId="01C374A2" w14:textId="77777777" w:rsidR="00E84BAF" w:rsidRDefault="00000000">
      <w:r>
        <w:br w:type="page"/>
      </w:r>
    </w:p>
    <w:p w14:paraId="425E09B9" w14:textId="77777777" w:rsidR="00E84BAF" w:rsidRDefault="00000000">
      <w:pPr>
        <w:pStyle w:val="Heading1"/>
      </w:pPr>
      <w:r>
        <w:lastRenderedPageBreak/>
        <w:t>REFERENCES</w:t>
      </w:r>
    </w:p>
    <w:p w14:paraId="2CA7D1C2" w14:textId="77777777" w:rsidR="00E84BAF" w:rsidRDefault="00000000">
      <w:pPr>
        <w:spacing w:after="80"/>
        <w:ind w:left="360" w:hanging="360"/>
      </w:pPr>
      <w:r>
        <w:t xml:space="preserve">National Reading Panel. (2000). </w:t>
      </w:r>
      <w:r>
        <w:rPr>
          <w:i/>
          <w:iCs/>
        </w:rPr>
        <w:t>Teaching Children to Read: An Evidence-Based Assessment of the Scientific Research Literature on Reading and Its Implications for Reading Instruction</w:t>
      </w:r>
      <w:r>
        <w:t>. National Institute of Child Health and Human Development.</w:t>
      </w:r>
    </w:p>
    <w:p w14:paraId="3D26B7E6" w14:textId="77777777" w:rsidR="00E84BAF" w:rsidRDefault="00000000">
      <w:pPr>
        <w:spacing w:after="80"/>
        <w:ind w:left="360" w:hanging="360"/>
      </w:pPr>
      <w:proofErr w:type="spellStart"/>
      <w:r>
        <w:t>Foorman</w:t>
      </w:r>
      <w:proofErr w:type="spellEnd"/>
      <w:r>
        <w:t xml:space="preserve">, B., et al. (2016). </w:t>
      </w:r>
      <w:r>
        <w:rPr>
          <w:i/>
          <w:iCs/>
        </w:rPr>
        <w:t>Foundational Skills to Support Reading for Understanding in Kindergarten Through 3rd Grade</w:t>
      </w:r>
      <w:r>
        <w:t>. Institute of Education Sciences Practice Guide. U.S. Department of Education.</w:t>
      </w:r>
    </w:p>
    <w:p w14:paraId="1169C3C8" w14:textId="77777777" w:rsidR="00E84BAF" w:rsidRDefault="00000000">
      <w:pPr>
        <w:spacing w:after="80"/>
        <w:ind w:left="360" w:hanging="360"/>
      </w:pPr>
      <w:r>
        <w:t xml:space="preserve">Shaywitz, S., &amp; </w:t>
      </w:r>
      <w:proofErr w:type="spellStart"/>
      <w:r>
        <w:t>Shaywitz</w:t>
      </w:r>
      <w:proofErr w:type="spellEnd"/>
      <w:r>
        <w:t xml:space="preserve">, B. (2020). </w:t>
      </w:r>
      <w:r>
        <w:rPr>
          <w:i/>
          <w:iCs/>
        </w:rPr>
        <w:t>Overcoming Dyslexia</w:t>
      </w:r>
      <w:r>
        <w:t>. Yale University Press.</w:t>
      </w:r>
    </w:p>
    <w:p w14:paraId="21887F3D" w14:textId="77777777" w:rsidR="00E84BAF" w:rsidRDefault="00000000">
      <w:pPr>
        <w:spacing w:after="80"/>
        <w:ind w:left="360" w:hanging="360"/>
      </w:pPr>
      <w:r>
        <w:t xml:space="preserve">Moats, L. (2020). </w:t>
      </w:r>
      <w:r>
        <w:rPr>
          <w:i/>
          <w:iCs/>
        </w:rPr>
        <w:t>Teaching Reading is Rocket Science</w:t>
      </w:r>
      <w:r>
        <w:t>. American Federation of Teachers.</w:t>
      </w:r>
    </w:p>
    <w:p w14:paraId="0C8607C0" w14:textId="77777777" w:rsidR="00E84BAF" w:rsidRDefault="00000000">
      <w:pPr>
        <w:spacing w:after="80"/>
        <w:ind w:left="360" w:hanging="360"/>
      </w:pPr>
      <w:r>
        <w:t xml:space="preserve">Kilpatrick, D. (2015). </w:t>
      </w:r>
      <w:r>
        <w:rPr>
          <w:i/>
          <w:iCs/>
        </w:rPr>
        <w:t>Essentials of Assessing, Preventing, and Overcoming Reading Difficulties</w:t>
      </w:r>
      <w:r>
        <w:t>. Wiley.</w:t>
      </w:r>
    </w:p>
    <w:p w14:paraId="0CE41A42" w14:textId="77777777" w:rsidR="00E84BAF" w:rsidRDefault="00000000">
      <w:pPr>
        <w:spacing w:after="80"/>
        <w:ind w:left="360" w:hanging="360"/>
      </w:pPr>
      <w:r>
        <w:t xml:space="preserve">International Dyslexia Association. (2018). </w:t>
      </w:r>
      <w:r>
        <w:rPr>
          <w:i/>
          <w:iCs/>
        </w:rPr>
        <w:t>Knowledge and Practice Standards for Teachers of Reading</w:t>
      </w:r>
      <w:r>
        <w:t>. International Dyslexia Association.</w:t>
      </w:r>
    </w:p>
    <w:p w14:paraId="25D010B9" w14:textId="77777777" w:rsidR="00E84BAF" w:rsidRDefault="00000000">
      <w:pPr>
        <w:spacing w:after="240"/>
        <w:ind w:left="360" w:hanging="360"/>
      </w:pPr>
      <w:r>
        <w:t xml:space="preserve">Lyon, G. R. (1998). Overview of reading and literacy initiatives. </w:t>
      </w:r>
      <w:r>
        <w:rPr>
          <w:i/>
          <w:iCs/>
        </w:rPr>
        <w:t>Statement to the Committee on Labor and Human Resources</w:t>
      </w:r>
      <w:r>
        <w:t>. U.S. Senate.</w:t>
      </w:r>
    </w:p>
    <w:p w14:paraId="3A1E4C45" w14:textId="77777777" w:rsidR="00E84BAF" w:rsidRDefault="00000000">
      <w:pPr>
        <w:spacing w:before="360" w:after="120"/>
        <w:jc w:val="center"/>
      </w:pPr>
      <w:r>
        <w:rPr>
          <w:b/>
          <w:bCs/>
          <w:color w:val="1F4788"/>
          <w:sz w:val="28"/>
          <w:szCs w:val="28"/>
        </w:rPr>
        <w:t>WYO Right to Read</w:t>
      </w:r>
    </w:p>
    <w:p w14:paraId="3760BC59" w14:textId="77777777" w:rsidR="00E84BAF" w:rsidRDefault="00000000">
      <w:pPr>
        <w:spacing w:after="80"/>
        <w:jc w:val="center"/>
      </w:pPr>
      <w:r>
        <w:rPr>
          <w:i/>
          <w:iCs/>
        </w:rPr>
        <w:t>Reading is a Right, Not a Privilege</w:t>
      </w:r>
    </w:p>
    <w:p w14:paraId="15266E89" w14:textId="77777777" w:rsidR="00E84BAF" w:rsidRDefault="00000000">
      <w:pPr>
        <w:jc w:val="center"/>
      </w:pPr>
      <w:r>
        <w:rPr>
          <w:color w:val="1F4788"/>
          <w:sz w:val="22"/>
          <w:szCs w:val="22"/>
        </w:rPr>
        <w:t>WyoRightToRead.org</w:t>
      </w:r>
    </w:p>
    <w:sectPr w:rsidR="00E84BA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3064D" w14:textId="77777777" w:rsidR="00F24030" w:rsidRDefault="00F24030" w:rsidP="002A34DD">
      <w:r>
        <w:separator/>
      </w:r>
    </w:p>
  </w:endnote>
  <w:endnote w:type="continuationSeparator" w:id="0">
    <w:p w14:paraId="0B6EC429" w14:textId="77777777" w:rsidR="00F24030" w:rsidRDefault="00F24030" w:rsidP="002A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6A9A" w14:textId="77777777" w:rsidR="002A34DD" w:rsidRDefault="002A3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266207"/>
      <w:docPartObj>
        <w:docPartGallery w:val="Page Numbers (Bottom of Page)"/>
        <w:docPartUnique/>
      </w:docPartObj>
    </w:sdtPr>
    <w:sdtEndPr>
      <w:rPr>
        <w:noProof/>
      </w:rPr>
    </w:sdtEndPr>
    <w:sdtContent>
      <w:p w14:paraId="2B553306" w14:textId="292C09C6" w:rsidR="002A34DD" w:rsidRDefault="002A34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573B5C" w14:textId="77777777" w:rsidR="002A34DD" w:rsidRDefault="002A34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3A35" w14:textId="77777777" w:rsidR="002A34DD" w:rsidRDefault="002A3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C5F44" w14:textId="77777777" w:rsidR="00F24030" w:rsidRDefault="00F24030" w:rsidP="002A34DD">
      <w:r>
        <w:separator/>
      </w:r>
    </w:p>
  </w:footnote>
  <w:footnote w:type="continuationSeparator" w:id="0">
    <w:p w14:paraId="79E77FD0" w14:textId="77777777" w:rsidR="00F24030" w:rsidRDefault="00F24030" w:rsidP="002A3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8FA9" w14:textId="77777777" w:rsidR="002A34DD" w:rsidRDefault="002A34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CBFC" w14:textId="77777777" w:rsidR="002A34DD" w:rsidRDefault="002A34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1D6C" w14:textId="77777777" w:rsidR="002A34DD" w:rsidRDefault="002A3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73410"/>
    <w:multiLevelType w:val="hybridMultilevel"/>
    <w:tmpl w:val="0AA814EC"/>
    <w:lvl w:ilvl="0" w:tplc="EBD27140">
      <w:start w:val="1"/>
      <w:numFmt w:val="bullet"/>
      <w:lvlText w:val="●"/>
      <w:lvlJc w:val="left"/>
      <w:pPr>
        <w:ind w:left="720" w:hanging="360"/>
      </w:pPr>
    </w:lvl>
    <w:lvl w:ilvl="1" w:tplc="157471C2">
      <w:start w:val="1"/>
      <w:numFmt w:val="bullet"/>
      <w:lvlText w:val="○"/>
      <w:lvlJc w:val="left"/>
      <w:pPr>
        <w:ind w:left="1440" w:hanging="360"/>
      </w:pPr>
    </w:lvl>
    <w:lvl w:ilvl="2" w:tplc="B0A086FC">
      <w:start w:val="1"/>
      <w:numFmt w:val="bullet"/>
      <w:lvlText w:val="■"/>
      <w:lvlJc w:val="left"/>
      <w:pPr>
        <w:ind w:left="2160" w:hanging="360"/>
      </w:pPr>
    </w:lvl>
    <w:lvl w:ilvl="3" w:tplc="0B8434AA">
      <w:start w:val="1"/>
      <w:numFmt w:val="bullet"/>
      <w:lvlText w:val="●"/>
      <w:lvlJc w:val="left"/>
      <w:pPr>
        <w:ind w:left="2880" w:hanging="360"/>
      </w:pPr>
    </w:lvl>
    <w:lvl w:ilvl="4" w:tplc="B76E9104">
      <w:start w:val="1"/>
      <w:numFmt w:val="bullet"/>
      <w:lvlText w:val="○"/>
      <w:lvlJc w:val="left"/>
      <w:pPr>
        <w:ind w:left="3600" w:hanging="360"/>
      </w:pPr>
    </w:lvl>
    <w:lvl w:ilvl="5" w:tplc="D55CB55E">
      <w:start w:val="1"/>
      <w:numFmt w:val="bullet"/>
      <w:lvlText w:val="■"/>
      <w:lvlJc w:val="left"/>
      <w:pPr>
        <w:ind w:left="4320" w:hanging="360"/>
      </w:pPr>
    </w:lvl>
    <w:lvl w:ilvl="6" w:tplc="722A1DE2">
      <w:start w:val="1"/>
      <w:numFmt w:val="bullet"/>
      <w:lvlText w:val="●"/>
      <w:lvlJc w:val="left"/>
      <w:pPr>
        <w:ind w:left="5040" w:hanging="360"/>
      </w:pPr>
    </w:lvl>
    <w:lvl w:ilvl="7" w:tplc="C6FE83DA">
      <w:start w:val="1"/>
      <w:numFmt w:val="bullet"/>
      <w:lvlText w:val="●"/>
      <w:lvlJc w:val="left"/>
      <w:pPr>
        <w:ind w:left="5760" w:hanging="360"/>
      </w:pPr>
    </w:lvl>
    <w:lvl w:ilvl="8" w:tplc="C32ACBAE">
      <w:start w:val="1"/>
      <w:numFmt w:val="bullet"/>
      <w:lvlText w:val="●"/>
      <w:lvlJc w:val="left"/>
      <w:pPr>
        <w:ind w:left="6480" w:hanging="360"/>
      </w:pPr>
    </w:lvl>
  </w:abstractNum>
  <w:abstractNum w:abstractNumId="1" w15:restartNumberingAfterBreak="0">
    <w:nsid w:val="443E3A8A"/>
    <w:multiLevelType w:val="hybridMultilevel"/>
    <w:tmpl w:val="107EFDCE"/>
    <w:lvl w:ilvl="0" w:tplc="73E23878">
      <w:start w:val="1"/>
      <w:numFmt w:val="bullet"/>
      <w:lvlText w:val="•"/>
      <w:lvlJc w:val="left"/>
      <w:pPr>
        <w:ind w:left="720" w:hanging="360"/>
      </w:pPr>
    </w:lvl>
    <w:lvl w:ilvl="1" w:tplc="A9709AC4">
      <w:numFmt w:val="decimal"/>
      <w:lvlText w:val=""/>
      <w:lvlJc w:val="left"/>
    </w:lvl>
    <w:lvl w:ilvl="2" w:tplc="D67AAFB4">
      <w:numFmt w:val="decimal"/>
      <w:lvlText w:val=""/>
      <w:lvlJc w:val="left"/>
    </w:lvl>
    <w:lvl w:ilvl="3" w:tplc="0826F6F8">
      <w:numFmt w:val="decimal"/>
      <w:lvlText w:val=""/>
      <w:lvlJc w:val="left"/>
    </w:lvl>
    <w:lvl w:ilvl="4" w:tplc="32066566">
      <w:numFmt w:val="decimal"/>
      <w:lvlText w:val=""/>
      <w:lvlJc w:val="left"/>
    </w:lvl>
    <w:lvl w:ilvl="5" w:tplc="6E088B9E">
      <w:numFmt w:val="decimal"/>
      <w:lvlText w:val=""/>
      <w:lvlJc w:val="left"/>
    </w:lvl>
    <w:lvl w:ilvl="6" w:tplc="CA2A5DEA">
      <w:numFmt w:val="decimal"/>
      <w:lvlText w:val=""/>
      <w:lvlJc w:val="left"/>
    </w:lvl>
    <w:lvl w:ilvl="7" w:tplc="5CC09D90">
      <w:numFmt w:val="decimal"/>
      <w:lvlText w:val=""/>
      <w:lvlJc w:val="left"/>
    </w:lvl>
    <w:lvl w:ilvl="8" w:tplc="47AC1696">
      <w:numFmt w:val="decimal"/>
      <w:lvlText w:val=""/>
      <w:lvlJc w:val="left"/>
    </w:lvl>
  </w:abstractNum>
  <w:num w:numId="1" w16cid:durableId="1741635027">
    <w:abstractNumId w:val="0"/>
    <w:lvlOverride w:ilvl="0">
      <w:startOverride w:val="1"/>
    </w:lvlOverride>
  </w:num>
  <w:num w:numId="2" w16cid:durableId="108529935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BAF"/>
    <w:rsid w:val="00124A58"/>
    <w:rsid w:val="002A34DD"/>
    <w:rsid w:val="00642131"/>
    <w:rsid w:val="00921B75"/>
    <w:rsid w:val="00A740C4"/>
    <w:rsid w:val="00E84BAF"/>
    <w:rsid w:val="00F07EBE"/>
    <w:rsid w:val="00F2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F2568"/>
  <w15:docId w15:val="{00154569-795B-461F-A10D-D81BF839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1F4788"/>
      <w:sz w:val="32"/>
      <w:szCs w:val="32"/>
    </w:rPr>
  </w:style>
  <w:style w:type="paragraph" w:styleId="Heading2">
    <w:name w:val="heading 2"/>
    <w:uiPriority w:val="9"/>
    <w:unhideWhenUsed/>
    <w:qFormat/>
    <w:pPr>
      <w:spacing w:before="240" w:after="120"/>
      <w:outlineLvl w:val="1"/>
    </w:pPr>
    <w:rPr>
      <w:b/>
      <w:bCs/>
      <w:color w:val="2E5C8A"/>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before="240" w:after="180"/>
      <w:jc w:val="center"/>
    </w:pPr>
    <w:rPr>
      <w:b/>
      <w:bCs/>
      <w:color w:val="1F4788"/>
      <w:sz w:val="48"/>
      <w:szCs w:val="48"/>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Subtitle">
    <w:name w:val="Subtitle"/>
    <w:uiPriority w:val="11"/>
    <w:qFormat/>
    <w:pPr>
      <w:spacing w:after="120"/>
      <w:jc w:val="center"/>
    </w:pPr>
    <w:rPr>
      <w:i/>
      <w:iCs/>
      <w:color w:val="666666"/>
      <w:sz w:val="28"/>
      <w:szCs w:val="28"/>
    </w:rPr>
  </w:style>
  <w:style w:type="paragraph" w:styleId="Quote">
    <w:name w:val="Quote"/>
    <w:pPr>
      <w:spacing w:before="120" w:after="120"/>
      <w:ind w:left="720" w:right="720"/>
    </w:pPr>
    <w:rPr>
      <w:i/>
      <w:iCs/>
      <w:color w:val="444444"/>
      <w:sz w:val="22"/>
      <w:szCs w:val="22"/>
    </w:rPr>
  </w:style>
  <w:style w:type="paragraph" w:styleId="Header">
    <w:name w:val="header"/>
    <w:basedOn w:val="Normal"/>
    <w:link w:val="HeaderChar"/>
    <w:uiPriority w:val="99"/>
    <w:unhideWhenUsed/>
    <w:rsid w:val="002A34DD"/>
    <w:pPr>
      <w:tabs>
        <w:tab w:val="center" w:pos="4680"/>
        <w:tab w:val="right" w:pos="9360"/>
      </w:tabs>
    </w:pPr>
  </w:style>
  <w:style w:type="character" w:customStyle="1" w:styleId="HeaderChar">
    <w:name w:val="Header Char"/>
    <w:basedOn w:val="DefaultParagraphFont"/>
    <w:link w:val="Header"/>
    <w:uiPriority w:val="99"/>
    <w:rsid w:val="002A34DD"/>
  </w:style>
  <w:style w:type="paragraph" w:styleId="Footer">
    <w:name w:val="footer"/>
    <w:basedOn w:val="Normal"/>
    <w:link w:val="FooterChar"/>
    <w:uiPriority w:val="99"/>
    <w:unhideWhenUsed/>
    <w:rsid w:val="002A34DD"/>
    <w:pPr>
      <w:tabs>
        <w:tab w:val="center" w:pos="4680"/>
        <w:tab w:val="right" w:pos="9360"/>
      </w:tabs>
    </w:pPr>
  </w:style>
  <w:style w:type="character" w:customStyle="1" w:styleId="FooterChar">
    <w:name w:val="Footer Char"/>
    <w:basedOn w:val="DefaultParagraphFont"/>
    <w:link w:val="Footer"/>
    <w:uiPriority w:val="99"/>
    <w:rsid w:val="002A3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1674</Words>
  <Characters>9547</Characters>
  <Application>Microsoft Office Word</Application>
  <DocSecurity>0</DocSecurity>
  <Lines>79</Lines>
  <Paragraphs>22</Paragraphs>
  <ScaleCrop>false</ScaleCrop>
  <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Annie McGlothlin</cp:lastModifiedBy>
  <cp:revision>4</cp:revision>
  <dcterms:created xsi:type="dcterms:W3CDTF">2025-11-05T17:04:00Z</dcterms:created>
  <dcterms:modified xsi:type="dcterms:W3CDTF">2025-11-05T17:33:00Z</dcterms:modified>
</cp:coreProperties>
</file>