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2"/>
        <w:gridCol w:w="3623"/>
        <w:gridCol w:w="573"/>
        <w:gridCol w:w="4197"/>
        <w:tblGridChange w:id="0">
          <w:tblGrid>
            <w:gridCol w:w="2402"/>
            <w:gridCol w:w="3623"/>
            <w:gridCol w:w="573"/>
            <w:gridCol w:w="4197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   Welding Technologies – LaBelle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9, Communication (Reading Language Arts): 9</w:t>
            </w:r>
          </w:p>
          <w:p w:rsidR="00000000" w:rsidDel="00000000" w:rsidP="00000000" w:rsidRDefault="00000000" w:rsidRPr="00000000" w14:paraId="0000000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3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 </w:t>
              <w:br w:type="textWrapping"/>
              <w:t xml:space="preserve">(1050 Hours)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 (Per Hour Tuition $2.68)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$2,814.00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Equipment/Facility Usage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$2,450.00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$230.00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$800.00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$120.00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3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5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$7,444.00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**Tuition based on Florida Residency. Tuition fees are subject to change to comply with state guidelines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American Welding Society: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SMAW Plate 3G &amp; 4G, Pipe 6G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OSHA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- 10 Hour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43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J400400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Welding Technology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209 N Industrial Loop LaBelle FL, 33935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August 17, 2026 – May 28, 2027 </w:t>
              <w:br w:type="textWrapping"/>
              <w:t xml:space="preserve">Monday – Friday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7:30 AM – 2:30 PM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Stephen Riggs,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u w:val="single"/>
                <w:rtl w:val="0"/>
              </w:rPr>
              <w:t xml:space="preserve">riggss@hendry-schools.net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Z8kr0o69iE+5jBwc/N5T8iwEA==">CgMxLjA4AHIhMTNObkVOcVIxZy1qMjNjRDdybmtqNHpEM0dGOTl3SkM4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