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2"/>
        <w:gridCol w:w="3713"/>
        <w:gridCol w:w="4680"/>
        <w:tblGridChange w:id="0">
          <w:tblGrid>
            <w:gridCol w:w="2402"/>
            <w:gridCol w:w="3713"/>
            <w:gridCol w:w="468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   Diesel Systems Technician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9, Communication (Reading Language Arts): 9</w:t>
            </w:r>
          </w:p>
          <w:p w:rsidR="00000000" w:rsidDel="00000000" w:rsidP="00000000" w:rsidRDefault="00000000" w:rsidRPr="00000000" w14:paraId="00000006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1050 Hours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</w:t>
              <w:br w:type="textWrapping"/>
              <w:t xml:space="preserve">(Per Hour Tuition $2.68)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$2,814.00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Equipment/Facility Usage Fee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$225.00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$800.00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8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A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$5,289.00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ind w:right="7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**Tuition based on Florida Residency. Tuition fees are subject to change to comply with state guidelines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ASE Entry-Level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Breaks, Diesel Engines, Electrical/Electronic System, Steering &amp; Suspension, Inspection Maintenance and Minor Repair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OSHA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- 10 Hour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34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T440400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Diesel Maintenance Technician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Clewiston Diesel Shop (Behind Clewiston Middle School) off of N. Lopez St. – Gate #1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Adult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17, 2026 – May 28, 2027 </w:t>
              <w:br w:type="textWrapping"/>
              <w:t xml:space="preserve">Monday – Friday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7:30 AM – 2:30 PM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Albert Williams,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u w:val="single"/>
                <w:rtl w:val="0"/>
              </w:rPr>
              <w:t xml:space="preserve">williamsa@hendry-schools.net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wqp6Bxh44hDn9d5MSuxBfx8Kg==">CgMxLjA4AHIhMV9GWFdsMXJLMERaaW1uOWdHeHRYZlM4VVVKdGo3TmJW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