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CDE27" w14:textId="77777777" w:rsidR="003543A3" w:rsidRDefault="000E4B82">
      <w:pPr>
        <w:pStyle w:val="Heading1"/>
      </w:pPr>
      <w:r>
        <w:t>Alternatives Community Program Services Strategic Plan 2025–2028</w:t>
      </w:r>
    </w:p>
    <w:p w14:paraId="7BA35C80" w14:textId="77777777" w:rsidR="003543A3" w:rsidRDefault="000E4B82">
      <w:r>
        <w:t>First Draft – June 2025</w:t>
      </w:r>
    </w:p>
    <w:p w14:paraId="00E36704" w14:textId="4B8933C9" w:rsidR="00602A9C" w:rsidRPr="00602A9C" w:rsidRDefault="00602A9C" w:rsidP="00602A9C">
      <w:pPr>
        <w:pStyle w:val="Heading2"/>
        <w:rPr>
          <w:u w:val="single"/>
        </w:rPr>
      </w:pPr>
      <w:r w:rsidRPr="00602A9C">
        <w:rPr>
          <w:u w:val="single"/>
        </w:rPr>
        <w:t>Connected Growth – Deepening Impact through Voice, Visibility and Value</w:t>
      </w:r>
    </w:p>
    <w:p w14:paraId="45208EA4" w14:textId="77777777" w:rsidR="003543A3" w:rsidRDefault="000E4B82">
      <w:pPr>
        <w:pStyle w:val="Heading2"/>
      </w:pPr>
      <w:r>
        <w:t>1. Executive Summary</w:t>
      </w:r>
    </w:p>
    <w:p w14:paraId="0D0CF20A" w14:textId="77777777" w:rsidR="003543A3" w:rsidRDefault="000E4B82">
      <w:r>
        <w:t xml:space="preserve">Over the next three years, Alternatives Community Program Services (ACPS) will focus on </w:t>
      </w:r>
      <w:r w:rsidRPr="00C37ACF">
        <w:t>connected growth, a strategic direction designed to deepen impact through greater voice, visibility, and value.</w:t>
      </w:r>
      <w:r>
        <w:t xml:space="preserve"> This plan reflects our continued commitment to strengthening internal systems, amplifying the voices of those we serve, investing in staff and volunteers, and expanding our presence through inclusive community partnerships.</w:t>
      </w:r>
    </w:p>
    <w:p w14:paraId="44AE0F8C" w14:textId="77777777" w:rsidR="003543A3" w:rsidRDefault="000E4B82">
      <w:r>
        <w:t>This 2025–2028 Strategic Plan builds upon the momentum of the previous 2021–2025 plan. During our review, we recognized progress in key areas including increased community engagement, the expansion of staff development initiatives, and the introduction of new communication tools. We also identified priorities that required renewed attention and deeper integration in the next phase of growth.</w:t>
      </w:r>
    </w:p>
    <w:p w14:paraId="64974440" w14:textId="77777777" w:rsidR="003543A3" w:rsidRDefault="000E4B82">
      <w:r>
        <w:t>The planning process was inclusive and community-driven. It involved ACPS board members, senior leadership, staff, and community partners through a combination of surveys, a community roundtable, and a facilitated planning session held on April 12, 2025. These inputs shaped the plan’s core direction and strategic priorities.</w:t>
      </w:r>
    </w:p>
    <w:p w14:paraId="48FBA00E" w14:textId="77777777" w:rsidR="005974DC" w:rsidRDefault="000E4B82" w:rsidP="00356A0A">
      <w:pPr>
        <w:spacing w:after="0"/>
      </w:pPr>
      <w:r>
        <w:t>The approved development timeline included:</w:t>
      </w:r>
      <w:r>
        <w:br/>
        <w:t>• Discovery and pre-planning in February 2025</w:t>
      </w:r>
      <w:r>
        <w:br/>
        <w:t>• Community and stakeholder input in March and April</w:t>
      </w:r>
      <w:r>
        <w:br/>
        <w:t>• Strategic planning and draft development through May</w:t>
      </w:r>
      <w:r>
        <w:br/>
        <w:t>• Review and revisions in June</w:t>
      </w:r>
      <w:r>
        <w:br/>
        <w:t xml:space="preserve">• </w:t>
      </w:r>
      <w:r w:rsidR="005974DC">
        <w:t xml:space="preserve">Develop KPI’s, align resources (budget and people) and </w:t>
      </w:r>
      <w:r>
        <w:t xml:space="preserve">Implementation </w:t>
      </w:r>
      <w:r w:rsidR="005974DC">
        <w:t>P</w:t>
      </w:r>
      <w:r>
        <w:t>lanning in July and August</w:t>
      </w:r>
    </w:p>
    <w:p w14:paraId="1A2235A7" w14:textId="4DA51AF9" w:rsidR="003543A3" w:rsidRDefault="000E4B82" w:rsidP="00356A0A">
      <w:pPr>
        <w:spacing w:after="0"/>
      </w:pPr>
      <w:r>
        <w:t>• Full implementation commencing September 1, 2025</w:t>
      </w:r>
    </w:p>
    <w:p w14:paraId="4085C7BB" w14:textId="77777777" w:rsidR="00356A0A" w:rsidRDefault="00356A0A" w:rsidP="00356A0A">
      <w:pPr>
        <w:spacing w:after="0"/>
      </w:pPr>
    </w:p>
    <w:p w14:paraId="160B2150" w14:textId="1F15DB8B" w:rsidR="00602A9C" w:rsidRDefault="000E4B82" w:rsidP="00602A9C">
      <w:r>
        <w:t xml:space="preserve">The result is a forward-looking plan grounded in both reflection and aspiration. The central theme of </w:t>
      </w:r>
      <w:r w:rsidRPr="004C113C">
        <w:rPr>
          <w:b/>
          <w:bCs/>
        </w:rPr>
        <w:t>Connected Growth</w:t>
      </w:r>
      <w:r>
        <w:t xml:space="preserve"> is supported by five strategic priorities</w:t>
      </w:r>
      <w:r w:rsidR="00356A0A">
        <w:t xml:space="preserve"> in 3 key areas:</w:t>
      </w:r>
    </w:p>
    <w:p w14:paraId="03EFAFE8" w14:textId="6E024037" w:rsidR="00356A0A" w:rsidRPr="00356A0A" w:rsidRDefault="00356A0A" w:rsidP="00356A0A">
      <w:pPr>
        <w:rPr>
          <w:b/>
          <w:bCs/>
          <w:lang w:val="en-CA"/>
        </w:rPr>
      </w:pPr>
      <w:r w:rsidRPr="00356A0A">
        <w:rPr>
          <w:b/>
          <w:bCs/>
          <w:lang w:val="en-CA"/>
        </w:rPr>
        <w:t>1. Communication</w:t>
      </w:r>
      <w:r>
        <w:rPr>
          <w:b/>
          <w:bCs/>
          <w:lang w:val="en-CA"/>
        </w:rPr>
        <w:t xml:space="preserve">  - </w:t>
      </w:r>
      <w:r w:rsidRPr="00356A0A">
        <w:rPr>
          <w:b/>
          <w:bCs/>
          <w:i/>
          <w:iCs/>
          <w:lang w:val="en-CA"/>
        </w:rPr>
        <w:t>Creating clarity, consistency, and transparency inside and outside the organization.</w:t>
      </w:r>
    </w:p>
    <w:p w14:paraId="1D3C194C" w14:textId="6766690D" w:rsidR="00356A0A" w:rsidRPr="00356A0A" w:rsidRDefault="00356A0A" w:rsidP="00356A0A">
      <w:pPr>
        <w:rPr>
          <w:lang w:val="en-CA"/>
        </w:rPr>
      </w:pPr>
      <w:r w:rsidRPr="00356A0A">
        <w:rPr>
          <w:b/>
          <w:bCs/>
          <w:lang w:val="en-CA"/>
        </w:rPr>
        <w:t xml:space="preserve">• </w:t>
      </w:r>
      <w:r w:rsidRPr="00356A0A">
        <w:rPr>
          <w:lang w:val="en-CA"/>
        </w:rPr>
        <w:t>Build Clear and Consistent Internal Communication Systems</w:t>
      </w:r>
      <w:r w:rsidRPr="00356A0A">
        <w:rPr>
          <w:lang w:val="en-CA"/>
        </w:rPr>
        <w:br/>
        <w:t>• Strengthen Visibility and Public Understanding</w:t>
      </w:r>
    </w:p>
    <w:p w14:paraId="25A32D10" w14:textId="5ED9074A" w:rsidR="00356A0A" w:rsidRPr="00356A0A" w:rsidRDefault="00356A0A" w:rsidP="00356A0A">
      <w:pPr>
        <w:rPr>
          <w:lang w:val="en-CA"/>
        </w:rPr>
      </w:pPr>
      <w:r w:rsidRPr="00356A0A">
        <w:rPr>
          <w:lang w:val="en-CA"/>
        </w:rPr>
        <w:t>These priorities focus on how ACPS communicates — both internally (equitable access to information, feedback loops) and externally (branding, storytelling, ambassador engagement).</w:t>
      </w:r>
    </w:p>
    <w:p w14:paraId="15D05AAC" w14:textId="4156E1ED" w:rsidR="00356A0A" w:rsidRPr="00356A0A" w:rsidRDefault="00356A0A" w:rsidP="00356A0A">
      <w:pPr>
        <w:rPr>
          <w:b/>
          <w:bCs/>
          <w:lang w:val="en-CA"/>
        </w:rPr>
      </w:pPr>
      <w:r w:rsidRPr="00356A0A">
        <w:rPr>
          <w:b/>
          <w:bCs/>
          <w:lang w:val="en-CA"/>
        </w:rPr>
        <w:lastRenderedPageBreak/>
        <w:t>2. People</w:t>
      </w:r>
      <w:r>
        <w:rPr>
          <w:b/>
          <w:bCs/>
          <w:lang w:val="en-CA"/>
        </w:rPr>
        <w:t xml:space="preserve"> - </w:t>
      </w:r>
      <w:r w:rsidRPr="00356A0A">
        <w:rPr>
          <w:b/>
          <w:bCs/>
          <w:i/>
          <w:iCs/>
          <w:lang w:val="en-CA"/>
        </w:rPr>
        <w:t>Empowering staff, volunteers, and partners to lead, grow, and thrive.</w:t>
      </w:r>
    </w:p>
    <w:p w14:paraId="75332451" w14:textId="3D261FE2" w:rsidR="00356A0A" w:rsidRPr="00356A0A" w:rsidRDefault="00356A0A" w:rsidP="00356A0A">
      <w:pPr>
        <w:rPr>
          <w:lang w:val="en-CA"/>
        </w:rPr>
      </w:pPr>
      <w:r w:rsidRPr="00356A0A">
        <w:rPr>
          <w:b/>
          <w:bCs/>
          <w:lang w:val="en-CA"/>
        </w:rPr>
        <w:t xml:space="preserve">• </w:t>
      </w:r>
      <w:r w:rsidRPr="00356A0A">
        <w:rPr>
          <w:lang w:val="en-CA"/>
        </w:rPr>
        <w:t>Elevate Staff Capacity, Development, and Recognition</w:t>
      </w:r>
      <w:r w:rsidRPr="00356A0A">
        <w:rPr>
          <w:lang w:val="en-CA"/>
        </w:rPr>
        <w:br/>
        <w:t>• Recruit, Develop and Retain Skilled Volunteer and Partner Networks</w:t>
      </w:r>
    </w:p>
    <w:p w14:paraId="46051B3B" w14:textId="7AA1F252" w:rsidR="00356A0A" w:rsidRPr="00356A0A" w:rsidRDefault="00356A0A" w:rsidP="00356A0A">
      <w:pPr>
        <w:rPr>
          <w:lang w:val="en-CA"/>
        </w:rPr>
      </w:pPr>
      <w:r w:rsidRPr="00356A0A">
        <w:rPr>
          <w:lang w:val="en-CA"/>
        </w:rPr>
        <w:t>Both priorities emphasize developing human capital—investing in staff wellness, leadership, and building networks of capable, mission-aligned volunteers and partners.</w:t>
      </w:r>
    </w:p>
    <w:p w14:paraId="4B755CE5" w14:textId="256B08F5" w:rsidR="00356A0A" w:rsidRPr="00356A0A" w:rsidRDefault="00356A0A" w:rsidP="00356A0A">
      <w:pPr>
        <w:rPr>
          <w:b/>
          <w:bCs/>
          <w:lang w:val="en-CA"/>
        </w:rPr>
      </w:pPr>
      <w:r w:rsidRPr="00356A0A">
        <w:rPr>
          <w:b/>
          <w:bCs/>
          <w:lang w:val="en-CA"/>
        </w:rPr>
        <w:t>3. Awareness</w:t>
      </w:r>
      <w:r>
        <w:rPr>
          <w:b/>
          <w:bCs/>
          <w:lang w:val="en-CA"/>
        </w:rPr>
        <w:t xml:space="preserve"> - </w:t>
      </w:r>
      <w:r w:rsidRPr="00356A0A">
        <w:rPr>
          <w:b/>
          <w:bCs/>
          <w:i/>
          <w:iCs/>
          <w:lang w:val="en-CA"/>
        </w:rPr>
        <w:t>Improving access, inclusion, and the reach of programs and services.</w:t>
      </w:r>
    </w:p>
    <w:p w14:paraId="7079A74A" w14:textId="574A6222" w:rsidR="00356A0A" w:rsidRPr="00356A0A" w:rsidRDefault="00356A0A" w:rsidP="00356A0A">
      <w:pPr>
        <w:rPr>
          <w:lang w:val="en-CA"/>
        </w:rPr>
      </w:pPr>
      <w:r w:rsidRPr="00356A0A">
        <w:rPr>
          <w:lang w:val="en-CA"/>
        </w:rPr>
        <w:t>• Assess Program Delivery to Reduce Silos and Boost Participation</w:t>
      </w:r>
    </w:p>
    <w:p w14:paraId="0613A385" w14:textId="5BA3A690" w:rsidR="00356A0A" w:rsidRPr="00356A0A" w:rsidRDefault="00356A0A" w:rsidP="00356A0A">
      <w:pPr>
        <w:rPr>
          <w:lang w:val="en-CA"/>
        </w:rPr>
      </w:pPr>
      <w:r w:rsidRPr="00356A0A">
        <w:rPr>
          <w:lang w:val="en-CA"/>
        </w:rPr>
        <w:t>This priority is about organizational awareness of what’s working, improving accessibility, reducing internal silos, and making programs more inclusive and better connected to community needs.</w:t>
      </w:r>
    </w:p>
    <w:p w14:paraId="61F810C4" w14:textId="77777777" w:rsidR="003543A3" w:rsidRDefault="000E4B82">
      <w:r>
        <w:t>Each priority is supported by measurable outcomes and aligned with ACPS’s core values of inclusion, accountability, and community connection. As we move into implementation, this plan serves as a roadmap to guide purposeful action, monitor progress, and ensure that ACPS remains a vibrant, responsive, and impactful organization.</w:t>
      </w:r>
    </w:p>
    <w:p w14:paraId="04A829DD" w14:textId="77777777" w:rsidR="003543A3" w:rsidRDefault="000E4B82">
      <w:pPr>
        <w:pStyle w:val="Heading2"/>
      </w:pPr>
      <w:r>
        <w:t>2. Vision, Mission and Core Values</w:t>
      </w:r>
    </w:p>
    <w:p w14:paraId="425AC406" w14:textId="717F7265" w:rsidR="003543A3" w:rsidRDefault="000E4B82">
      <w:r w:rsidRPr="004C113C">
        <w:rPr>
          <w:b/>
          <w:bCs/>
        </w:rPr>
        <w:t>Vision:</w:t>
      </w:r>
      <w:r>
        <w:t xml:space="preserve"> A welcoming space where everyone is recognized for their achievements </w:t>
      </w:r>
      <w:r w:rsidR="00B1572D">
        <w:t xml:space="preserve">and supported in their </w:t>
      </w:r>
      <w:r>
        <w:t>journey of growth and belonging.</w:t>
      </w:r>
    </w:p>
    <w:p w14:paraId="2F1EF19F" w14:textId="01BA58A7" w:rsidR="003543A3" w:rsidRDefault="000E4B82">
      <w:r w:rsidRPr="004C113C">
        <w:rPr>
          <w:b/>
          <w:bCs/>
        </w:rPr>
        <w:t>Mission:</w:t>
      </w:r>
      <w:r>
        <w:t xml:space="preserve"> We foster inclusive opportunities for people with diverse abilities to connect, contribute and grow—by centering their voices, removing barriers, and building strong partnerships for lasting impact.</w:t>
      </w:r>
    </w:p>
    <w:p w14:paraId="60E8012A" w14:textId="3DAA8257" w:rsidR="004C113C" w:rsidRDefault="004C113C" w:rsidP="004C113C">
      <w:pPr>
        <w:pStyle w:val="Heading2"/>
      </w:pPr>
      <w:r>
        <w:t xml:space="preserve">3. </w:t>
      </w:r>
      <w:r w:rsidRPr="004C113C">
        <w:t>Guiding Principles</w:t>
      </w:r>
    </w:p>
    <w:p w14:paraId="2E6FE368" w14:textId="77777777" w:rsidR="00E038CF" w:rsidRDefault="004C113C" w:rsidP="00E038CF">
      <w:pPr>
        <w:pStyle w:val="ListParagraph"/>
        <w:numPr>
          <w:ilvl w:val="0"/>
          <w:numId w:val="10"/>
        </w:numPr>
      </w:pPr>
      <w:r w:rsidRPr="00E038CF">
        <w:rPr>
          <w:b/>
          <w:bCs/>
        </w:rPr>
        <w:t>Equity and Belonging</w:t>
      </w:r>
      <w:r w:rsidR="00E038CF" w:rsidRPr="00E038CF">
        <w:rPr>
          <w:b/>
          <w:bCs/>
        </w:rPr>
        <w:t xml:space="preserve"> - </w:t>
      </w:r>
      <w:r w:rsidR="00E038CF">
        <w:t>We are committed to fostering a culture where everyone feels safe, respected, and included. We work actively to remove barriers to access and ensure fair treatment and opportunities for all.</w:t>
      </w:r>
    </w:p>
    <w:p w14:paraId="67D71806" w14:textId="77777777" w:rsidR="00E038CF" w:rsidRDefault="004C113C" w:rsidP="00E038CF">
      <w:pPr>
        <w:pStyle w:val="ListParagraph"/>
        <w:numPr>
          <w:ilvl w:val="0"/>
          <w:numId w:val="10"/>
        </w:numPr>
      </w:pPr>
      <w:r w:rsidRPr="00E038CF">
        <w:rPr>
          <w:b/>
          <w:bCs/>
        </w:rPr>
        <w:t>Personal Growth and Lifelong Learning</w:t>
      </w:r>
      <w:r w:rsidR="00E038CF" w:rsidRPr="00E038CF">
        <w:rPr>
          <w:b/>
          <w:bCs/>
        </w:rPr>
        <w:t xml:space="preserve"> - </w:t>
      </w:r>
      <w:r w:rsidR="00E038CF">
        <w:t>We believe in empowering individuals by supporting continuous development, skill-building, and opportunities to grow in ways that are meaningful to them.</w:t>
      </w:r>
    </w:p>
    <w:p w14:paraId="0A9C59C5" w14:textId="77777777" w:rsidR="00E038CF" w:rsidRDefault="004C113C" w:rsidP="00E038CF">
      <w:pPr>
        <w:pStyle w:val="ListParagraph"/>
        <w:numPr>
          <w:ilvl w:val="0"/>
          <w:numId w:val="10"/>
        </w:numPr>
      </w:pPr>
      <w:r w:rsidRPr="00E038CF">
        <w:rPr>
          <w:b/>
          <w:bCs/>
        </w:rPr>
        <w:t>Voice and Choice</w:t>
      </w:r>
      <w:r w:rsidR="00E038CF" w:rsidRPr="00E038CF">
        <w:rPr>
          <w:b/>
          <w:bCs/>
        </w:rPr>
        <w:t xml:space="preserve"> - </w:t>
      </w:r>
      <w:r w:rsidR="00E038CF">
        <w:t>We center the voices of those we serve and support their right to make decisions that impact their lives. We listen actively and involve participants, staff, and families in shaping our services.</w:t>
      </w:r>
    </w:p>
    <w:p w14:paraId="38371003" w14:textId="77777777" w:rsidR="00E038CF" w:rsidRDefault="004C113C" w:rsidP="00E038CF">
      <w:pPr>
        <w:pStyle w:val="ListParagraph"/>
        <w:numPr>
          <w:ilvl w:val="0"/>
          <w:numId w:val="10"/>
        </w:numPr>
      </w:pPr>
      <w:r w:rsidRPr="00E038CF">
        <w:rPr>
          <w:b/>
          <w:bCs/>
        </w:rPr>
        <w:t>Integrity and Transparency</w:t>
      </w:r>
      <w:r w:rsidR="00E038CF" w:rsidRPr="00E038CF">
        <w:rPr>
          <w:b/>
          <w:bCs/>
        </w:rPr>
        <w:t xml:space="preserve"> - </w:t>
      </w:r>
      <w:r w:rsidR="00E038CF">
        <w:t>We act with honesty, accountability, and openness in all that we do. Our decisions, communications, and operations reflect a commitment to doing what is right and being trustworthy.</w:t>
      </w:r>
    </w:p>
    <w:p w14:paraId="5762EE70" w14:textId="77777777" w:rsidR="00E038CF" w:rsidRDefault="004C113C" w:rsidP="00E038CF">
      <w:pPr>
        <w:pStyle w:val="ListParagraph"/>
        <w:numPr>
          <w:ilvl w:val="0"/>
          <w:numId w:val="10"/>
        </w:numPr>
      </w:pPr>
      <w:r w:rsidRPr="00E038CF">
        <w:rPr>
          <w:b/>
          <w:bCs/>
        </w:rPr>
        <w:t>Impact through Collaborative Relationships and Partnerships</w:t>
      </w:r>
      <w:r w:rsidR="00E038CF" w:rsidRPr="00E038CF">
        <w:rPr>
          <w:b/>
          <w:bCs/>
        </w:rPr>
        <w:t xml:space="preserve"> - </w:t>
      </w:r>
      <w:r w:rsidR="00E038CF">
        <w:t>We believe we are stronger together. We collaborate with community partners, families, and staff to achieve shared goals and amplify our collective impact.</w:t>
      </w:r>
    </w:p>
    <w:p w14:paraId="6266F5CF" w14:textId="6097BCC9" w:rsidR="00602A9C" w:rsidRDefault="00602A9C" w:rsidP="00602A9C">
      <w:pPr>
        <w:pStyle w:val="Heading2"/>
      </w:pPr>
      <w:r>
        <w:lastRenderedPageBreak/>
        <w:t xml:space="preserve">4. Areas of Focus </w:t>
      </w:r>
    </w:p>
    <w:p w14:paraId="0098E346" w14:textId="7000766D" w:rsidR="00602A9C" w:rsidRPr="00602A9C" w:rsidRDefault="00602A9C" w:rsidP="00602A9C">
      <w:pPr>
        <w:spacing w:after="0"/>
        <w:rPr>
          <w:b/>
          <w:bCs/>
          <w:i/>
          <w:iCs/>
        </w:rPr>
      </w:pPr>
      <w:r w:rsidRPr="00602A9C">
        <w:rPr>
          <w:b/>
          <w:bCs/>
          <w:i/>
          <w:iCs/>
        </w:rPr>
        <w:t>Empowering Community Impact through People, Purpose and Programs</w:t>
      </w:r>
    </w:p>
    <w:p w14:paraId="1ED56947" w14:textId="70AB6AED" w:rsidR="00602A9C" w:rsidRDefault="00602A9C" w:rsidP="00602A9C">
      <w:pPr>
        <w:pStyle w:val="ListParagraph"/>
        <w:numPr>
          <w:ilvl w:val="0"/>
          <w:numId w:val="15"/>
        </w:numPr>
        <w:spacing w:after="0"/>
      </w:pPr>
      <w:r>
        <w:t>Inclusive Programs</w:t>
      </w:r>
    </w:p>
    <w:p w14:paraId="0297CB26" w14:textId="66C6F349" w:rsidR="00602A9C" w:rsidRDefault="00602A9C" w:rsidP="00602A9C">
      <w:pPr>
        <w:pStyle w:val="ListParagraph"/>
        <w:numPr>
          <w:ilvl w:val="0"/>
          <w:numId w:val="15"/>
        </w:numPr>
        <w:spacing w:after="0"/>
      </w:pPr>
      <w:r>
        <w:t>Empowering People</w:t>
      </w:r>
    </w:p>
    <w:p w14:paraId="0F80DFB7" w14:textId="2AC75A76" w:rsidR="00602A9C" w:rsidRDefault="00602A9C" w:rsidP="00602A9C">
      <w:pPr>
        <w:pStyle w:val="ListParagraph"/>
        <w:numPr>
          <w:ilvl w:val="0"/>
          <w:numId w:val="15"/>
        </w:numPr>
        <w:spacing w:after="0"/>
      </w:pPr>
      <w:r>
        <w:t>Fostering Innovation</w:t>
      </w:r>
    </w:p>
    <w:p w14:paraId="7F135147" w14:textId="70BECD71" w:rsidR="00602A9C" w:rsidRDefault="00602A9C" w:rsidP="00602A9C">
      <w:pPr>
        <w:pStyle w:val="ListParagraph"/>
        <w:numPr>
          <w:ilvl w:val="0"/>
          <w:numId w:val="15"/>
        </w:numPr>
        <w:spacing w:after="0"/>
      </w:pPr>
      <w:r>
        <w:t>Clear Communication</w:t>
      </w:r>
    </w:p>
    <w:p w14:paraId="6F262F44" w14:textId="372B0F75" w:rsidR="00602A9C" w:rsidRDefault="00602A9C" w:rsidP="00602A9C">
      <w:pPr>
        <w:pStyle w:val="ListParagraph"/>
        <w:numPr>
          <w:ilvl w:val="0"/>
          <w:numId w:val="15"/>
        </w:numPr>
        <w:spacing w:after="0"/>
      </w:pPr>
      <w:r>
        <w:t>Smart Technology</w:t>
      </w:r>
    </w:p>
    <w:p w14:paraId="4AE5196D" w14:textId="0F75C9A5" w:rsidR="00602A9C" w:rsidRPr="00602A9C" w:rsidRDefault="00602A9C" w:rsidP="00602A9C">
      <w:pPr>
        <w:pStyle w:val="ListParagraph"/>
        <w:numPr>
          <w:ilvl w:val="0"/>
          <w:numId w:val="15"/>
        </w:numPr>
        <w:spacing w:after="0"/>
      </w:pPr>
      <w:r>
        <w:t>Financial Stability</w:t>
      </w:r>
    </w:p>
    <w:p w14:paraId="1386BA0B" w14:textId="77777777" w:rsidR="003543A3" w:rsidRDefault="000E4B82">
      <w:pPr>
        <w:pStyle w:val="Heading2"/>
      </w:pPr>
      <w:r>
        <w:t>4. Situational Analysis</w:t>
      </w:r>
    </w:p>
    <w:p w14:paraId="329BE3E8" w14:textId="77777777" w:rsidR="003543A3" w:rsidRDefault="000E4B82">
      <w:r>
        <w:t>Understanding ACPS’s top strengths and concerns helps inform strategic choices, identify leverage points, and anticipate risks. By building on our strengths, we reinforce what already works well and enhance our capacity for growth. Addressing areas of concern ensures that we proactively manage challenges that could hinder progress. This dual perspective grounds the strategic direction in organizational reality, aligning future efforts with both community expectations and internal capacity.</w:t>
      </w:r>
    </w:p>
    <w:p w14:paraId="206D6EAF" w14:textId="5CDFF7E6" w:rsidR="005D5065" w:rsidRDefault="005D5065" w:rsidP="00991826">
      <w:pPr>
        <w:rPr>
          <w:b/>
          <w:bCs/>
        </w:rPr>
        <w:sectPr w:rsidR="005D5065" w:rsidSect="00034616">
          <w:pgSz w:w="12240" w:h="15840"/>
          <w:pgMar w:top="1440" w:right="1800" w:bottom="1440" w:left="1800" w:header="720" w:footer="720" w:gutter="0"/>
          <w:cols w:space="720"/>
          <w:docGrid w:linePitch="360"/>
        </w:sectPr>
      </w:pPr>
    </w:p>
    <w:p w14:paraId="2182FFB1" w14:textId="77777777" w:rsidR="003543A3" w:rsidRPr="00E038CF" w:rsidRDefault="000E4B82" w:rsidP="00E038CF">
      <w:pPr>
        <w:spacing w:after="0"/>
        <w:rPr>
          <w:b/>
          <w:bCs/>
        </w:rPr>
      </w:pPr>
      <w:r w:rsidRPr="00E038CF">
        <w:rPr>
          <w:b/>
          <w:bCs/>
        </w:rPr>
        <w:t>Top 5 Strengths:</w:t>
      </w:r>
    </w:p>
    <w:p w14:paraId="3997FCEC" w14:textId="77777777" w:rsidR="003543A3" w:rsidRDefault="000E4B82" w:rsidP="005D5065">
      <w:pPr>
        <w:pStyle w:val="ListBullet"/>
        <w:numPr>
          <w:ilvl w:val="0"/>
          <w:numId w:val="0"/>
        </w:numPr>
      </w:pPr>
      <w:r>
        <w:t>• Strong staff dedication and lived experience</w:t>
      </w:r>
    </w:p>
    <w:p w14:paraId="16CEB87D" w14:textId="77777777" w:rsidR="003543A3" w:rsidRDefault="000E4B82" w:rsidP="005D5065">
      <w:pPr>
        <w:pStyle w:val="ListBullet"/>
        <w:numPr>
          <w:ilvl w:val="0"/>
          <w:numId w:val="0"/>
        </w:numPr>
      </w:pPr>
      <w:r>
        <w:t>• Positive reputation in the community</w:t>
      </w:r>
    </w:p>
    <w:p w14:paraId="13884338" w14:textId="77777777" w:rsidR="003543A3" w:rsidRDefault="000E4B82" w:rsidP="005D5065">
      <w:pPr>
        <w:pStyle w:val="ListBullet"/>
        <w:numPr>
          <w:ilvl w:val="0"/>
          <w:numId w:val="0"/>
        </w:numPr>
      </w:pPr>
      <w:r>
        <w:t>• High-quality, client-centered programming</w:t>
      </w:r>
    </w:p>
    <w:p w14:paraId="6D876A79" w14:textId="77777777" w:rsidR="003543A3" w:rsidRDefault="000E4B82" w:rsidP="005D5065">
      <w:pPr>
        <w:pStyle w:val="ListBullet"/>
        <w:numPr>
          <w:ilvl w:val="0"/>
          <w:numId w:val="0"/>
        </w:numPr>
      </w:pPr>
      <w:r>
        <w:t>• Commitment to inclusion and equity</w:t>
      </w:r>
    </w:p>
    <w:p w14:paraId="7F0C8775" w14:textId="77777777" w:rsidR="003543A3" w:rsidRDefault="000E4B82" w:rsidP="005D5065">
      <w:pPr>
        <w:pStyle w:val="ListBullet"/>
        <w:numPr>
          <w:ilvl w:val="0"/>
          <w:numId w:val="0"/>
        </w:numPr>
      </w:pPr>
      <w:r>
        <w:t>• Resilient response to past challenges</w:t>
      </w:r>
    </w:p>
    <w:p w14:paraId="1EB59C1A" w14:textId="77777777" w:rsidR="003543A3" w:rsidRPr="00E038CF" w:rsidRDefault="000E4B82" w:rsidP="00E038CF">
      <w:pPr>
        <w:spacing w:after="0"/>
        <w:rPr>
          <w:b/>
          <w:bCs/>
        </w:rPr>
      </w:pPr>
      <w:r w:rsidRPr="00E038CF">
        <w:rPr>
          <w:b/>
          <w:bCs/>
        </w:rPr>
        <w:t>Top 5 Concerns:</w:t>
      </w:r>
    </w:p>
    <w:p w14:paraId="38324A04" w14:textId="597F2275" w:rsidR="003543A3" w:rsidRDefault="000E4B82" w:rsidP="005D5065">
      <w:pPr>
        <w:pStyle w:val="ListBullet"/>
        <w:numPr>
          <w:ilvl w:val="0"/>
          <w:numId w:val="0"/>
        </w:numPr>
      </w:pPr>
      <w:r>
        <w:t xml:space="preserve">• </w:t>
      </w:r>
      <w:r w:rsidR="005D5065">
        <w:t>Long term financial stability</w:t>
      </w:r>
    </w:p>
    <w:p w14:paraId="7C4E5A9C" w14:textId="4ACF5880" w:rsidR="003543A3" w:rsidRDefault="000E4B82" w:rsidP="005D5065">
      <w:pPr>
        <w:pStyle w:val="ListBullet"/>
        <w:numPr>
          <w:ilvl w:val="0"/>
          <w:numId w:val="0"/>
        </w:numPr>
      </w:pPr>
      <w:r>
        <w:t xml:space="preserve">• </w:t>
      </w:r>
      <w:r w:rsidR="00991826">
        <w:t>Capacity of staff and capital</w:t>
      </w:r>
    </w:p>
    <w:p w14:paraId="64F706BC" w14:textId="77777777" w:rsidR="003543A3" w:rsidRDefault="000E4B82" w:rsidP="005D5065">
      <w:pPr>
        <w:pStyle w:val="ListBullet"/>
        <w:numPr>
          <w:ilvl w:val="0"/>
          <w:numId w:val="0"/>
        </w:numPr>
      </w:pPr>
      <w:r>
        <w:t>• Lack of consistent internal communication tools</w:t>
      </w:r>
    </w:p>
    <w:p w14:paraId="73CA4212" w14:textId="77777777" w:rsidR="003543A3" w:rsidRDefault="000E4B82" w:rsidP="005D5065">
      <w:pPr>
        <w:pStyle w:val="ListBullet"/>
        <w:numPr>
          <w:ilvl w:val="0"/>
          <w:numId w:val="0"/>
        </w:numPr>
      </w:pPr>
      <w:r>
        <w:t>• Need for stronger community visibility</w:t>
      </w:r>
    </w:p>
    <w:p w14:paraId="31559C55" w14:textId="77777777" w:rsidR="003543A3" w:rsidRDefault="000E4B82" w:rsidP="005D5065">
      <w:pPr>
        <w:pStyle w:val="ListBullet"/>
        <w:numPr>
          <w:ilvl w:val="0"/>
          <w:numId w:val="0"/>
        </w:numPr>
      </w:pPr>
      <w:r>
        <w:t>• Technology gaps affecting program reach</w:t>
      </w:r>
    </w:p>
    <w:p w14:paraId="213BFC4E" w14:textId="77777777" w:rsidR="005D5065" w:rsidRDefault="005D5065" w:rsidP="005D5065">
      <w:pPr>
        <w:pStyle w:val="Heading2"/>
        <w:sectPr w:rsidR="005D5065" w:rsidSect="005D5065">
          <w:type w:val="continuous"/>
          <w:pgSz w:w="12240" w:h="15840"/>
          <w:pgMar w:top="1440" w:right="1800" w:bottom="1440" w:left="1800" w:header="720" w:footer="720" w:gutter="0"/>
          <w:cols w:num="2" w:space="720"/>
          <w:docGrid w:linePitch="360"/>
        </w:sectPr>
      </w:pPr>
    </w:p>
    <w:p w14:paraId="4DBF6F0E" w14:textId="77777777" w:rsidR="00DB0DBD" w:rsidRDefault="000E4B82" w:rsidP="00DB0DBD">
      <w:pPr>
        <w:pStyle w:val="Heading2"/>
      </w:pPr>
      <w:r>
        <w:t>5. Strategic Direction – How Do We Get There?</w:t>
      </w:r>
    </w:p>
    <w:p w14:paraId="59B4F658" w14:textId="23B637B2" w:rsidR="00991826" w:rsidRDefault="00991826" w:rsidP="00991826">
      <w:pPr>
        <w:rPr>
          <w:b/>
          <w:bCs/>
        </w:rPr>
        <w:sectPr w:rsidR="00991826" w:rsidSect="00991826">
          <w:type w:val="continuous"/>
          <w:pgSz w:w="12240" w:h="15840"/>
          <w:pgMar w:top="1440" w:right="1800" w:bottom="1440" w:left="1800" w:header="720" w:footer="720" w:gutter="0"/>
          <w:cols w:space="720"/>
          <w:docGrid w:linePitch="360"/>
        </w:sectPr>
      </w:pPr>
      <w:r>
        <w:t>The data for the situational analysis was collected via surveys and partner engagement</w:t>
      </w:r>
      <w:r>
        <w:rPr>
          <w:b/>
          <w:bCs/>
        </w:rPr>
        <w:t xml:space="preserve"> </w:t>
      </w:r>
      <w:r w:rsidRPr="00991826">
        <w:t>and every strength has been acknowledged and leveraged to build future capacity.  The concerns have also been addressed with targeted tactic</w:t>
      </w:r>
      <w:r w:rsidR="0063262F">
        <w:t>s.</w:t>
      </w:r>
    </w:p>
    <w:p w14:paraId="3B9C6C63" w14:textId="2144F8A4" w:rsidR="00DB0DBD" w:rsidRPr="00DB0DBD" w:rsidRDefault="00DB0DBD" w:rsidP="006B1F85">
      <w:pPr>
        <w:pStyle w:val="Heading2"/>
      </w:pPr>
      <w:r w:rsidRPr="00DB0DBD">
        <w:t>A</w:t>
      </w:r>
      <w:r w:rsidRPr="006B1F85">
        <w:t>. Programs and Services</w:t>
      </w:r>
      <w:r w:rsidR="0063262F" w:rsidRPr="006B1F85">
        <w:t xml:space="preserve"> - </w:t>
      </w:r>
      <w:r w:rsidRPr="006B1F85">
        <w:t>Purposeful</w:t>
      </w:r>
      <w:r w:rsidRPr="00DB0DBD">
        <w:t>, Inclusive and Community-Connected Programs</w:t>
      </w:r>
    </w:p>
    <w:p w14:paraId="7AF6E342" w14:textId="77777777" w:rsidR="00DB0DBD" w:rsidRPr="00DB0DBD" w:rsidRDefault="00DB0DBD" w:rsidP="00DB0DBD">
      <w:pPr>
        <w:spacing w:after="0"/>
        <w:rPr>
          <w:b/>
          <w:bCs/>
        </w:rPr>
      </w:pPr>
      <w:r w:rsidRPr="00DB0DBD">
        <w:rPr>
          <w:b/>
          <w:bCs/>
        </w:rPr>
        <w:t>Key Tactics:</w:t>
      </w:r>
    </w:p>
    <w:p w14:paraId="6C795E40" w14:textId="77777777" w:rsidR="00DB0DBD" w:rsidRDefault="00DB0DBD" w:rsidP="005D5065">
      <w:pPr>
        <w:pStyle w:val="ListBullet"/>
        <w:numPr>
          <w:ilvl w:val="0"/>
          <w:numId w:val="0"/>
        </w:numPr>
      </w:pPr>
      <w:r>
        <w:t>• Enhance outcome tracking and program evaluation systems.</w:t>
      </w:r>
    </w:p>
    <w:p w14:paraId="0721A016" w14:textId="77777777" w:rsidR="00DB0DBD" w:rsidRDefault="00DB0DBD" w:rsidP="005D5065">
      <w:pPr>
        <w:pStyle w:val="ListBullet"/>
        <w:numPr>
          <w:ilvl w:val="0"/>
          <w:numId w:val="0"/>
        </w:numPr>
      </w:pPr>
      <w:r>
        <w:t>• Integrate client and family input into program design and decision-making.</w:t>
      </w:r>
    </w:p>
    <w:p w14:paraId="30070F96" w14:textId="496D8E47" w:rsidR="00DB0DBD" w:rsidRDefault="00DB0DBD" w:rsidP="005D5065">
      <w:pPr>
        <w:pStyle w:val="ListBullet"/>
        <w:numPr>
          <w:ilvl w:val="0"/>
          <w:numId w:val="0"/>
        </w:numPr>
      </w:pPr>
      <w:r>
        <w:t xml:space="preserve">• Maximize use of ACPS spaces and community partner venues to </w:t>
      </w:r>
      <w:r w:rsidR="00C37ACF">
        <w:t>maximize service delivery</w:t>
      </w:r>
      <w:r>
        <w:t>.</w:t>
      </w:r>
    </w:p>
    <w:p w14:paraId="19EDABAF" w14:textId="77777777" w:rsidR="00DB0DBD" w:rsidRDefault="00DB0DBD" w:rsidP="005D5065">
      <w:pPr>
        <w:pStyle w:val="ListBullet"/>
        <w:numPr>
          <w:ilvl w:val="0"/>
          <w:numId w:val="0"/>
        </w:numPr>
      </w:pPr>
      <w:r>
        <w:t>• Develop shared programming with other agencies to reduce silos and broaden impact.</w:t>
      </w:r>
    </w:p>
    <w:p w14:paraId="4DE02945" w14:textId="77777777" w:rsidR="00DB0DBD" w:rsidRDefault="00DB0DBD" w:rsidP="005D5065">
      <w:pPr>
        <w:pStyle w:val="ListBullet"/>
        <w:numPr>
          <w:ilvl w:val="0"/>
          <w:numId w:val="0"/>
        </w:numPr>
        <w:spacing w:after="0"/>
      </w:pPr>
      <w:r>
        <w:t>• Encourage cross-promotion of services to increase client engagement.</w:t>
      </w:r>
    </w:p>
    <w:p w14:paraId="75F0CEEE" w14:textId="600D8190" w:rsidR="00DB0DBD" w:rsidRPr="006B1F85" w:rsidRDefault="00DB0DBD" w:rsidP="006B1F85">
      <w:pPr>
        <w:pStyle w:val="Heading2"/>
      </w:pPr>
      <w:r w:rsidRPr="006B1F85">
        <w:t xml:space="preserve">B. </w:t>
      </w:r>
      <w:r w:rsidRPr="006B1F85">
        <w:rPr>
          <w:rStyle w:val="Heading3Char"/>
          <w:b/>
          <w:bCs/>
        </w:rPr>
        <w:t>Financial Sustainability</w:t>
      </w:r>
      <w:r w:rsidR="0063262F" w:rsidRPr="006B1F85">
        <w:rPr>
          <w:rStyle w:val="Heading3Char"/>
          <w:b/>
          <w:bCs/>
        </w:rPr>
        <w:t xml:space="preserve"> - </w:t>
      </w:r>
      <w:r w:rsidRPr="006B1F85">
        <w:t>Seeking Stability to Allow a Focus on Innovation</w:t>
      </w:r>
    </w:p>
    <w:p w14:paraId="323F7A38" w14:textId="77777777" w:rsidR="00DB0DBD" w:rsidRPr="00DB0DBD" w:rsidRDefault="00DB0DBD" w:rsidP="00602A9C">
      <w:pPr>
        <w:spacing w:after="0"/>
        <w:rPr>
          <w:b/>
          <w:bCs/>
        </w:rPr>
      </w:pPr>
      <w:r w:rsidRPr="00DB0DBD">
        <w:rPr>
          <w:b/>
          <w:bCs/>
        </w:rPr>
        <w:t>Key Tactics:</w:t>
      </w:r>
    </w:p>
    <w:p w14:paraId="484096A0" w14:textId="77777777" w:rsidR="00DB0DBD" w:rsidRDefault="00DB0DBD" w:rsidP="00DB0DBD">
      <w:pPr>
        <w:pStyle w:val="ListBullet"/>
        <w:numPr>
          <w:ilvl w:val="0"/>
          <w:numId w:val="0"/>
        </w:numPr>
        <w:ind w:left="720"/>
      </w:pPr>
      <w:r>
        <w:lastRenderedPageBreak/>
        <w:t>• Implement a cash flow monitoring and forecasting tool.</w:t>
      </w:r>
    </w:p>
    <w:p w14:paraId="70DF619F" w14:textId="77777777" w:rsidR="00DB0DBD" w:rsidRDefault="00DB0DBD" w:rsidP="00DB0DBD">
      <w:pPr>
        <w:pStyle w:val="ListBullet"/>
        <w:numPr>
          <w:ilvl w:val="0"/>
          <w:numId w:val="0"/>
        </w:numPr>
        <w:ind w:left="720"/>
      </w:pPr>
      <w:r>
        <w:t>• Strengthen donor relationships through storytelling and impact reporting.</w:t>
      </w:r>
    </w:p>
    <w:p w14:paraId="44B10760" w14:textId="77777777" w:rsidR="00DB0DBD" w:rsidRDefault="00DB0DBD" w:rsidP="00DB0DBD">
      <w:pPr>
        <w:pStyle w:val="ListBullet"/>
        <w:numPr>
          <w:ilvl w:val="0"/>
          <w:numId w:val="0"/>
        </w:numPr>
        <w:ind w:left="720"/>
      </w:pPr>
      <w:r>
        <w:t>• Develop new grant and earned revenue strategies focused on long-term growth.</w:t>
      </w:r>
    </w:p>
    <w:p w14:paraId="5674B608" w14:textId="77777777" w:rsidR="00DB0DBD" w:rsidRDefault="00DB0DBD" w:rsidP="00DB0DBD">
      <w:pPr>
        <w:pStyle w:val="ListBullet"/>
        <w:numPr>
          <w:ilvl w:val="0"/>
          <w:numId w:val="0"/>
        </w:numPr>
        <w:ind w:left="720"/>
      </w:pPr>
      <w:r>
        <w:t>• Reduce reliance on restricted grants by growing flexible funding sources.</w:t>
      </w:r>
    </w:p>
    <w:p w14:paraId="567827AC" w14:textId="77777777" w:rsidR="00DB0DBD" w:rsidRDefault="00DB0DBD" w:rsidP="00602A9C">
      <w:pPr>
        <w:pStyle w:val="ListBullet"/>
        <w:numPr>
          <w:ilvl w:val="0"/>
          <w:numId w:val="0"/>
        </w:numPr>
        <w:spacing w:after="0"/>
        <w:ind w:left="720"/>
      </w:pPr>
      <w:r>
        <w:t>• Design a donor-directed fund model to support equity in access.</w:t>
      </w:r>
    </w:p>
    <w:p w14:paraId="101F7105" w14:textId="525BA76C" w:rsidR="00DB0DBD" w:rsidRPr="006B1F85" w:rsidRDefault="00DB0DBD" w:rsidP="006B1F85">
      <w:pPr>
        <w:pStyle w:val="Heading2"/>
      </w:pPr>
      <w:r w:rsidRPr="006B1F85">
        <w:t xml:space="preserve">C. </w:t>
      </w:r>
      <w:r w:rsidR="0063262F" w:rsidRPr="006B1F85">
        <w:t xml:space="preserve">People, </w:t>
      </w:r>
      <w:r w:rsidRPr="006B1F85">
        <w:t>Capacity</w:t>
      </w:r>
      <w:r w:rsidR="00602A9C" w:rsidRPr="006B1F85">
        <w:t>, and Culture</w:t>
      </w:r>
      <w:r w:rsidR="0063262F" w:rsidRPr="006B1F85">
        <w:t xml:space="preserve"> - </w:t>
      </w:r>
      <w:r w:rsidRPr="006B1F85">
        <w:t>Empower and Elevate People Across the Organization and Community</w:t>
      </w:r>
    </w:p>
    <w:p w14:paraId="213F8F81" w14:textId="77777777" w:rsidR="00DB0DBD" w:rsidRPr="00DB0DBD" w:rsidRDefault="00DB0DBD" w:rsidP="00DB0DBD">
      <w:pPr>
        <w:spacing w:after="0"/>
        <w:rPr>
          <w:b/>
          <w:bCs/>
        </w:rPr>
      </w:pPr>
      <w:r w:rsidRPr="00DB0DBD">
        <w:rPr>
          <w:b/>
          <w:bCs/>
        </w:rPr>
        <w:t>Key Tactics:</w:t>
      </w:r>
    </w:p>
    <w:p w14:paraId="1E7114AB" w14:textId="15EE898C" w:rsidR="00DB0DBD" w:rsidRDefault="00DB0DBD" w:rsidP="00DB0DBD">
      <w:pPr>
        <w:pStyle w:val="ListBullet"/>
        <w:numPr>
          <w:ilvl w:val="0"/>
          <w:numId w:val="0"/>
        </w:numPr>
        <w:ind w:left="720"/>
      </w:pPr>
      <w:r>
        <w:t xml:space="preserve">• Expand volunteer recruitment and </w:t>
      </w:r>
      <w:r w:rsidR="00B1572D">
        <w:t xml:space="preserve">volunteer </w:t>
      </w:r>
      <w:r>
        <w:t>training programs to increase organizational capacity.</w:t>
      </w:r>
    </w:p>
    <w:p w14:paraId="73329E90" w14:textId="77777777" w:rsidR="00DB0DBD" w:rsidRDefault="00DB0DBD" w:rsidP="00DB0DBD">
      <w:pPr>
        <w:pStyle w:val="ListBullet"/>
        <w:numPr>
          <w:ilvl w:val="0"/>
          <w:numId w:val="0"/>
        </w:numPr>
        <w:ind w:left="720"/>
      </w:pPr>
      <w:r>
        <w:t>• Offer structured professional development and wellness initiatives for staff.</w:t>
      </w:r>
    </w:p>
    <w:p w14:paraId="77F9EE39" w14:textId="77777777" w:rsidR="00DB0DBD" w:rsidRDefault="00DB0DBD" w:rsidP="00DB0DBD">
      <w:pPr>
        <w:pStyle w:val="ListBullet"/>
        <w:numPr>
          <w:ilvl w:val="0"/>
          <w:numId w:val="0"/>
        </w:numPr>
        <w:ind w:left="720"/>
      </w:pPr>
      <w:r>
        <w:t>• Formalize leadership and advocacy opportunities for clients.</w:t>
      </w:r>
    </w:p>
    <w:p w14:paraId="4A3500E9" w14:textId="69DB1ADB" w:rsidR="00DB0DBD" w:rsidRDefault="00DB0DBD" w:rsidP="00DB0DBD">
      <w:pPr>
        <w:pStyle w:val="ListBullet"/>
        <w:numPr>
          <w:ilvl w:val="0"/>
          <w:numId w:val="0"/>
        </w:numPr>
        <w:ind w:left="720"/>
      </w:pPr>
      <w:r>
        <w:t xml:space="preserve">• Apply an equity lens to all staffing </w:t>
      </w:r>
      <w:r w:rsidR="00C37ACF">
        <w:t xml:space="preserve">, board </w:t>
      </w:r>
      <w:r>
        <w:t>and client engagement practices.</w:t>
      </w:r>
    </w:p>
    <w:p w14:paraId="6E70BC64" w14:textId="77777777" w:rsidR="00DB0DBD" w:rsidRDefault="00DB0DBD" w:rsidP="00602A9C">
      <w:pPr>
        <w:pStyle w:val="ListBullet"/>
        <w:numPr>
          <w:ilvl w:val="0"/>
          <w:numId w:val="0"/>
        </w:numPr>
        <w:spacing w:after="0"/>
        <w:ind w:left="720"/>
      </w:pPr>
      <w:r>
        <w:t>• Showcase contributions through internal storytelling and recognition initiatives.</w:t>
      </w:r>
    </w:p>
    <w:p w14:paraId="75E9DBF0" w14:textId="56995E7A" w:rsidR="00DB0DBD" w:rsidRPr="006B1F85" w:rsidRDefault="00DB0DBD" w:rsidP="006B1F85">
      <w:pPr>
        <w:pStyle w:val="Heading2"/>
      </w:pPr>
      <w:r w:rsidRPr="006B1F85">
        <w:t>D. Technology &amp; Innovation</w:t>
      </w:r>
      <w:r w:rsidR="0063262F" w:rsidRPr="006B1F85">
        <w:t xml:space="preserve"> - </w:t>
      </w:r>
      <w:r w:rsidRPr="006B1F85">
        <w:t>Modernizing Tools to Expand Access and Insight</w:t>
      </w:r>
    </w:p>
    <w:p w14:paraId="27A773BC" w14:textId="77777777" w:rsidR="00DB0DBD" w:rsidRPr="00DB0DBD" w:rsidRDefault="00DB0DBD" w:rsidP="00DB0DBD">
      <w:pPr>
        <w:spacing w:after="0"/>
        <w:rPr>
          <w:b/>
          <w:bCs/>
        </w:rPr>
      </w:pPr>
      <w:r w:rsidRPr="00DB0DBD">
        <w:rPr>
          <w:b/>
          <w:bCs/>
        </w:rPr>
        <w:t>Key Tactics:</w:t>
      </w:r>
    </w:p>
    <w:p w14:paraId="192FCCD9" w14:textId="4905592E" w:rsidR="00DB0DBD" w:rsidRPr="00704314" w:rsidRDefault="00DB0DBD" w:rsidP="00704314">
      <w:pPr>
        <w:pStyle w:val="ListBullet"/>
        <w:numPr>
          <w:ilvl w:val="0"/>
          <w:numId w:val="23"/>
        </w:numPr>
      </w:pPr>
      <w:r w:rsidRPr="00704314">
        <w:t>Create a real-time public dashboard to display program reach and outcomes.</w:t>
      </w:r>
    </w:p>
    <w:p w14:paraId="59D267DD" w14:textId="6FAF0B1F" w:rsidR="00DB0DBD" w:rsidRDefault="00DB0DBD" w:rsidP="00704314">
      <w:pPr>
        <w:pStyle w:val="ListBullet"/>
        <w:numPr>
          <w:ilvl w:val="0"/>
          <w:numId w:val="23"/>
        </w:numPr>
      </w:pPr>
      <w:r>
        <w:t>Train staff and volunteers on emerging tools that enhance service delivery.</w:t>
      </w:r>
    </w:p>
    <w:p w14:paraId="225580FA" w14:textId="589AA3CF" w:rsidR="00704314" w:rsidRDefault="00704314" w:rsidP="00704314">
      <w:pPr>
        <w:pStyle w:val="ListBullet"/>
        <w:numPr>
          <w:ilvl w:val="0"/>
          <w:numId w:val="23"/>
        </w:numPr>
        <w:spacing w:after="0"/>
      </w:pPr>
      <w:r>
        <w:t>Create policies to address the fast changing pace of technology such as AI, inclusive of usage, data protection and risk management.</w:t>
      </w:r>
    </w:p>
    <w:p w14:paraId="77E76A9D" w14:textId="211E4BFA" w:rsidR="00DB0DBD" w:rsidRDefault="00DB0DBD" w:rsidP="00704314">
      <w:pPr>
        <w:pStyle w:val="ListBullet"/>
        <w:numPr>
          <w:ilvl w:val="0"/>
          <w:numId w:val="23"/>
        </w:numPr>
        <w:spacing w:after="0"/>
      </w:pPr>
      <w:r>
        <w:t>Evaluate IT infrastructure needs annually to support scale and security.</w:t>
      </w:r>
    </w:p>
    <w:p w14:paraId="70583F3E" w14:textId="3B146B9D" w:rsidR="00DB0DBD" w:rsidRPr="006B1F85" w:rsidRDefault="00DB0DBD" w:rsidP="006B1F85">
      <w:pPr>
        <w:pStyle w:val="Heading2"/>
      </w:pPr>
      <w:r w:rsidRPr="006B1F85">
        <w:t xml:space="preserve">E. </w:t>
      </w:r>
      <w:r w:rsidR="0063262F" w:rsidRPr="006B1F85">
        <w:t>Community and</w:t>
      </w:r>
      <w:r w:rsidRPr="006B1F85">
        <w:t xml:space="preserve"> Engagement</w:t>
      </w:r>
      <w:r w:rsidR="0063262F" w:rsidRPr="006B1F85">
        <w:t xml:space="preserve"> - </w:t>
      </w:r>
      <w:r w:rsidRPr="006B1F85">
        <w:t>Build Connection Through Clarity and Consistency</w:t>
      </w:r>
    </w:p>
    <w:p w14:paraId="047F10A8" w14:textId="77777777" w:rsidR="00DB0DBD" w:rsidRPr="00DB0DBD" w:rsidRDefault="00DB0DBD" w:rsidP="00DB0DBD">
      <w:pPr>
        <w:spacing w:after="0"/>
        <w:rPr>
          <w:b/>
          <w:bCs/>
        </w:rPr>
      </w:pPr>
      <w:r w:rsidRPr="00DB0DBD">
        <w:rPr>
          <w:b/>
          <w:bCs/>
        </w:rPr>
        <w:t>Key Tactics:</w:t>
      </w:r>
    </w:p>
    <w:p w14:paraId="19AEBC80" w14:textId="0B05330D" w:rsidR="00DB0DBD" w:rsidRDefault="00DB0DBD" w:rsidP="00DB0DBD">
      <w:pPr>
        <w:pStyle w:val="ListBullet"/>
        <w:numPr>
          <w:ilvl w:val="0"/>
          <w:numId w:val="0"/>
        </w:numPr>
        <w:ind w:left="720"/>
      </w:pPr>
      <w:r>
        <w:t xml:space="preserve">• </w:t>
      </w:r>
      <w:r w:rsidR="00C37ACF">
        <w:t>Centralize and standardize formats and messaging within internal communications</w:t>
      </w:r>
      <w:r>
        <w:t>.</w:t>
      </w:r>
    </w:p>
    <w:p w14:paraId="5F822834" w14:textId="77777777" w:rsidR="00DB0DBD" w:rsidRDefault="00DB0DBD" w:rsidP="00DB0DBD">
      <w:pPr>
        <w:pStyle w:val="ListBullet"/>
        <w:numPr>
          <w:ilvl w:val="0"/>
          <w:numId w:val="0"/>
        </w:numPr>
        <w:ind w:left="720"/>
      </w:pPr>
      <w:r>
        <w:t>• Implement feedback tools like surveys and town halls with clear follow-up cycles.</w:t>
      </w:r>
    </w:p>
    <w:p w14:paraId="1F4D4B74" w14:textId="0827EEFB" w:rsidR="00DB0DBD" w:rsidRDefault="00DB0DBD" w:rsidP="00DB0DBD">
      <w:pPr>
        <w:pStyle w:val="ListBullet"/>
        <w:numPr>
          <w:ilvl w:val="0"/>
          <w:numId w:val="0"/>
        </w:numPr>
        <w:ind w:left="720"/>
      </w:pPr>
      <w:r>
        <w:t xml:space="preserve">• </w:t>
      </w:r>
      <w:r w:rsidR="00C37ACF">
        <w:t xml:space="preserve">Expand external outreach </w:t>
      </w:r>
      <w:r w:rsidR="0063262F">
        <w:t xml:space="preserve">tools to better reach a broader community. </w:t>
      </w:r>
    </w:p>
    <w:p w14:paraId="73545E94" w14:textId="3A6AEF00" w:rsidR="00DB0DBD" w:rsidRDefault="00DB0DBD" w:rsidP="00DB0DBD">
      <w:pPr>
        <w:pStyle w:val="ListBullet"/>
        <w:numPr>
          <w:ilvl w:val="0"/>
          <w:numId w:val="0"/>
        </w:numPr>
        <w:ind w:left="720"/>
      </w:pPr>
      <w:r>
        <w:t xml:space="preserve">• Revamp </w:t>
      </w:r>
      <w:r w:rsidR="0063262F">
        <w:t>marketing assets</w:t>
      </w:r>
      <w:r>
        <w:t xml:space="preserve"> for accessibility, clarity, and </w:t>
      </w:r>
      <w:r w:rsidR="00C37ACF">
        <w:t>multi audiences and purpose.</w:t>
      </w:r>
    </w:p>
    <w:p w14:paraId="06BD51E0" w14:textId="77777777" w:rsidR="00DB0DBD" w:rsidRDefault="00DB0DBD" w:rsidP="00602A9C">
      <w:pPr>
        <w:pStyle w:val="ListBullet"/>
        <w:numPr>
          <w:ilvl w:val="0"/>
          <w:numId w:val="0"/>
        </w:numPr>
        <w:spacing w:after="0"/>
        <w:ind w:left="720"/>
      </w:pPr>
      <w:r>
        <w:t>• Launch ambassador campaigns featuring lived experience voices.</w:t>
      </w:r>
    </w:p>
    <w:p w14:paraId="1426DE00" w14:textId="38B24FAD" w:rsidR="003543A3" w:rsidRPr="006B1F85" w:rsidRDefault="000E4B82" w:rsidP="006B1F85">
      <w:pPr>
        <w:pStyle w:val="Heading2"/>
      </w:pPr>
      <w:r w:rsidRPr="006B1F85">
        <w:t>6. Next Steps and Uncompleted Work</w:t>
      </w:r>
    </w:p>
    <w:p w14:paraId="321F6EE8" w14:textId="77777777" w:rsidR="003543A3" w:rsidRDefault="000E4B82">
      <w:r>
        <w:t>The following components are in development and will be included in the final version of the plan:</w:t>
      </w:r>
    </w:p>
    <w:p w14:paraId="7AEE8A00" w14:textId="0E6C6ABF" w:rsidR="003543A3" w:rsidRDefault="000E4B82" w:rsidP="00E038CF">
      <w:pPr>
        <w:pStyle w:val="ListBullet"/>
        <w:tabs>
          <w:tab w:val="clear" w:pos="360"/>
          <w:tab w:val="num" w:pos="720"/>
        </w:tabs>
        <w:ind w:left="720"/>
      </w:pPr>
      <w:r>
        <w:t>Implementation Plan (timelines, roles, resources)</w:t>
      </w:r>
      <w:r w:rsidR="008D4434">
        <w:t xml:space="preserve"> (Lori)</w:t>
      </w:r>
    </w:p>
    <w:p w14:paraId="2C312C65" w14:textId="05D7B560" w:rsidR="003543A3" w:rsidRDefault="000E4B82" w:rsidP="00E038CF">
      <w:pPr>
        <w:pStyle w:val="ListBullet"/>
        <w:tabs>
          <w:tab w:val="clear" w:pos="360"/>
          <w:tab w:val="num" w:pos="720"/>
        </w:tabs>
        <w:ind w:left="720"/>
      </w:pPr>
      <w:r>
        <w:t>KPI Dashboard and Performance Monitoring</w:t>
      </w:r>
      <w:r w:rsidR="008D4434">
        <w:t xml:space="preserve"> (Gail)</w:t>
      </w:r>
    </w:p>
    <w:p w14:paraId="7580E50C" w14:textId="50242092" w:rsidR="003543A3" w:rsidRDefault="000E4B82" w:rsidP="00E038CF">
      <w:pPr>
        <w:pStyle w:val="ListBullet"/>
        <w:tabs>
          <w:tab w:val="clear" w:pos="360"/>
          <w:tab w:val="num" w:pos="720"/>
        </w:tabs>
        <w:ind w:left="720"/>
      </w:pPr>
      <w:r>
        <w:t>Alignment with Organizational Plans:</w:t>
      </w:r>
      <w:r w:rsidR="008D4434">
        <w:t xml:space="preserve"> (Lori)</w:t>
      </w:r>
    </w:p>
    <w:p w14:paraId="6CDFECB3" w14:textId="77777777" w:rsidR="003543A3" w:rsidRDefault="000E4B82" w:rsidP="00E038CF">
      <w:pPr>
        <w:pStyle w:val="ListBullet"/>
        <w:numPr>
          <w:ilvl w:val="0"/>
          <w:numId w:val="0"/>
        </w:numPr>
        <w:ind w:left="1440"/>
      </w:pPr>
      <w:r>
        <w:t>• Communication Strategy</w:t>
      </w:r>
    </w:p>
    <w:p w14:paraId="65888C3B" w14:textId="77777777" w:rsidR="003543A3" w:rsidRDefault="000E4B82" w:rsidP="00E038CF">
      <w:pPr>
        <w:pStyle w:val="ListBullet"/>
        <w:numPr>
          <w:ilvl w:val="0"/>
          <w:numId w:val="0"/>
        </w:numPr>
        <w:ind w:left="1440"/>
      </w:pPr>
      <w:r>
        <w:lastRenderedPageBreak/>
        <w:t>• Organizational Chart and HR Planning</w:t>
      </w:r>
    </w:p>
    <w:p w14:paraId="4278A15B" w14:textId="77777777" w:rsidR="003543A3" w:rsidRDefault="000E4B82" w:rsidP="00E038CF">
      <w:pPr>
        <w:pStyle w:val="ListBullet"/>
        <w:numPr>
          <w:ilvl w:val="0"/>
          <w:numId w:val="0"/>
        </w:numPr>
        <w:ind w:left="1440"/>
      </w:pPr>
      <w:r>
        <w:t>• IT and Capital Planning</w:t>
      </w:r>
    </w:p>
    <w:p w14:paraId="28D2E572" w14:textId="77777777" w:rsidR="003543A3" w:rsidRDefault="000E4B82" w:rsidP="00E038CF">
      <w:pPr>
        <w:pStyle w:val="ListBullet"/>
        <w:numPr>
          <w:ilvl w:val="0"/>
          <w:numId w:val="0"/>
        </w:numPr>
        <w:ind w:left="1440"/>
      </w:pPr>
      <w:r>
        <w:t>• Budget Projections and Funding Models</w:t>
      </w:r>
    </w:p>
    <w:p w14:paraId="3DB90188" w14:textId="77777777" w:rsidR="003543A3" w:rsidRPr="006B1F85" w:rsidRDefault="000E4B82" w:rsidP="006B1F85">
      <w:pPr>
        <w:pStyle w:val="Heading2"/>
      </w:pPr>
      <w:r w:rsidRPr="006B1F85">
        <w:t>7. Strategic Outcomes – Year 3</w:t>
      </w:r>
    </w:p>
    <w:p w14:paraId="7D7CA44E" w14:textId="77777777" w:rsidR="003543A3" w:rsidRDefault="000E4B82">
      <w:r>
        <w:t>By 2028, ACPS will be a resilient, trusted leader in inclusive community supports—recognized for delivering impactful programs, cultivating strong partnerships, and creating a vibrant, values-driven workplace.</w:t>
      </w:r>
    </w:p>
    <w:p w14:paraId="31B845BD" w14:textId="77777777" w:rsidR="003543A3" w:rsidRDefault="000E4B82" w:rsidP="00E038CF">
      <w:pPr>
        <w:spacing w:after="0"/>
      </w:pPr>
      <w:r>
        <w:t xml:space="preserve">🧭 </w:t>
      </w:r>
      <w:r w:rsidRPr="00E038CF">
        <w:rPr>
          <w:b/>
          <w:bCs/>
        </w:rPr>
        <w:t>Strategic Goal 1: Expand Community Reach and Program Impact</w:t>
      </w:r>
    </w:p>
    <w:p w14:paraId="237BBD59" w14:textId="49E0C977" w:rsidR="003543A3" w:rsidRDefault="006B1F85" w:rsidP="006B1F85">
      <w:pPr>
        <w:pStyle w:val="ListParagraph"/>
        <w:numPr>
          <w:ilvl w:val="0"/>
          <w:numId w:val="25"/>
        </w:numPr>
        <w:spacing w:after="0"/>
        <w:ind w:left="1080"/>
      </w:pPr>
      <w:r>
        <w:t>O</w:t>
      </w:r>
      <w:r w:rsidR="000E4B82">
        <w:t xml:space="preserve">ff-Site Program Delivery: </w:t>
      </w:r>
      <w:r w:rsidR="004B1784">
        <w:t>Increase the number of programs provided at community partner locations</w:t>
      </w:r>
    </w:p>
    <w:p w14:paraId="0EF18F79" w14:textId="653DC0A2" w:rsidR="003543A3" w:rsidRDefault="000E4B82" w:rsidP="006B1F85">
      <w:pPr>
        <w:pStyle w:val="ListParagraph"/>
        <w:numPr>
          <w:ilvl w:val="0"/>
          <w:numId w:val="25"/>
        </w:numPr>
        <w:spacing w:after="0"/>
        <w:ind w:left="1080"/>
      </w:pPr>
      <w:r>
        <w:t>Client Satisfaction:</w:t>
      </w:r>
      <w:r w:rsidR="004B1784">
        <w:t xml:space="preserve"> Annual satisfaction survey results</w:t>
      </w:r>
      <w:r w:rsidRPr="004B1784">
        <w:t xml:space="preserve"> </w:t>
      </w:r>
    </w:p>
    <w:p w14:paraId="65991465" w14:textId="0437AC91" w:rsidR="006B1F85" w:rsidRDefault="006B1F85" w:rsidP="006B1F85">
      <w:pPr>
        <w:pStyle w:val="ListParagraph"/>
        <w:numPr>
          <w:ilvl w:val="0"/>
          <w:numId w:val="25"/>
        </w:numPr>
        <w:spacing w:after="0"/>
        <w:ind w:left="1080"/>
      </w:pPr>
      <w:r>
        <w:t xml:space="preserve">Program Participation:  Increase in </w:t>
      </w:r>
      <w:r w:rsidR="004B1784">
        <w:t xml:space="preserve">number of clients </w:t>
      </w:r>
      <w:r>
        <w:t xml:space="preserve">served </w:t>
      </w:r>
    </w:p>
    <w:p w14:paraId="6C049DE9" w14:textId="77777777" w:rsidR="00E038CF" w:rsidRDefault="00E038CF" w:rsidP="00E038CF">
      <w:pPr>
        <w:spacing w:after="0"/>
        <w:ind w:left="720"/>
      </w:pPr>
    </w:p>
    <w:p w14:paraId="4BE61F19" w14:textId="77777777" w:rsidR="003543A3" w:rsidRDefault="000E4B82" w:rsidP="00E038CF">
      <w:pPr>
        <w:spacing w:after="0"/>
      </w:pPr>
      <w:r>
        <w:t xml:space="preserve">🌱 </w:t>
      </w:r>
      <w:r w:rsidRPr="00E038CF">
        <w:rPr>
          <w:b/>
          <w:bCs/>
        </w:rPr>
        <w:t>Strategic Goal 2: Strengthen Internal Culture and Workforce Capacity</w:t>
      </w:r>
    </w:p>
    <w:p w14:paraId="5643F1A6" w14:textId="0607D462" w:rsidR="003543A3" w:rsidRDefault="000E4B82" w:rsidP="006B1F85">
      <w:pPr>
        <w:pStyle w:val="ListParagraph"/>
        <w:numPr>
          <w:ilvl w:val="0"/>
          <w:numId w:val="26"/>
        </w:numPr>
        <w:spacing w:after="0"/>
        <w:ind w:left="1080"/>
      </w:pPr>
      <w:r>
        <w:t xml:space="preserve">Employee Retention: </w:t>
      </w:r>
      <w:r w:rsidR="004B1784">
        <w:t xml:space="preserve"> Annual </w:t>
      </w:r>
      <w:r>
        <w:t>retention rate</w:t>
      </w:r>
    </w:p>
    <w:p w14:paraId="079A58E8" w14:textId="0244603B" w:rsidR="003543A3" w:rsidRDefault="000E4B82" w:rsidP="006B1F85">
      <w:pPr>
        <w:pStyle w:val="ListParagraph"/>
        <w:numPr>
          <w:ilvl w:val="0"/>
          <w:numId w:val="26"/>
        </w:numPr>
        <w:spacing w:after="0"/>
        <w:ind w:left="1080"/>
      </w:pPr>
      <w:r>
        <w:t xml:space="preserve">Staff Satisfaction: </w:t>
      </w:r>
      <w:r w:rsidR="004B1784">
        <w:t>A</w:t>
      </w:r>
      <w:r>
        <w:t>nnual workplace engagement survey</w:t>
      </w:r>
    </w:p>
    <w:p w14:paraId="1947C204" w14:textId="3097BD3B" w:rsidR="003543A3" w:rsidRDefault="000E4B82" w:rsidP="006B1F85">
      <w:pPr>
        <w:pStyle w:val="ListParagraph"/>
        <w:numPr>
          <w:ilvl w:val="0"/>
          <w:numId w:val="26"/>
        </w:numPr>
        <w:spacing w:after="0"/>
        <w:ind w:left="1080"/>
      </w:pPr>
      <w:r>
        <w:t>Visible staff recognition and promotion</w:t>
      </w:r>
      <w:r w:rsidR="004B1784">
        <w:t xml:space="preserve">  - TBD</w:t>
      </w:r>
    </w:p>
    <w:p w14:paraId="76E050D8" w14:textId="77777777" w:rsidR="00E038CF" w:rsidRDefault="00E038CF" w:rsidP="006B1F85">
      <w:pPr>
        <w:spacing w:after="0"/>
        <w:ind w:left="360"/>
      </w:pPr>
    </w:p>
    <w:p w14:paraId="70EAC760" w14:textId="77777777" w:rsidR="003543A3" w:rsidRPr="00E038CF" w:rsidRDefault="000E4B82" w:rsidP="00E038CF">
      <w:pPr>
        <w:spacing w:after="0"/>
        <w:rPr>
          <w:b/>
          <w:bCs/>
        </w:rPr>
      </w:pPr>
      <w:r>
        <w:t xml:space="preserve">💰 </w:t>
      </w:r>
      <w:r w:rsidRPr="00E038CF">
        <w:rPr>
          <w:b/>
          <w:bCs/>
        </w:rPr>
        <w:t>Strategic Goal 3: Ensure Financial Sustainability and Operational Resilience</w:t>
      </w:r>
    </w:p>
    <w:p w14:paraId="79EFA95B" w14:textId="40D1DAC4" w:rsidR="003543A3" w:rsidRDefault="000E4B82" w:rsidP="006B1F85">
      <w:pPr>
        <w:pStyle w:val="ListParagraph"/>
        <w:numPr>
          <w:ilvl w:val="0"/>
          <w:numId w:val="27"/>
        </w:numPr>
        <w:spacing w:after="0"/>
      </w:pPr>
      <w:r>
        <w:t xml:space="preserve">Annual Revenue Growth: </w:t>
      </w:r>
      <w:r w:rsidR="004B1784">
        <w:t xml:space="preserve"> TBD</w:t>
      </w:r>
    </w:p>
    <w:p w14:paraId="7A40EF15" w14:textId="3FBA91A1" w:rsidR="003543A3" w:rsidRDefault="000E4B82" w:rsidP="006B1F85">
      <w:pPr>
        <w:pStyle w:val="ListParagraph"/>
        <w:numPr>
          <w:ilvl w:val="0"/>
          <w:numId w:val="27"/>
        </w:numPr>
        <w:spacing w:after="0"/>
      </w:pPr>
      <w:r>
        <w:t>Achieve Grant Target</w:t>
      </w:r>
      <w:r w:rsidR="004B1784">
        <w:t>:  Ratio of grants applied for and received</w:t>
      </w:r>
    </w:p>
    <w:p w14:paraId="1292652A" w14:textId="5C84F326" w:rsidR="003543A3" w:rsidRDefault="000E4B82" w:rsidP="006B1F85">
      <w:pPr>
        <w:pStyle w:val="ListParagraph"/>
        <w:numPr>
          <w:ilvl w:val="0"/>
          <w:numId w:val="27"/>
        </w:numPr>
        <w:spacing w:after="0"/>
      </w:pPr>
      <w:r>
        <w:t>Standardized Finance and HR Procedures</w:t>
      </w:r>
      <w:r w:rsidR="004B1784">
        <w:t xml:space="preserve"> – Annual Review and Update of Policies and Procedures</w:t>
      </w:r>
    </w:p>
    <w:p w14:paraId="4CE2F7DE" w14:textId="77777777" w:rsidR="004B1784" w:rsidRDefault="004B1784" w:rsidP="004B1784">
      <w:pPr>
        <w:spacing w:after="0"/>
      </w:pPr>
    </w:p>
    <w:p w14:paraId="45B43115" w14:textId="6CBDDEDB" w:rsidR="00F8396E" w:rsidRPr="00F8396E" w:rsidRDefault="004B1784" w:rsidP="00F8396E">
      <w:pPr>
        <w:pStyle w:val="Heading2"/>
      </w:pPr>
      <w:r w:rsidRPr="00F8396E">
        <w:t xml:space="preserve">8.   </w:t>
      </w:r>
      <w:r w:rsidR="00F8396E" w:rsidRPr="00F8396E">
        <w:t>Performance Monitoring and Accountability</w:t>
      </w:r>
    </w:p>
    <w:p w14:paraId="2CCBD829" w14:textId="77777777" w:rsidR="00F8396E" w:rsidRPr="00F8396E" w:rsidRDefault="00F8396E" w:rsidP="00F8396E">
      <w:pPr>
        <w:rPr>
          <w:lang w:val="en-CA"/>
        </w:rPr>
      </w:pPr>
      <w:r w:rsidRPr="00F8396E">
        <w:rPr>
          <w:lang w:val="en-CA"/>
        </w:rPr>
        <w:t xml:space="preserve">To support successful implementation of this Strategic Plan and ensure measurable progress toward our goals, </w:t>
      </w:r>
      <w:r w:rsidRPr="00F8396E">
        <w:rPr>
          <w:b/>
          <w:bCs/>
          <w:lang w:val="en-CA"/>
        </w:rPr>
        <w:t>Key Performance Indicators (KPIs) will be developed for each tactic</w:t>
      </w:r>
      <w:r w:rsidRPr="00F8396E">
        <w:rPr>
          <w:lang w:val="en-CA"/>
        </w:rPr>
        <w:t xml:space="preserve"> under the four strategic categories:</w:t>
      </w:r>
    </w:p>
    <w:p w14:paraId="23305518" w14:textId="77777777" w:rsidR="00F8396E" w:rsidRPr="00F8396E" w:rsidRDefault="00F8396E" w:rsidP="00F8396E">
      <w:pPr>
        <w:numPr>
          <w:ilvl w:val="0"/>
          <w:numId w:val="28"/>
        </w:numPr>
        <w:spacing w:after="0"/>
        <w:rPr>
          <w:lang w:val="en-CA"/>
        </w:rPr>
      </w:pPr>
      <w:r w:rsidRPr="00F8396E">
        <w:rPr>
          <w:lang w:val="en-CA"/>
        </w:rPr>
        <w:t>Programs and Services</w:t>
      </w:r>
    </w:p>
    <w:p w14:paraId="103D360A" w14:textId="77777777" w:rsidR="00F8396E" w:rsidRPr="00F8396E" w:rsidRDefault="00F8396E" w:rsidP="00F8396E">
      <w:pPr>
        <w:numPr>
          <w:ilvl w:val="0"/>
          <w:numId w:val="28"/>
        </w:numPr>
        <w:spacing w:after="0"/>
        <w:rPr>
          <w:lang w:val="en-CA"/>
        </w:rPr>
      </w:pPr>
      <w:r w:rsidRPr="00F8396E">
        <w:rPr>
          <w:lang w:val="en-CA"/>
        </w:rPr>
        <w:t>Financial Sustainability</w:t>
      </w:r>
    </w:p>
    <w:p w14:paraId="174ED994" w14:textId="77777777" w:rsidR="00F8396E" w:rsidRDefault="00F8396E" w:rsidP="00F8396E">
      <w:pPr>
        <w:numPr>
          <w:ilvl w:val="0"/>
          <w:numId w:val="28"/>
        </w:numPr>
        <w:spacing w:after="0"/>
        <w:rPr>
          <w:lang w:val="en-CA"/>
        </w:rPr>
      </w:pPr>
      <w:r w:rsidRPr="00F8396E">
        <w:rPr>
          <w:lang w:val="en-CA"/>
        </w:rPr>
        <w:t>People, Capacity, and Culture</w:t>
      </w:r>
    </w:p>
    <w:p w14:paraId="49E4F63C" w14:textId="7060A6CF" w:rsidR="00F8396E" w:rsidRPr="00F8396E" w:rsidRDefault="00F8396E" w:rsidP="00F8396E">
      <w:pPr>
        <w:numPr>
          <w:ilvl w:val="0"/>
          <w:numId w:val="28"/>
        </w:numPr>
        <w:spacing w:after="0"/>
        <w:rPr>
          <w:lang w:val="en-CA"/>
        </w:rPr>
      </w:pPr>
      <w:r>
        <w:rPr>
          <w:lang w:val="en-CA"/>
        </w:rPr>
        <w:t>Technology and Innovation</w:t>
      </w:r>
    </w:p>
    <w:p w14:paraId="46FDC23B" w14:textId="77777777" w:rsidR="00F8396E" w:rsidRPr="00F8396E" w:rsidRDefault="00F8396E" w:rsidP="00F8396E">
      <w:pPr>
        <w:numPr>
          <w:ilvl w:val="0"/>
          <w:numId w:val="28"/>
        </w:numPr>
        <w:spacing w:after="0"/>
        <w:rPr>
          <w:lang w:val="en-CA"/>
        </w:rPr>
      </w:pPr>
      <w:r w:rsidRPr="00F8396E">
        <w:rPr>
          <w:lang w:val="en-CA"/>
        </w:rPr>
        <w:t>Communication and Engagement</w:t>
      </w:r>
    </w:p>
    <w:p w14:paraId="10112582" w14:textId="77777777" w:rsidR="00F8396E" w:rsidRPr="00F8396E" w:rsidRDefault="00F8396E" w:rsidP="00F8396E">
      <w:pPr>
        <w:rPr>
          <w:lang w:val="en-CA"/>
        </w:rPr>
      </w:pPr>
      <w:r w:rsidRPr="00F8396E">
        <w:rPr>
          <w:lang w:val="en-CA"/>
        </w:rPr>
        <w:t xml:space="preserve">These KPIs will reflect both output and outcome measures, with a focus on </w:t>
      </w:r>
      <w:r w:rsidRPr="00F8396E">
        <w:rPr>
          <w:b/>
          <w:bCs/>
          <w:lang w:val="en-CA"/>
        </w:rPr>
        <w:t>impact, efficiency, stakeholder engagement, and organizational resilience</w:t>
      </w:r>
      <w:r w:rsidRPr="00F8396E">
        <w:rPr>
          <w:lang w:val="en-CA"/>
        </w:rPr>
        <w:t>.</w:t>
      </w:r>
    </w:p>
    <w:p w14:paraId="7CD8980E" w14:textId="77777777" w:rsidR="00F8396E" w:rsidRPr="00F8396E" w:rsidRDefault="00F8396E" w:rsidP="00F8396E">
      <w:pPr>
        <w:rPr>
          <w:lang w:val="en-CA"/>
        </w:rPr>
      </w:pPr>
      <w:r w:rsidRPr="00F8396E">
        <w:rPr>
          <w:lang w:val="en-CA"/>
        </w:rPr>
        <w:t xml:space="preserve">To ensure accountability and strategic alignment, </w:t>
      </w:r>
      <w:r w:rsidRPr="00F8396E">
        <w:rPr>
          <w:b/>
          <w:bCs/>
          <w:lang w:val="en-CA"/>
        </w:rPr>
        <w:t>a quarterly performance report will be presented to the Board of Directors</w:t>
      </w:r>
      <w:r w:rsidRPr="00F8396E">
        <w:rPr>
          <w:lang w:val="en-CA"/>
        </w:rPr>
        <w:t>. These updates will include:</w:t>
      </w:r>
    </w:p>
    <w:p w14:paraId="1C4E5B42" w14:textId="77777777" w:rsidR="00F8396E" w:rsidRPr="00F8396E" w:rsidRDefault="00F8396E" w:rsidP="00F8396E">
      <w:pPr>
        <w:numPr>
          <w:ilvl w:val="0"/>
          <w:numId w:val="29"/>
        </w:numPr>
        <w:spacing w:after="0"/>
        <w:rPr>
          <w:lang w:val="en-CA"/>
        </w:rPr>
      </w:pPr>
      <w:r w:rsidRPr="00F8396E">
        <w:rPr>
          <w:lang w:val="en-CA"/>
        </w:rPr>
        <w:t>Progress against established KPIs</w:t>
      </w:r>
    </w:p>
    <w:p w14:paraId="050FA45C" w14:textId="77777777" w:rsidR="00F8396E" w:rsidRPr="00F8396E" w:rsidRDefault="00F8396E" w:rsidP="00F8396E">
      <w:pPr>
        <w:numPr>
          <w:ilvl w:val="0"/>
          <w:numId w:val="29"/>
        </w:numPr>
        <w:spacing w:after="0"/>
        <w:rPr>
          <w:lang w:val="en-CA"/>
        </w:rPr>
      </w:pPr>
      <w:r w:rsidRPr="00F8396E">
        <w:rPr>
          <w:lang w:val="en-CA"/>
        </w:rPr>
        <w:lastRenderedPageBreak/>
        <w:t>Emerging challenges or barriers</w:t>
      </w:r>
    </w:p>
    <w:p w14:paraId="4421056F" w14:textId="77777777" w:rsidR="00F8396E" w:rsidRPr="00F8396E" w:rsidRDefault="00F8396E" w:rsidP="00F8396E">
      <w:pPr>
        <w:numPr>
          <w:ilvl w:val="0"/>
          <w:numId w:val="29"/>
        </w:numPr>
        <w:spacing w:after="0"/>
        <w:rPr>
          <w:lang w:val="en-CA"/>
        </w:rPr>
      </w:pPr>
      <w:r w:rsidRPr="00F8396E">
        <w:rPr>
          <w:lang w:val="en-CA"/>
        </w:rPr>
        <w:t>Adjustments or refinements to tactics based on feedback or performance trends</w:t>
      </w:r>
    </w:p>
    <w:p w14:paraId="41DA4D03" w14:textId="77777777" w:rsidR="00F8396E" w:rsidRDefault="00F8396E" w:rsidP="00F8396E">
      <w:pPr>
        <w:rPr>
          <w:lang w:val="en-CA"/>
        </w:rPr>
      </w:pPr>
      <w:r w:rsidRPr="00F8396E">
        <w:rPr>
          <w:lang w:val="en-CA"/>
        </w:rPr>
        <w:t xml:space="preserve">This approach aligns with the Board's </w:t>
      </w:r>
      <w:r w:rsidRPr="00F8396E">
        <w:rPr>
          <w:b/>
          <w:bCs/>
          <w:lang w:val="en-CA"/>
        </w:rPr>
        <w:t>fiduciary responsibility to oversee the strategic direction, financial health, and organizational performance</w:t>
      </w:r>
      <w:r w:rsidRPr="00F8396E">
        <w:rPr>
          <w:lang w:val="en-CA"/>
        </w:rPr>
        <w:t xml:space="preserve"> of ACPS. It enables informed decision-making, fosters transparency, and ensures that the organization remains responsive to the needs of its clients, staff, and community partners throughout the life of the plan.</w:t>
      </w:r>
    </w:p>
    <w:p w14:paraId="6C887BF2" w14:textId="4E6841BA" w:rsidR="00F8396E" w:rsidRPr="00F8396E" w:rsidRDefault="00F8396E" w:rsidP="00F8396E">
      <w:pPr>
        <w:pStyle w:val="Heading2"/>
        <w:rPr>
          <w:lang w:val="en-CA"/>
        </w:rPr>
      </w:pPr>
      <w:r>
        <w:rPr>
          <w:rFonts w:ascii="Segoe UI Emoji" w:hAnsi="Segoe UI Emoji" w:cs="Segoe UI Emoji"/>
          <w:lang w:val="en-CA"/>
        </w:rPr>
        <w:t xml:space="preserve">9.  </w:t>
      </w:r>
      <w:r w:rsidRPr="00F8396E">
        <w:rPr>
          <w:lang w:val="en-CA"/>
        </w:rPr>
        <w:t>Board Training Component – ACPS Governance Series (2025)</w:t>
      </w:r>
    </w:p>
    <w:p w14:paraId="0A010358" w14:textId="77777777" w:rsidR="00F8396E" w:rsidRPr="00F8396E" w:rsidRDefault="00F8396E" w:rsidP="00F8396E">
      <w:pPr>
        <w:rPr>
          <w:lang w:val="en-CA"/>
        </w:rPr>
      </w:pPr>
      <w:r w:rsidRPr="00F8396E">
        <w:rPr>
          <w:lang w:val="en-CA"/>
        </w:rPr>
        <w:t xml:space="preserve">To strengthen board oversight and leadership capacity in two critical areas: </w:t>
      </w:r>
      <w:r w:rsidRPr="00F8396E">
        <w:rPr>
          <w:b/>
          <w:bCs/>
          <w:lang w:val="en-CA"/>
        </w:rPr>
        <w:t>financial stewardship</w:t>
      </w:r>
      <w:r w:rsidRPr="00F8396E">
        <w:rPr>
          <w:lang w:val="en-CA"/>
        </w:rPr>
        <w:t xml:space="preserve"> and </w:t>
      </w:r>
      <w:r w:rsidRPr="00F8396E">
        <w:rPr>
          <w:b/>
          <w:bCs/>
          <w:lang w:val="en-CA"/>
        </w:rPr>
        <w:t>governance renewal</w:t>
      </w:r>
      <w:r w:rsidRPr="00F8396E">
        <w:rPr>
          <w:lang w:val="en-CA"/>
        </w:rPr>
        <w:t>. These workshops will equip board members with tools, language, and confidence to fulfill their fiduciary duties and support ACPS’s continued growth.</w:t>
      </w:r>
    </w:p>
    <w:p w14:paraId="20DDE8BD" w14:textId="4CBA1A24" w:rsidR="00F8396E" w:rsidRPr="00300511" w:rsidRDefault="00F8396E" w:rsidP="00300511">
      <w:pPr>
        <w:pStyle w:val="ListParagraph"/>
        <w:numPr>
          <w:ilvl w:val="0"/>
          <w:numId w:val="35"/>
        </w:numPr>
        <w:spacing w:after="0"/>
        <w:rPr>
          <w:b/>
          <w:bCs/>
          <w:lang w:val="en-CA"/>
        </w:rPr>
      </w:pPr>
      <w:r w:rsidRPr="00300511">
        <w:rPr>
          <w:b/>
          <w:bCs/>
          <w:lang w:val="en-CA"/>
        </w:rPr>
        <w:t>Financial Oversight for Nonprofit Boards</w:t>
      </w:r>
    </w:p>
    <w:p w14:paraId="67996D9A" w14:textId="4ECE9AD9" w:rsidR="00F8396E" w:rsidRPr="00300511" w:rsidRDefault="00F8396E" w:rsidP="00300511">
      <w:pPr>
        <w:pStyle w:val="ListParagraph"/>
        <w:numPr>
          <w:ilvl w:val="0"/>
          <w:numId w:val="35"/>
        </w:numPr>
        <w:spacing w:after="0"/>
        <w:rPr>
          <w:b/>
          <w:bCs/>
          <w:lang w:val="en-CA"/>
        </w:rPr>
      </w:pPr>
      <w:r w:rsidRPr="00300511">
        <w:rPr>
          <w:b/>
          <w:bCs/>
          <w:lang w:val="en-CA"/>
        </w:rPr>
        <w:t>Attract, Recruit, and Retain Skilled Board and Volunteer Leaders</w:t>
      </w:r>
    </w:p>
    <w:p w14:paraId="37647739" w14:textId="77777777" w:rsidR="00F8396E" w:rsidRPr="00F8396E" w:rsidRDefault="00F8396E" w:rsidP="00F8396E">
      <w:pPr>
        <w:rPr>
          <w:lang w:val="en-CA"/>
        </w:rPr>
      </w:pPr>
    </w:p>
    <w:p w14:paraId="7409B263" w14:textId="63AF807F" w:rsidR="004B1784" w:rsidRPr="004B1784" w:rsidRDefault="004B1784" w:rsidP="004B1784"/>
    <w:p w14:paraId="153FC28B" w14:textId="0FFDD625" w:rsidR="003543A3" w:rsidRDefault="003543A3" w:rsidP="00E038CF">
      <w:pPr>
        <w:spacing w:after="0"/>
        <w:ind w:left="720"/>
      </w:pPr>
    </w:p>
    <w:p w14:paraId="194A4D4D" w14:textId="77777777" w:rsidR="00E038CF" w:rsidRDefault="00E038CF" w:rsidP="00E038CF">
      <w:pPr>
        <w:pStyle w:val="ListBullet"/>
        <w:numPr>
          <w:ilvl w:val="0"/>
          <w:numId w:val="0"/>
        </w:numPr>
        <w:spacing w:after="0"/>
        <w:ind w:left="360" w:hanging="360"/>
      </w:pPr>
    </w:p>
    <w:p w14:paraId="399ED81C" w14:textId="77777777" w:rsidR="00E038CF" w:rsidRDefault="00E038CF" w:rsidP="00E038CF">
      <w:pPr>
        <w:pStyle w:val="ListBullet"/>
        <w:numPr>
          <w:ilvl w:val="0"/>
          <w:numId w:val="0"/>
        </w:numPr>
        <w:spacing w:after="0"/>
        <w:ind w:left="360" w:hanging="360"/>
      </w:pPr>
    </w:p>
    <w:sectPr w:rsidR="00E038CF" w:rsidSect="005D5065">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A8E768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9920B2"/>
    <w:multiLevelType w:val="hybridMultilevel"/>
    <w:tmpl w:val="1130A75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149A1A84"/>
    <w:multiLevelType w:val="hybridMultilevel"/>
    <w:tmpl w:val="EB0E0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022274"/>
    <w:multiLevelType w:val="hybridMultilevel"/>
    <w:tmpl w:val="FB6643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97B0179"/>
    <w:multiLevelType w:val="hybridMultilevel"/>
    <w:tmpl w:val="5686AE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C324850"/>
    <w:multiLevelType w:val="multilevel"/>
    <w:tmpl w:val="D84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81C43"/>
    <w:multiLevelType w:val="hybridMultilevel"/>
    <w:tmpl w:val="3790E5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64D5904"/>
    <w:multiLevelType w:val="hybridMultilevel"/>
    <w:tmpl w:val="60F2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F62BE9"/>
    <w:multiLevelType w:val="hybridMultilevel"/>
    <w:tmpl w:val="4CB06CA2"/>
    <w:lvl w:ilvl="0" w:tplc="05527646">
      <w:numFmt w:val="bullet"/>
      <w:lvlText w:val="•"/>
      <w:lvlJc w:val="left"/>
      <w:pPr>
        <w:ind w:left="1080" w:hanging="360"/>
      </w:pPr>
      <w:rPr>
        <w:rFonts w:ascii="Cambria" w:eastAsiaTheme="minorEastAsia" w:hAnsi="Cambria"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8112865"/>
    <w:multiLevelType w:val="multilevel"/>
    <w:tmpl w:val="D29C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E34CC"/>
    <w:multiLevelType w:val="multilevel"/>
    <w:tmpl w:val="734C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4169B7"/>
    <w:multiLevelType w:val="hybridMultilevel"/>
    <w:tmpl w:val="BAF854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1260257"/>
    <w:multiLevelType w:val="hybridMultilevel"/>
    <w:tmpl w:val="0A6055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55D33AB9"/>
    <w:multiLevelType w:val="hybridMultilevel"/>
    <w:tmpl w:val="F8EAD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8487DCD"/>
    <w:multiLevelType w:val="hybridMultilevel"/>
    <w:tmpl w:val="EA4037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589641F4"/>
    <w:multiLevelType w:val="hybridMultilevel"/>
    <w:tmpl w:val="F51A6E4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A52324C"/>
    <w:multiLevelType w:val="multilevel"/>
    <w:tmpl w:val="B88A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32056"/>
    <w:multiLevelType w:val="hybridMultilevel"/>
    <w:tmpl w:val="B524BE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6CF627B"/>
    <w:multiLevelType w:val="multilevel"/>
    <w:tmpl w:val="AADE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602377"/>
    <w:multiLevelType w:val="hybridMultilevel"/>
    <w:tmpl w:val="975AED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EC71958"/>
    <w:multiLevelType w:val="multilevel"/>
    <w:tmpl w:val="0290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5771A"/>
    <w:multiLevelType w:val="hybridMultilevel"/>
    <w:tmpl w:val="D3947A3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770C4F5C"/>
    <w:multiLevelType w:val="hybridMultilevel"/>
    <w:tmpl w:val="7B86624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77263A89"/>
    <w:multiLevelType w:val="multilevel"/>
    <w:tmpl w:val="942A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582413"/>
    <w:multiLevelType w:val="hybridMultilevel"/>
    <w:tmpl w:val="6F94EF3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7BD445D0"/>
    <w:multiLevelType w:val="hybridMultilevel"/>
    <w:tmpl w:val="D0E2269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CC27518"/>
    <w:multiLevelType w:val="hybridMultilevel"/>
    <w:tmpl w:val="C8F29F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40483908">
    <w:abstractNumId w:val="8"/>
  </w:num>
  <w:num w:numId="2" w16cid:durableId="122625342">
    <w:abstractNumId w:val="6"/>
  </w:num>
  <w:num w:numId="3" w16cid:durableId="458839147">
    <w:abstractNumId w:val="5"/>
  </w:num>
  <w:num w:numId="4" w16cid:durableId="528184087">
    <w:abstractNumId w:val="4"/>
  </w:num>
  <w:num w:numId="5" w16cid:durableId="1409771353">
    <w:abstractNumId w:val="7"/>
  </w:num>
  <w:num w:numId="6" w16cid:durableId="35786902">
    <w:abstractNumId w:val="3"/>
  </w:num>
  <w:num w:numId="7" w16cid:durableId="1359623557">
    <w:abstractNumId w:val="2"/>
  </w:num>
  <w:num w:numId="8" w16cid:durableId="1637758613">
    <w:abstractNumId w:val="1"/>
  </w:num>
  <w:num w:numId="9" w16cid:durableId="285699309">
    <w:abstractNumId w:val="0"/>
  </w:num>
  <w:num w:numId="10" w16cid:durableId="307631584">
    <w:abstractNumId w:val="25"/>
  </w:num>
  <w:num w:numId="11" w16cid:durableId="958072732">
    <w:abstractNumId w:val="11"/>
  </w:num>
  <w:num w:numId="12" w16cid:durableId="866412580">
    <w:abstractNumId w:val="29"/>
  </w:num>
  <w:num w:numId="13" w16cid:durableId="50929817">
    <w:abstractNumId w:val="20"/>
  </w:num>
  <w:num w:numId="14" w16cid:durableId="947153289">
    <w:abstractNumId w:val="32"/>
  </w:num>
  <w:num w:numId="15" w16cid:durableId="1866365912">
    <w:abstractNumId w:val="21"/>
  </w:num>
  <w:num w:numId="16" w16cid:durableId="1651132109">
    <w:abstractNumId w:val="33"/>
  </w:num>
  <w:num w:numId="17" w16cid:durableId="1657874628">
    <w:abstractNumId w:val="12"/>
  </w:num>
  <w:num w:numId="18" w16cid:durableId="1560509975">
    <w:abstractNumId w:val="10"/>
  </w:num>
  <w:num w:numId="19" w16cid:durableId="323244103">
    <w:abstractNumId w:val="27"/>
  </w:num>
  <w:num w:numId="20" w16cid:durableId="679699264">
    <w:abstractNumId w:val="22"/>
  </w:num>
  <w:num w:numId="21" w16cid:durableId="692995226">
    <w:abstractNumId w:val="34"/>
  </w:num>
  <w:num w:numId="22" w16cid:durableId="1916895131">
    <w:abstractNumId w:val="15"/>
  </w:num>
  <w:num w:numId="23" w16cid:durableId="1715227472">
    <w:abstractNumId w:val="16"/>
  </w:num>
  <w:num w:numId="24" w16cid:durableId="640111239">
    <w:abstractNumId w:val="19"/>
  </w:num>
  <w:num w:numId="25" w16cid:durableId="1003123856">
    <w:abstractNumId w:val="30"/>
  </w:num>
  <w:num w:numId="26" w16cid:durableId="668483084">
    <w:abstractNumId w:val="9"/>
  </w:num>
  <w:num w:numId="27" w16cid:durableId="1990209267">
    <w:abstractNumId w:val="23"/>
  </w:num>
  <w:num w:numId="28" w16cid:durableId="182280459">
    <w:abstractNumId w:val="28"/>
  </w:num>
  <w:num w:numId="29" w16cid:durableId="1886522291">
    <w:abstractNumId w:val="17"/>
  </w:num>
  <w:num w:numId="30" w16cid:durableId="1252423393">
    <w:abstractNumId w:val="18"/>
  </w:num>
  <w:num w:numId="31" w16cid:durableId="908151550">
    <w:abstractNumId w:val="24"/>
  </w:num>
  <w:num w:numId="32" w16cid:durableId="1251740925">
    <w:abstractNumId w:val="13"/>
  </w:num>
  <w:num w:numId="33" w16cid:durableId="734477214">
    <w:abstractNumId w:val="31"/>
  </w:num>
  <w:num w:numId="34" w16cid:durableId="734664305">
    <w:abstractNumId w:val="26"/>
  </w:num>
  <w:num w:numId="35" w16cid:durableId="12936324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09C"/>
    <w:rsid w:val="000C1F7F"/>
    <w:rsid w:val="000E4B82"/>
    <w:rsid w:val="0015074B"/>
    <w:rsid w:val="001E2959"/>
    <w:rsid w:val="0029639D"/>
    <w:rsid w:val="00297DF9"/>
    <w:rsid w:val="00300511"/>
    <w:rsid w:val="00315C82"/>
    <w:rsid w:val="00326F90"/>
    <w:rsid w:val="003543A3"/>
    <w:rsid w:val="00356A0A"/>
    <w:rsid w:val="003C2FF3"/>
    <w:rsid w:val="00421C35"/>
    <w:rsid w:val="004B1784"/>
    <w:rsid w:val="004C113C"/>
    <w:rsid w:val="00541563"/>
    <w:rsid w:val="00587591"/>
    <w:rsid w:val="005974DC"/>
    <w:rsid w:val="005D5065"/>
    <w:rsid w:val="00602A9C"/>
    <w:rsid w:val="0063262F"/>
    <w:rsid w:val="006B1F85"/>
    <w:rsid w:val="006C1EF7"/>
    <w:rsid w:val="00704314"/>
    <w:rsid w:val="00754E0F"/>
    <w:rsid w:val="007A7521"/>
    <w:rsid w:val="007C5BF5"/>
    <w:rsid w:val="008D4434"/>
    <w:rsid w:val="00991826"/>
    <w:rsid w:val="009A0CD8"/>
    <w:rsid w:val="00A76B4C"/>
    <w:rsid w:val="00AA1D8D"/>
    <w:rsid w:val="00AF0D5E"/>
    <w:rsid w:val="00B1572D"/>
    <w:rsid w:val="00B47730"/>
    <w:rsid w:val="00C37ACF"/>
    <w:rsid w:val="00CA22F7"/>
    <w:rsid w:val="00CB0664"/>
    <w:rsid w:val="00D435CF"/>
    <w:rsid w:val="00D646A9"/>
    <w:rsid w:val="00DB0DBD"/>
    <w:rsid w:val="00DF1FFA"/>
    <w:rsid w:val="00E038CF"/>
    <w:rsid w:val="00E03D89"/>
    <w:rsid w:val="00E50C68"/>
    <w:rsid w:val="00EB77C9"/>
    <w:rsid w:val="00F8396E"/>
    <w:rsid w:val="00F90F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54870"/>
  <w14:defaultImageDpi w14:val="300"/>
  <w15:docId w15:val="{4EFD76F4-8783-4365-A080-90750D0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754E0F"/>
    <w:rPr>
      <w:sz w:val="16"/>
      <w:szCs w:val="16"/>
    </w:rPr>
  </w:style>
  <w:style w:type="paragraph" w:styleId="CommentText">
    <w:name w:val="annotation text"/>
    <w:basedOn w:val="Normal"/>
    <w:link w:val="CommentTextChar"/>
    <w:uiPriority w:val="99"/>
    <w:unhideWhenUsed/>
    <w:rsid w:val="00754E0F"/>
    <w:pPr>
      <w:spacing w:line="240" w:lineRule="auto"/>
    </w:pPr>
    <w:rPr>
      <w:sz w:val="20"/>
      <w:szCs w:val="20"/>
    </w:rPr>
  </w:style>
  <w:style w:type="character" w:customStyle="1" w:styleId="CommentTextChar">
    <w:name w:val="Comment Text Char"/>
    <w:basedOn w:val="DefaultParagraphFont"/>
    <w:link w:val="CommentText"/>
    <w:uiPriority w:val="99"/>
    <w:rsid w:val="00754E0F"/>
    <w:rPr>
      <w:sz w:val="20"/>
      <w:szCs w:val="20"/>
    </w:rPr>
  </w:style>
  <w:style w:type="paragraph" w:styleId="CommentSubject">
    <w:name w:val="annotation subject"/>
    <w:basedOn w:val="CommentText"/>
    <w:next w:val="CommentText"/>
    <w:link w:val="CommentSubjectChar"/>
    <w:uiPriority w:val="99"/>
    <w:semiHidden/>
    <w:unhideWhenUsed/>
    <w:rsid w:val="00754E0F"/>
    <w:rPr>
      <w:b/>
      <w:bCs/>
    </w:rPr>
  </w:style>
  <w:style w:type="character" w:customStyle="1" w:styleId="CommentSubjectChar">
    <w:name w:val="Comment Subject Char"/>
    <w:basedOn w:val="CommentTextChar"/>
    <w:link w:val="CommentSubject"/>
    <w:uiPriority w:val="99"/>
    <w:semiHidden/>
    <w:rsid w:val="00754E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34595">
      <w:bodyDiv w:val="1"/>
      <w:marLeft w:val="0"/>
      <w:marRight w:val="0"/>
      <w:marTop w:val="0"/>
      <w:marBottom w:val="0"/>
      <w:divBdr>
        <w:top w:val="none" w:sz="0" w:space="0" w:color="auto"/>
        <w:left w:val="none" w:sz="0" w:space="0" w:color="auto"/>
        <w:bottom w:val="none" w:sz="0" w:space="0" w:color="auto"/>
        <w:right w:val="none" w:sz="0" w:space="0" w:color="auto"/>
      </w:divBdr>
    </w:div>
    <w:div w:id="336462177">
      <w:bodyDiv w:val="1"/>
      <w:marLeft w:val="0"/>
      <w:marRight w:val="0"/>
      <w:marTop w:val="0"/>
      <w:marBottom w:val="0"/>
      <w:divBdr>
        <w:top w:val="none" w:sz="0" w:space="0" w:color="auto"/>
        <w:left w:val="none" w:sz="0" w:space="0" w:color="auto"/>
        <w:bottom w:val="none" w:sz="0" w:space="0" w:color="auto"/>
        <w:right w:val="none" w:sz="0" w:space="0" w:color="auto"/>
      </w:divBdr>
    </w:div>
    <w:div w:id="552155451">
      <w:bodyDiv w:val="1"/>
      <w:marLeft w:val="0"/>
      <w:marRight w:val="0"/>
      <w:marTop w:val="0"/>
      <w:marBottom w:val="0"/>
      <w:divBdr>
        <w:top w:val="none" w:sz="0" w:space="0" w:color="auto"/>
        <w:left w:val="none" w:sz="0" w:space="0" w:color="auto"/>
        <w:bottom w:val="none" w:sz="0" w:space="0" w:color="auto"/>
        <w:right w:val="none" w:sz="0" w:space="0" w:color="auto"/>
      </w:divBdr>
    </w:div>
    <w:div w:id="675612363">
      <w:bodyDiv w:val="1"/>
      <w:marLeft w:val="0"/>
      <w:marRight w:val="0"/>
      <w:marTop w:val="0"/>
      <w:marBottom w:val="0"/>
      <w:divBdr>
        <w:top w:val="none" w:sz="0" w:space="0" w:color="auto"/>
        <w:left w:val="none" w:sz="0" w:space="0" w:color="auto"/>
        <w:bottom w:val="none" w:sz="0" w:space="0" w:color="auto"/>
        <w:right w:val="none" w:sz="0" w:space="0" w:color="auto"/>
      </w:divBdr>
      <w:divsChild>
        <w:div w:id="11969695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927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68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913486">
      <w:bodyDiv w:val="1"/>
      <w:marLeft w:val="0"/>
      <w:marRight w:val="0"/>
      <w:marTop w:val="0"/>
      <w:marBottom w:val="0"/>
      <w:divBdr>
        <w:top w:val="none" w:sz="0" w:space="0" w:color="auto"/>
        <w:left w:val="none" w:sz="0" w:space="0" w:color="auto"/>
        <w:bottom w:val="none" w:sz="0" w:space="0" w:color="auto"/>
        <w:right w:val="none" w:sz="0" w:space="0" w:color="auto"/>
      </w:divBdr>
      <w:divsChild>
        <w:div w:id="2129858639">
          <w:blockQuote w:val="1"/>
          <w:marLeft w:val="720"/>
          <w:marRight w:val="720"/>
          <w:marTop w:val="100"/>
          <w:marBottom w:val="100"/>
          <w:divBdr>
            <w:top w:val="none" w:sz="0" w:space="0" w:color="auto"/>
            <w:left w:val="none" w:sz="0" w:space="0" w:color="auto"/>
            <w:bottom w:val="none" w:sz="0" w:space="0" w:color="auto"/>
            <w:right w:val="none" w:sz="0" w:space="0" w:color="auto"/>
          </w:divBdr>
        </w:div>
        <w:div w:id="65642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56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8797603">
      <w:bodyDiv w:val="1"/>
      <w:marLeft w:val="0"/>
      <w:marRight w:val="0"/>
      <w:marTop w:val="0"/>
      <w:marBottom w:val="0"/>
      <w:divBdr>
        <w:top w:val="none" w:sz="0" w:space="0" w:color="auto"/>
        <w:left w:val="none" w:sz="0" w:space="0" w:color="auto"/>
        <w:bottom w:val="none" w:sz="0" w:space="0" w:color="auto"/>
        <w:right w:val="none" w:sz="0" w:space="0" w:color="auto"/>
      </w:divBdr>
    </w:div>
    <w:div w:id="1042364515">
      <w:bodyDiv w:val="1"/>
      <w:marLeft w:val="0"/>
      <w:marRight w:val="0"/>
      <w:marTop w:val="0"/>
      <w:marBottom w:val="0"/>
      <w:divBdr>
        <w:top w:val="none" w:sz="0" w:space="0" w:color="auto"/>
        <w:left w:val="none" w:sz="0" w:space="0" w:color="auto"/>
        <w:bottom w:val="none" w:sz="0" w:space="0" w:color="auto"/>
        <w:right w:val="none" w:sz="0" w:space="0" w:color="auto"/>
      </w:divBdr>
    </w:div>
    <w:div w:id="2116169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Madison Beausoleil</cp:lastModifiedBy>
  <cp:revision>2</cp:revision>
  <cp:lastPrinted>2025-05-26T20:05:00Z</cp:lastPrinted>
  <dcterms:created xsi:type="dcterms:W3CDTF">2025-06-24T14:29:00Z</dcterms:created>
  <dcterms:modified xsi:type="dcterms:W3CDTF">2025-06-24T14:29:00Z</dcterms:modified>
  <cp:category/>
</cp:coreProperties>
</file>