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766C" w14:textId="77777777" w:rsidR="00520D55" w:rsidRDefault="00000000">
      <w:pPr>
        <w:spacing w:after="0" w:line="265" w:lineRule="auto"/>
        <w:ind w:left="43"/>
        <w:jc w:val="center"/>
      </w:pPr>
      <w:r>
        <w:rPr>
          <w:sz w:val="22"/>
        </w:rPr>
        <w:t xml:space="preserve"> </w:t>
      </w:r>
      <w:r>
        <w:rPr>
          <w:b/>
          <w:sz w:val="26"/>
        </w:rPr>
        <w:t xml:space="preserve">BONNER HILLS CONDOMINIUM COMMUNITY ASSOCIATION  </w:t>
      </w:r>
    </w:p>
    <w:p w14:paraId="3E1DFBE7" w14:textId="77777777" w:rsidR="00520D55" w:rsidRDefault="00000000">
      <w:pPr>
        <w:spacing w:after="0" w:line="265" w:lineRule="auto"/>
        <w:ind w:left="43"/>
        <w:jc w:val="center"/>
      </w:pPr>
      <w:r>
        <w:rPr>
          <w:b/>
          <w:sz w:val="26"/>
        </w:rPr>
        <w:t xml:space="preserve">BOARD OF DIRECTORS MINUTES </w:t>
      </w:r>
    </w:p>
    <w:p w14:paraId="1F55B1A0" w14:textId="77777777" w:rsidR="00520D55" w:rsidRDefault="00000000">
      <w:pPr>
        <w:spacing w:after="616" w:line="265" w:lineRule="auto"/>
        <w:ind w:left="43"/>
        <w:jc w:val="center"/>
      </w:pPr>
      <w:r>
        <w:rPr>
          <w:b/>
          <w:sz w:val="26"/>
        </w:rPr>
        <w:t xml:space="preserve">Special Meeting of MAY 5, 2025 </w:t>
      </w:r>
    </w:p>
    <w:p w14:paraId="358BFF66" w14:textId="77777777" w:rsidR="00520D55" w:rsidRDefault="00000000">
      <w:pPr>
        <w:spacing w:after="0" w:line="259" w:lineRule="auto"/>
        <w:ind w:left="-5"/>
      </w:pPr>
      <w:r>
        <w:rPr>
          <w:b/>
        </w:rPr>
        <w:t xml:space="preserve">Call to order </w:t>
      </w:r>
    </w:p>
    <w:p w14:paraId="56D1AF57" w14:textId="77777777" w:rsidR="00520D55" w:rsidRDefault="00000000">
      <w:pPr>
        <w:spacing w:after="289"/>
        <w:ind w:left="-5"/>
      </w:pPr>
      <w:r>
        <w:t xml:space="preserve">President Rudy Paluch called the meeting to order at 5:00 pm </w:t>
      </w:r>
    </w:p>
    <w:p w14:paraId="45407ACA" w14:textId="77777777" w:rsidR="00520D55" w:rsidRDefault="00000000">
      <w:pPr>
        <w:pStyle w:val="Heading1"/>
        <w:ind w:left="-5"/>
      </w:pPr>
      <w:r>
        <w:t xml:space="preserve">Roll call </w:t>
      </w:r>
    </w:p>
    <w:p w14:paraId="55B37D96" w14:textId="77777777" w:rsidR="00520D55" w:rsidRDefault="00000000">
      <w:pPr>
        <w:ind w:left="-5"/>
      </w:pPr>
      <w:r>
        <w:t xml:space="preserve">Present: Director Nora Wineland (Ponds), President/Treasurer Rudy Paluch (Estates), </w:t>
      </w:r>
    </w:p>
    <w:p w14:paraId="61E5B40A" w14:textId="77777777" w:rsidR="00520D55" w:rsidRDefault="00000000">
      <w:pPr>
        <w:spacing w:after="291"/>
        <w:ind w:left="-5"/>
      </w:pPr>
      <w:r>
        <w:t xml:space="preserve">Secretary Rebecca Myers (Villas), Director Jim Southworth (Estates), Director Bill Zitnik (Villas) Absent: Director Mike Misiak (Ponds) </w:t>
      </w:r>
    </w:p>
    <w:p w14:paraId="4438C796" w14:textId="77777777" w:rsidR="00520D55" w:rsidRDefault="00000000">
      <w:pPr>
        <w:pStyle w:val="Heading1"/>
        <w:ind w:left="-5"/>
      </w:pPr>
      <w:r>
        <w:t xml:space="preserve">Purpose of the Special Meeting </w:t>
      </w:r>
    </w:p>
    <w:p w14:paraId="514DAB2B" w14:textId="56751CD2" w:rsidR="00520D55" w:rsidRDefault="00741CAA">
      <w:pPr>
        <w:spacing w:after="270"/>
        <w:ind w:left="-5"/>
      </w:pPr>
      <w:r>
        <w:t xml:space="preserve">For the Community Association Board to understand the Villas request for a reallocation of Community Association fees from the Master Deed Method of allocation, 35% Estates, 44% Ponds, and 21% Villas, to an allocation taking the Community Association budget and dividing equally among the total number of community owners. This method would result in an increase </w:t>
      </w:r>
      <w:r w:rsidR="006D3114">
        <w:t>in</w:t>
      </w:r>
      <w:r>
        <w:t xml:space="preserve"> fees in one association and a reduction in 2 others. The board was also given a legal opinion from the Law firm of Maddin Haus</w:t>
      </w:r>
      <w:r w:rsidR="006D3114">
        <w:t>er.</w:t>
      </w:r>
      <w:r>
        <w:t xml:space="preserve"> The opinion sta</w:t>
      </w:r>
      <w:r w:rsidR="006D3114">
        <w:t>ted that the Bonner Hills by law allows only one method of calculating each association’s allocation of fees and that the board alone cannot take any action to accommodate a change in allocation. The only way to make a change to the bylaws is for each association to approve a change by a super majority of 66 2/3% voting yes.</w:t>
      </w:r>
    </w:p>
    <w:p w14:paraId="60338264" w14:textId="5D9E80FF" w:rsidR="00520D55" w:rsidRPr="00CF7380" w:rsidRDefault="00520D55" w:rsidP="00CF7380">
      <w:pPr>
        <w:ind w:left="0" w:firstLine="0"/>
        <w:rPr>
          <w:b/>
          <w:bCs/>
        </w:rPr>
      </w:pPr>
    </w:p>
    <w:p w14:paraId="72E042AB" w14:textId="60820C0A" w:rsidR="00520D55" w:rsidRDefault="00000000" w:rsidP="00AE4013">
      <w:pPr>
        <w:pStyle w:val="ListParagraph"/>
        <w:numPr>
          <w:ilvl w:val="0"/>
          <w:numId w:val="1"/>
        </w:numPr>
        <w:spacing w:after="272"/>
      </w:pPr>
      <w:r>
        <w:t xml:space="preserve"> Bill Zitnik explained the history of</w:t>
      </w:r>
      <w:r w:rsidR="00AE4013">
        <w:t xml:space="preserve"> why the Villas is only at 12 units versus a planned 40 units and how the developer allowed the lots to lapse into common ground.</w:t>
      </w:r>
    </w:p>
    <w:p w14:paraId="4D27362F" w14:textId="374065BA" w:rsidR="00AE4013" w:rsidRDefault="00AE4013" w:rsidP="00673703">
      <w:pPr>
        <w:pStyle w:val="ListParagraph"/>
        <w:numPr>
          <w:ilvl w:val="0"/>
          <w:numId w:val="1"/>
        </w:numPr>
        <w:spacing w:after="272"/>
      </w:pPr>
      <w:r>
        <w:t xml:space="preserve">The board discussed and presented the Villas with a bid proposal from Casa Villa homes to build 4 “Ponds type units”. The units will not fix the Villas issues with costs but could provide a potential 25% reduction in fees. The Villas Board was asked to review the proposal and have a discussion with its homeowners on </w:t>
      </w:r>
      <w:r w:rsidR="00673703">
        <w:t>the next</w:t>
      </w:r>
      <w:r>
        <w:t xml:space="preserve"> steps and to advise the Community Association board of the results.</w:t>
      </w:r>
    </w:p>
    <w:p w14:paraId="6F481C61" w14:textId="3E96EF74" w:rsidR="00AE4013" w:rsidRDefault="00AE4013" w:rsidP="00AE4013">
      <w:pPr>
        <w:pStyle w:val="ListParagraph"/>
        <w:numPr>
          <w:ilvl w:val="0"/>
          <w:numId w:val="1"/>
        </w:numPr>
        <w:spacing w:after="272"/>
      </w:pPr>
      <w:r>
        <w:t>The Board took no further action.</w:t>
      </w:r>
    </w:p>
    <w:p w14:paraId="206A89C4" w14:textId="1EE0B54D" w:rsidR="00520D55" w:rsidRDefault="00520D55" w:rsidP="00AE4013">
      <w:pPr>
        <w:spacing w:after="272"/>
        <w:ind w:left="0" w:firstLine="0"/>
      </w:pPr>
    </w:p>
    <w:p w14:paraId="3233F08E" w14:textId="5D3E8138" w:rsidR="00520D55" w:rsidRDefault="00520D55">
      <w:pPr>
        <w:spacing w:after="1691"/>
        <w:ind w:left="-5"/>
      </w:pPr>
    </w:p>
    <w:tbl>
      <w:tblPr>
        <w:tblStyle w:val="TableGrid"/>
        <w:tblW w:w="9278" w:type="dxa"/>
        <w:tblInd w:w="538" w:type="dxa"/>
        <w:tblCellMar>
          <w:top w:w="79" w:type="dxa"/>
          <w:left w:w="115" w:type="dxa"/>
          <w:right w:w="83" w:type="dxa"/>
        </w:tblCellMar>
        <w:tblLook w:val="04A0" w:firstRow="1" w:lastRow="0" w:firstColumn="1" w:lastColumn="0" w:noHBand="0" w:noVBand="1"/>
      </w:tblPr>
      <w:tblGrid>
        <w:gridCol w:w="2320"/>
        <w:gridCol w:w="2319"/>
        <w:gridCol w:w="2319"/>
        <w:gridCol w:w="2320"/>
      </w:tblGrid>
      <w:tr w:rsidR="00520D55" w14:paraId="0513D327" w14:textId="77777777">
        <w:trPr>
          <w:trHeight w:val="971"/>
        </w:trPr>
        <w:tc>
          <w:tcPr>
            <w:tcW w:w="2320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0DA054F3" w14:textId="77777777" w:rsidR="00520D55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Proposed Equalized </w:t>
            </w:r>
          </w:p>
          <w:p w14:paraId="5AE7AE31" w14:textId="77777777" w:rsidR="00520D55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 xml:space="preserve">HOA fee </w:t>
            </w:r>
          </w:p>
          <w:p w14:paraId="05126552" w14:textId="77777777" w:rsidR="00520D55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>All units/ parcels</w:t>
            </w:r>
          </w:p>
        </w:tc>
        <w:tc>
          <w:tcPr>
            <w:tcW w:w="2320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2DC5B443" w14:textId="77777777" w:rsidR="00520D55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>Estates</w:t>
            </w:r>
          </w:p>
        </w:tc>
        <w:tc>
          <w:tcPr>
            <w:tcW w:w="2320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14A12E08" w14:textId="77777777" w:rsidR="00520D55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>Ponds</w:t>
            </w:r>
          </w:p>
        </w:tc>
        <w:tc>
          <w:tcPr>
            <w:tcW w:w="2320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066FAB85" w14:textId="77777777" w:rsidR="00520D55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>Villas</w:t>
            </w:r>
          </w:p>
        </w:tc>
      </w:tr>
      <w:tr w:rsidR="00520D55" w14:paraId="71128D03" w14:textId="77777777">
        <w:trPr>
          <w:trHeight w:val="498"/>
        </w:trPr>
        <w:tc>
          <w:tcPr>
            <w:tcW w:w="2320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4983DBB" w14:textId="77777777" w:rsidR="00520D5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$73,885</w:t>
            </w:r>
          </w:p>
        </w:tc>
        <w:tc>
          <w:tcPr>
            <w:tcW w:w="2320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F852279" w14:textId="77777777" w:rsidR="00520D5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35% of budget</w:t>
            </w:r>
          </w:p>
        </w:tc>
        <w:tc>
          <w:tcPr>
            <w:tcW w:w="2320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188593D" w14:textId="77777777" w:rsidR="00520D5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44% of budget</w:t>
            </w:r>
          </w:p>
        </w:tc>
        <w:tc>
          <w:tcPr>
            <w:tcW w:w="2320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6D47ED6" w14:textId="77777777" w:rsidR="00520D5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21% of budget</w:t>
            </w:r>
          </w:p>
        </w:tc>
      </w:tr>
      <w:tr w:rsidR="00520D55" w14:paraId="404947E6" w14:textId="77777777">
        <w:trPr>
          <w:trHeight w:val="498"/>
        </w:trPr>
        <w:tc>
          <w:tcPr>
            <w:tcW w:w="23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6FB8B1E9" w14:textId="77777777" w:rsidR="00520D5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138 units/parcels</w:t>
            </w:r>
          </w:p>
        </w:tc>
        <w:tc>
          <w:tcPr>
            <w:tcW w:w="23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1B8E215F" w14:textId="77777777" w:rsidR="00520D5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42 parcels</w:t>
            </w:r>
          </w:p>
        </w:tc>
        <w:tc>
          <w:tcPr>
            <w:tcW w:w="23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36A2F861" w14:textId="77777777" w:rsidR="00520D5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82 units</w:t>
            </w:r>
          </w:p>
        </w:tc>
        <w:tc>
          <w:tcPr>
            <w:tcW w:w="23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251F63ED" w14:textId="77777777" w:rsidR="00520D5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12 units</w:t>
            </w:r>
          </w:p>
        </w:tc>
      </w:tr>
      <w:tr w:rsidR="00520D55" w14:paraId="313E5D79" w14:textId="77777777">
        <w:trPr>
          <w:trHeight w:val="498"/>
        </w:trPr>
        <w:tc>
          <w:tcPr>
            <w:tcW w:w="23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658235C" w14:textId="77777777" w:rsidR="00520D5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$44.62/month</w:t>
            </w:r>
          </w:p>
        </w:tc>
        <w:tc>
          <w:tcPr>
            <w:tcW w:w="23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E517457" w14:textId="77777777" w:rsidR="00520D5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$51.31/month</w:t>
            </w:r>
          </w:p>
        </w:tc>
        <w:tc>
          <w:tcPr>
            <w:tcW w:w="23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5E8E101" w14:textId="77777777" w:rsidR="00520D5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$33.04/month</w:t>
            </w:r>
          </w:p>
        </w:tc>
        <w:tc>
          <w:tcPr>
            <w:tcW w:w="23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20CD46E" w14:textId="77777777" w:rsidR="00520D5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$107.75/month</w:t>
            </w:r>
          </w:p>
        </w:tc>
      </w:tr>
      <w:tr w:rsidR="00520D55" w14:paraId="2FF07235" w14:textId="77777777">
        <w:trPr>
          <w:trHeight w:val="498"/>
        </w:trPr>
        <w:tc>
          <w:tcPr>
            <w:tcW w:w="23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094B8CF" w14:textId="77777777" w:rsidR="00520D55" w:rsidRDefault="00520D55">
            <w:pPr>
              <w:spacing w:after="160" w:line="259" w:lineRule="auto"/>
              <w:ind w:left="0" w:firstLine="0"/>
            </w:pPr>
          </w:p>
        </w:tc>
        <w:tc>
          <w:tcPr>
            <w:tcW w:w="23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482AC7A" w14:textId="77777777" w:rsidR="00520D55" w:rsidRDefault="00520D55">
            <w:pPr>
              <w:spacing w:after="160" w:line="259" w:lineRule="auto"/>
              <w:ind w:left="0" w:firstLine="0"/>
            </w:pPr>
          </w:p>
        </w:tc>
        <w:tc>
          <w:tcPr>
            <w:tcW w:w="23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41F7E8A" w14:textId="77777777" w:rsidR="00520D55" w:rsidRDefault="00520D55">
            <w:pPr>
              <w:spacing w:after="160" w:line="259" w:lineRule="auto"/>
              <w:ind w:left="0" w:firstLine="0"/>
            </w:pPr>
          </w:p>
        </w:tc>
        <w:tc>
          <w:tcPr>
            <w:tcW w:w="23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7465325" w14:textId="77777777" w:rsidR="00520D55" w:rsidRDefault="00520D55">
            <w:pPr>
              <w:spacing w:after="160" w:line="259" w:lineRule="auto"/>
              <w:ind w:left="0" w:firstLine="0"/>
            </w:pPr>
          </w:p>
        </w:tc>
      </w:tr>
    </w:tbl>
    <w:p w14:paraId="365A24D6" w14:textId="77777777" w:rsidR="00520D55" w:rsidRDefault="00000000">
      <w:pPr>
        <w:spacing w:after="830"/>
        <w:ind w:left="-5"/>
      </w:pPr>
      <w:r>
        <w:t xml:space="preserve">The meeting was adjourned at 5:50 pm. </w:t>
      </w:r>
    </w:p>
    <w:p w14:paraId="3B43E774" w14:textId="77777777" w:rsidR="00520D55" w:rsidRDefault="00000000">
      <w:pPr>
        <w:ind w:left="-5"/>
      </w:pPr>
      <w:r>
        <w:t xml:space="preserve">Respectfully submitted by </w:t>
      </w:r>
    </w:p>
    <w:p w14:paraId="37133272" w14:textId="2560B5E0" w:rsidR="00520D55" w:rsidRDefault="00673703">
      <w:pPr>
        <w:ind w:left="-5"/>
      </w:pPr>
      <w:r>
        <w:t>Rudy Paluch</w:t>
      </w:r>
    </w:p>
    <w:p w14:paraId="76830911" w14:textId="4AC15C48" w:rsidR="00520D55" w:rsidRDefault="00673703">
      <w:pPr>
        <w:ind w:left="-5"/>
      </w:pPr>
      <w:r>
        <w:t>President</w:t>
      </w:r>
    </w:p>
    <w:p w14:paraId="1BFFC039" w14:textId="77777777" w:rsidR="00520D55" w:rsidRDefault="00000000">
      <w:pPr>
        <w:ind w:left="-5"/>
      </w:pPr>
      <w:r>
        <w:t xml:space="preserve">B H Community Association BOD  </w:t>
      </w:r>
    </w:p>
    <w:p w14:paraId="3D7E05AD" w14:textId="77777777" w:rsidR="00520D55" w:rsidRDefault="00520D55">
      <w:pPr>
        <w:sectPr w:rsidR="00520D55">
          <w:pgSz w:w="12240" w:h="15840"/>
          <w:pgMar w:top="1443" w:right="1473" w:bottom="1547" w:left="1440" w:header="720" w:footer="720" w:gutter="0"/>
          <w:cols w:space="720"/>
        </w:sectPr>
      </w:pPr>
    </w:p>
    <w:p w14:paraId="26AC95D1" w14:textId="77777777" w:rsidR="00520D55" w:rsidRDefault="00520D55">
      <w:pPr>
        <w:spacing w:after="0" w:line="259" w:lineRule="auto"/>
        <w:ind w:left="0" w:firstLine="0"/>
      </w:pPr>
    </w:p>
    <w:sectPr w:rsidR="00520D5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51635"/>
    <w:multiLevelType w:val="hybridMultilevel"/>
    <w:tmpl w:val="DB24700E"/>
    <w:lvl w:ilvl="0" w:tplc="1AEC0E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55"/>
    <w:rsid w:val="00510B79"/>
    <w:rsid w:val="00520D55"/>
    <w:rsid w:val="00673703"/>
    <w:rsid w:val="006D3114"/>
    <w:rsid w:val="00741CAA"/>
    <w:rsid w:val="00746DC1"/>
    <w:rsid w:val="007A14C2"/>
    <w:rsid w:val="009A1135"/>
    <w:rsid w:val="00AE4013"/>
    <w:rsid w:val="00C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DCF7"/>
  <w15:docId w15:val="{F967D3C7-85EE-4AC4-A187-55AC05D9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E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 Special meeting minutes 5.5.25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Special meeting minutes 5.5.25</dc:title>
  <dc:subject/>
  <dc:creator>Rudy Paluch</dc:creator>
  <cp:keywords/>
  <cp:lastModifiedBy>Rudy Paluch</cp:lastModifiedBy>
  <cp:revision>2</cp:revision>
  <cp:lastPrinted>2025-05-11T13:13:00Z</cp:lastPrinted>
  <dcterms:created xsi:type="dcterms:W3CDTF">2025-07-18T18:51:00Z</dcterms:created>
  <dcterms:modified xsi:type="dcterms:W3CDTF">2025-07-18T18:51:00Z</dcterms:modified>
</cp:coreProperties>
</file>