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4B20" w14:textId="43508F6B" w:rsidR="008D61F5" w:rsidRPr="000F3C79" w:rsidRDefault="008D61F5">
      <w:pPr>
        <w:rPr>
          <w:b/>
          <w:bCs/>
          <w:sz w:val="22"/>
          <w:szCs w:val="22"/>
        </w:rPr>
      </w:pPr>
      <w:r w:rsidRPr="000F3C79">
        <w:rPr>
          <w:b/>
          <w:bCs/>
          <w:sz w:val="22"/>
          <w:szCs w:val="22"/>
        </w:rPr>
        <w:t xml:space="preserve">Homeward Staff Briefing: </w:t>
      </w:r>
      <w:r w:rsidR="00BF0B41" w:rsidRPr="000F3C79">
        <w:rPr>
          <w:b/>
          <w:bCs/>
          <w:sz w:val="22"/>
          <w:szCs w:val="22"/>
        </w:rPr>
        <w:t>US Housing and Urban Development (</w:t>
      </w:r>
      <w:r w:rsidRPr="000F3C79">
        <w:rPr>
          <w:b/>
          <w:bCs/>
          <w:sz w:val="22"/>
          <w:szCs w:val="22"/>
        </w:rPr>
        <w:t>HUD</w:t>
      </w:r>
      <w:r w:rsidR="00BF0B41" w:rsidRPr="000F3C79">
        <w:rPr>
          <w:b/>
          <w:bCs/>
          <w:sz w:val="22"/>
          <w:szCs w:val="22"/>
        </w:rPr>
        <w:t>)</w:t>
      </w:r>
      <w:r w:rsidRPr="000F3C79">
        <w:rPr>
          <w:b/>
          <w:bCs/>
          <w:sz w:val="22"/>
          <w:szCs w:val="22"/>
        </w:rPr>
        <w:t xml:space="preserve"> FY26 Continuum of Care Funding Application </w:t>
      </w:r>
    </w:p>
    <w:p w14:paraId="62917ED5" w14:textId="3A94ADC6" w:rsidR="008D61F5" w:rsidRPr="000F3C79" w:rsidRDefault="008D61F5">
      <w:pPr>
        <w:rPr>
          <w:sz w:val="22"/>
          <w:szCs w:val="22"/>
        </w:rPr>
      </w:pPr>
      <w:r w:rsidRPr="000F3C79">
        <w:rPr>
          <w:sz w:val="22"/>
          <w:szCs w:val="22"/>
        </w:rPr>
        <w:t>Prepared by Homeward Staff, 6/7/2026</w:t>
      </w:r>
    </w:p>
    <w:p w14:paraId="37993219" w14:textId="346653AC" w:rsidR="008D61F5" w:rsidRPr="000F3C79" w:rsidRDefault="008D61F5">
      <w:pPr>
        <w:rPr>
          <w:sz w:val="22"/>
          <w:szCs w:val="22"/>
        </w:rPr>
      </w:pPr>
      <w:r w:rsidRPr="000F3C79">
        <w:rPr>
          <w:b/>
          <w:bCs/>
          <w:sz w:val="22"/>
          <w:szCs w:val="22"/>
        </w:rPr>
        <w:t>Source of Information:</w:t>
      </w:r>
      <w:r w:rsidRPr="000F3C79">
        <w:rPr>
          <w:sz w:val="22"/>
          <w:szCs w:val="22"/>
        </w:rPr>
        <w:t xml:space="preserve"> Information for this staff briefing is drawn from the HUD </w:t>
      </w:r>
      <w:r w:rsidR="009E2811" w:rsidRPr="000F3C79">
        <w:rPr>
          <w:sz w:val="22"/>
          <w:szCs w:val="22"/>
        </w:rPr>
        <w:t xml:space="preserve">website: </w:t>
      </w:r>
      <w:hyperlink r:id="rId7" w:history="1">
        <w:r w:rsidR="009E2811" w:rsidRPr="000F3C79">
          <w:rPr>
            <w:rStyle w:val="Hyperlink"/>
            <w:sz w:val="22"/>
            <w:szCs w:val="22"/>
          </w:rPr>
          <w:t>https://www.hud.gov/hud-partners/community-coc</w:t>
        </w:r>
      </w:hyperlink>
      <w:r w:rsidR="009E2811" w:rsidRPr="000F3C79">
        <w:rPr>
          <w:sz w:val="22"/>
          <w:szCs w:val="22"/>
        </w:rPr>
        <w:t xml:space="preserve"> and from a </w:t>
      </w:r>
      <w:hyperlink r:id="rId8" w:history="1">
        <w:r w:rsidR="009E2811" w:rsidRPr="000F3C79">
          <w:rPr>
            <w:rStyle w:val="Hyperlink"/>
            <w:sz w:val="22"/>
            <w:szCs w:val="22"/>
          </w:rPr>
          <w:t>memo produced by the National Alliance to End Homelessness</w:t>
        </w:r>
      </w:hyperlink>
      <w:r w:rsidR="009E2811" w:rsidRPr="000F3C79">
        <w:rPr>
          <w:sz w:val="22"/>
          <w:szCs w:val="22"/>
        </w:rPr>
        <w:t xml:space="preserve">. </w:t>
      </w:r>
    </w:p>
    <w:p w14:paraId="54B8FC54" w14:textId="77777777" w:rsidR="00BF0B41" w:rsidRPr="000F3C79" w:rsidRDefault="008D61F5">
      <w:pPr>
        <w:rPr>
          <w:sz w:val="22"/>
          <w:szCs w:val="22"/>
        </w:rPr>
      </w:pPr>
      <w:r w:rsidRPr="000F3C79">
        <w:rPr>
          <w:b/>
          <w:bCs/>
          <w:sz w:val="22"/>
          <w:szCs w:val="22"/>
        </w:rPr>
        <w:t>Background:</w:t>
      </w:r>
      <w:r w:rsidRPr="000F3C79">
        <w:rPr>
          <w:sz w:val="22"/>
          <w:szCs w:val="22"/>
        </w:rPr>
        <w:t xml:space="preserve"> </w:t>
      </w:r>
      <w:r w:rsidR="009E2811" w:rsidRPr="000F3C79">
        <w:rPr>
          <w:sz w:val="22"/>
          <w:szCs w:val="22"/>
        </w:rPr>
        <w:t xml:space="preserve">The HUD Continuum of Care funding is the largest </w:t>
      </w:r>
      <w:r w:rsidR="009E2811" w:rsidRPr="008B7210">
        <w:rPr>
          <w:i/>
          <w:iCs/>
          <w:sz w:val="22"/>
          <w:szCs w:val="22"/>
        </w:rPr>
        <w:t>single</w:t>
      </w:r>
      <w:r w:rsidR="009E2811" w:rsidRPr="000F3C79">
        <w:rPr>
          <w:sz w:val="22"/>
          <w:szCs w:val="22"/>
        </w:rPr>
        <w:t xml:space="preserve"> source of funding for certain coordinated homeless assistance programs in the Richmond region, making up approximately 30% of the annual estimated cost of GRCoC programs. </w:t>
      </w:r>
      <w:r w:rsidR="00BF0B41" w:rsidRPr="000F3C79">
        <w:rPr>
          <w:sz w:val="22"/>
          <w:szCs w:val="22"/>
        </w:rPr>
        <w:t xml:space="preserve">See </w:t>
      </w:r>
      <w:hyperlink r:id="rId9" w:history="1">
        <w:r w:rsidR="00BF0B41" w:rsidRPr="000F3C79">
          <w:rPr>
            <w:rStyle w:val="Hyperlink"/>
            <w:sz w:val="22"/>
            <w:szCs w:val="22"/>
          </w:rPr>
          <w:t>https://www.endhomelessnessrva.org/funding-guidelines</w:t>
        </w:r>
      </w:hyperlink>
      <w:r w:rsidR="00BF0B41" w:rsidRPr="000F3C79">
        <w:rPr>
          <w:sz w:val="22"/>
          <w:szCs w:val="22"/>
        </w:rPr>
        <w:t xml:space="preserve"> for more details. </w:t>
      </w:r>
    </w:p>
    <w:p w14:paraId="2E15507C" w14:textId="01DD25DB" w:rsidR="008D61F5" w:rsidRPr="000F3C79" w:rsidRDefault="00BF0B41">
      <w:pPr>
        <w:rPr>
          <w:sz w:val="22"/>
          <w:szCs w:val="22"/>
        </w:rPr>
      </w:pPr>
      <w:r w:rsidRPr="000F3C79">
        <w:rPr>
          <w:sz w:val="22"/>
          <w:szCs w:val="22"/>
        </w:rPr>
        <w:t xml:space="preserve">The Continuum of Care program is authorized by Congress under the 2009 HEARTH Act and funding is appropriated annually by Congress. Specific details for the annual funding competition are laid out in the annual Notice of Funding Opportunity (NOFO) and other federal regulations. </w:t>
      </w:r>
    </w:p>
    <w:p w14:paraId="12B2E429" w14:textId="0F57C85A" w:rsidR="00BF0B41" w:rsidRPr="000F3C79" w:rsidRDefault="00BF0B41" w:rsidP="005668E2">
      <w:pPr>
        <w:spacing w:after="0"/>
        <w:rPr>
          <w:sz w:val="22"/>
          <w:szCs w:val="22"/>
        </w:rPr>
      </w:pPr>
      <w:r w:rsidRPr="000F3C79">
        <w:rPr>
          <w:b/>
          <w:bCs/>
          <w:sz w:val="22"/>
          <w:szCs w:val="22"/>
        </w:rPr>
        <w:t>Unique and important features of the HUD CoC funding process:</w:t>
      </w:r>
    </w:p>
    <w:p w14:paraId="6B618999" w14:textId="77777777" w:rsidR="00BF0B41" w:rsidRPr="000F3C79" w:rsidRDefault="00BF0B41" w:rsidP="005668E2">
      <w:pPr>
        <w:pStyle w:val="ListParagraph"/>
        <w:numPr>
          <w:ilvl w:val="0"/>
          <w:numId w:val="1"/>
        </w:numPr>
        <w:spacing w:after="0"/>
        <w:rPr>
          <w:sz w:val="22"/>
          <w:szCs w:val="22"/>
        </w:rPr>
      </w:pPr>
      <w:r w:rsidRPr="000F3C79">
        <w:rPr>
          <w:sz w:val="22"/>
          <w:szCs w:val="22"/>
        </w:rPr>
        <w:t xml:space="preserve">HUD provides funding to a Continuum of Care (CoC).  </w:t>
      </w:r>
    </w:p>
    <w:p w14:paraId="7B7A536C" w14:textId="77777777" w:rsidR="00BF0B41" w:rsidRPr="000F3C79" w:rsidRDefault="00BF0B41" w:rsidP="00BF0B41">
      <w:pPr>
        <w:pStyle w:val="ListParagraph"/>
        <w:numPr>
          <w:ilvl w:val="1"/>
          <w:numId w:val="1"/>
        </w:numPr>
        <w:rPr>
          <w:sz w:val="22"/>
          <w:szCs w:val="22"/>
        </w:rPr>
      </w:pPr>
      <w:r w:rsidRPr="000F3C79">
        <w:rPr>
          <w:sz w:val="22"/>
          <w:szCs w:val="22"/>
        </w:rPr>
        <w:t xml:space="preserve">Each CoC must submit a single community application detailing system performance, community processes, and CoC coordination and engagement. </w:t>
      </w:r>
    </w:p>
    <w:p w14:paraId="3F2312AA" w14:textId="0041E852" w:rsidR="00BF0B41" w:rsidRPr="000F3C79" w:rsidRDefault="00BF0B41" w:rsidP="00BF0B41">
      <w:pPr>
        <w:pStyle w:val="ListParagraph"/>
        <w:numPr>
          <w:ilvl w:val="1"/>
          <w:numId w:val="1"/>
        </w:numPr>
        <w:rPr>
          <w:sz w:val="22"/>
          <w:szCs w:val="22"/>
        </w:rPr>
      </w:pPr>
      <w:r w:rsidRPr="000F3C79">
        <w:rPr>
          <w:sz w:val="22"/>
          <w:szCs w:val="22"/>
        </w:rPr>
        <w:t xml:space="preserve">In addition to this community application, the CoC submits individual project applications as part of a </w:t>
      </w:r>
      <w:r w:rsidRPr="000F3C79">
        <w:rPr>
          <w:i/>
          <w:iCs/>
          <w:sz w:val="22"/>
          <w:szCs w:val="22"/>
        </w:rPr>
        <w:t>project priority listing</w:t>
      </w:r>
      <w:r w:rsidRPr="000F3C79">
        <w:rPr>
          <w:sz w:val="22"/>
          <w:szCs w:val="22"/>
        </w:rPr>
        <w:t xml:space="preserve">. </w:t>
      </w:r>
    </w:p>
    <w:p w14:paraId="69501A2C" w14:textId="77777777" w:rsidR="000F3C79" w:rsidRPr="000F3C79" w:rsidRDefault="00BF0B41" w:rsidP="00BF0B41">
      <w:pPr>
        <w:pStyle w:val="ListParagraph"/>
        <w:numPr>
          <w:ilvl w:val="1"/>
          <w:numId w:val="1"/>
        </w:numPr>
        <w:rPr>
          <w:sz w:val="22"/>
          <w:szCs w:val="22"/>
        </w:rPr>
      </w:pPr>
      <w:r w:rsidRPr="000F3C79">
        <w:rPr>
          <w:sz w:val="22"/>
          <w:szCs w:val="22"/>
        </w:rPr>
        <w:t xml:space="preserve">Since FY2015, HUD has provided funds for CoC Planning to the designated Collaborative Applicant (currently Homeward). These planning grants are determined by formula and are not competitive. </w:t>
      </w:r>
    </w:p>
    <w:p w14:paraId="79B05F0F" w14:textId="4D9530ED" w:rsidR="00BF0B41" w:rsidRPr="000F3C79" w:rsidRDefault="00BF0B41" w:rsidP="000F3C79">
      <w:pPr>
        <w:pStyle w:val="ListParagraph"/>
        <w:numPr>
          <w:ilvl w:val="2"/>
          <w:numId w:val="1"/>
        </w:numPr>
        <w:rPr>
          <w:sz w:val="22"/>
          <w:szCs w:val="22"/>
        </w:rPr>
      </w:pPr>
      <w:r w:rsidRPr="000F3C79">
        <w:rPr>
          <w:sz w:val="22"/>
          <w:szCs w:val="22"/>
        </w:rPr>
        <w:t xml:space="preserve">Details of the planning requirements are laid out in </w:t>
      </w:r>
      <w:r w:rsidR="000F3C79" w:rsidRPr="000F3C79">
        <w:rPr>
          <w:sz w:val="22"/>
          <w:szCs w:val="22"/>
        </w:rPr>
        <w:t xml:space="preserve">24 CFR 578 (nationally) and in the Memorandum of Understanding between the GRCoC Board and Homeward (regionally). </w:t>
      </w:r>
    </w:p>
    <w:p w14:paraId="291966F5" w14:textId="77777777" w:rsidR="00FE2647" w:rsidRDefault="00BF0B41" w:rsidP="00BF0B41">
      <w:pPr>
        <w:pStyle w:val="ListParagraph"/>
        <w:numPr>
          <w:ilvl w:val="0"/>
          <w:numId w:val="1"/>
        </w:numPr>
        <w:rPr>
          <w:sz w:val="22"/>
          <w:szCs w:val="22"/>
        </w:rPr>
      </w:pPr>
      <w:r w:rsidRPr="000F3C79">
        <w:rPr>
          <w:sz w:val="22"/>
          <w:szCs w:val="22"/>
        </w:rPr>
        <w:t xml:space="preserve">Congress has historically required a competitive and performance-based funding program and has prioritized funding for renewal projects. </w:t>
      </w:r>
    </w:p>
    <w:p w14:paraId="72E26346" w14:textId="59BAC0DD" w:rsidR="00FE2647" w:rsidRDefault="001B54DC" w:rsidP="00BF0B41">
      <w:pPr>
        <w:pStyle w:val="ListParagraph"/>
        <w:numPr>
          <w:ilvl w:val="0"/>
          <w:numId w:val="1"/>
        </w:numPr>
        <w:rPr>
          <w:sz w:val="22"/>
          <w:szCs w:val="22"/>
        </w:rPr>
      </w:pPr>
      <w:r>
        <w:rPr>
          <w:sz w:val="22"/>
          <w:szCs w:val="22"/>
        </w:rPr>
        <w:t xml:space="preserve">CoC’s rank projects and </w:t>
      </w:r>
      <w:r w:rsidR="00FE2647">
        <w:rPr>
          <w:sz w:val="22"/>
          <w:szCs w:val="22"/>
        </w:rPr>
        <w:t xml:space="preserve">exercise local control with </w:t>
      </w:r>
      <w:r w:rsidR="00FE2647" w:rsidRPr="00FE2647">
        <w:rPr>
          <w:b/>
          <w:bCs/>
          <w:sz w:val="22"/>
          <w:szCs w:val="22"/>
        </w:rPr>
        <w:t>Tier 1 projects</w:t>
      </w:r>
      <w:r w:rsidR="00FE2647">
        <w:rPr>
          <w:sz w:val="22"/>
          <w:szCs w:val="22"/>
        </w:rPr>
        <w:t xml:space="preserve">. </w:t>
      </w:r>
    </w:p>
    <w:p w14:paraId="048030C2" w14:textId="720760A0" w:rsidR="00BF0B41" w:rsidRDefault="00FE2647" w:rsidP="00BF0B41">
      <w:pPr>
        <w:pStyle w:val="ListParagraph"/>
        <w:numPr>
          <w:ilvl w:val="0"/>
          <w:numId w:val="1"/>
        </w:numPr>
        <w:rPr>
          <w:sz w:val="22"/>
          <w:szCs w:val="22"/>
        </w:rPr>
      </w:pPr>
      <w:r w:rsidRPr="00FE2647">
        <w:rPr>
          <w:b/>
          <w:bCs/>
          <w:sz w:val="22"/>
          <w:szCs w:val="22"/>
        </w:rPr>
        <w:t>Tier 2 projects</w:t>
      </w:r>
      <w:r>
        <w:rPr>
          <w:sz w:val="22"/>
          <w:szCs w:val="22"/>
        </w:rPr>
        <w:t xml:space="preserve"> compete with other projects around the country based on the overall score of the CoC application. </w:t>
      </w:r>
    </w:p>
    <w:p w14:paraId="23C7E051" w14:textId="7AC4EC5D" w:rsidR="003A6F29" w:rsidRPr="000F3C79" w:rsidRDefault="005668E2" w:rsidP="00BF0B41">
      <w:pPr>
        <w:pStyle w:val="ListParagraph"/>
        <w:numPr>
          <w:ilvl w:val="0"/>
          <w:numId w:val="1"/>
        </w:numPr>
        <w:rPr>
          <w:sz w:val="22"/>
          <w:szCs w:val="22"/>
        </w:rPr>
      </w:pPr>
      <w:r>
        <w:rPr>
          <w:sz w:val="22"/>
          <w:szCs w:val="22"/>
        </w:rPr>
        <w:t>Household</w:t>
      </w:r>
      <w:r w:rsidR="003A6F29">
        <w:rPr>
          <w:sz w:val="22"/>
          <w:szCs w:val="22"/>
        </w:rPr>
        <w:t xml:space="preserve"> eligibility for CoC </w:t>
      </w:r>
      <w:r w:rsidR="00396A0D">
        <w:rPr>
          <w:sz w:val="22"/>
          <w:szCs w:val="22"/>
        </w:rPr>
        <w:t>programs</w:t>
      </w:r>
      <w:r w:rsidR="003A6F29">
        <w:rPr>
          <w:sz w:val="22"/>
          <w:szCs w:val="22"/>
        </w:rPr>
        <w:t xml:space="preserve"> relies on a </w:t>
      </w:r>
      <w:r>
        <w:rPr>
          <w:sz w:val="22"/>
          <w:szCs w:val="22"/>
        </w:rPr>
        <w:t>narrow</w:t>
      </w:r>
      <w:r w:rsidR="003A6F29">
        <w:rPr>
          <w:sz w:val="22"/>
          <w:szCs w:val="22"/>
        </w:rPr>
        <w:t xml:space="preserve"> </w:t>
      </w:r>
      <w:r>
        <w:rPr>
          <w:sz w:val="22"/>
          <w:szCs w:val="22"/>
        </w:rPr>
        <w:t xml:space="preserve">definition of homelessness. </w:t>
      </w:r>
    </w:p>
    <w:p w14:paraId="0EEA930E" w14:textId="13EDCEC2" w:rsidR="00BF0B41" w:rsidRPr="000F3C79" w:rsidRDefault="00BF0B41" w:rsidP="00BF0B41">
      <w:pPr>
        <w:pStyle w:val="ListParagraph"/>
        <w:numPr>
          <w:ilvl w:val="0"/>
          <w:numId w:val="1"/>
        </w:numPr>
        <w:rPr>
          <w:sz w:val="22"/>
          <w:szCs w:val="22"/>
        </w:rPr>
      </w:pPr>
      <w:r w:rsidRPr="000F3C79">
        <w:rPr>
          <w:sz w:val="22"/>
          <w:szCs w:val="22"/>
        </w:rPr>
        <w:t>The amount of funding available</w:t>
      </w:r>
      <w:r w:rsidR="003D3630">
        <w:rPr>
          <w:sz w:val="22"/>
          <w:szCs w:val="22"/>
        </w:rPr>
        <w:t xml:space="preserve"> overall</w:t>
      </w:r>
      <w:r w:rsidRPr="000F3C79">
        <w:rPr>
          <w:sz w:val="22"/>
          <w:szCs w:val="22"/>
        </w:rPr>
        <w:t xml:space="preserve"> is not tied to community need or CoC performance. </w:t>
      </w:r>
    </w:p>
    <w:p w14:paraId="66AB1F25" w14:textId="643F05C1" w:rsidR="00BF0B41" w:rsidRPr="000F3C79" w:rsidRDefault="00BF0B41" w:rsidP="00BF0B41">
      <w:pPr>
        <w:pStyle w:val="ListParagraph"/>
        <w:numPr>
          <w:ilvl w:val="0"/>
          <w:numId w:val="1"/>
        </w:numPr>
        <w:rPr>
          <w:sz w:val="22"/>
          <w:szCs w:val="22"/>
        </w:rPr>
      </w:pPr>
      <w:r w:rsidRPr="000F3C79">
        <w:rPr>
          <w:sz w:val="22"/>
          <w:szCs w:val="22"/>
        </w:rPr>
        <w:t xml:space="preserve">Limited increases to the amount of CoC funding </w:t>
      </w:r>
      <w:r w:rsidR="003A6F29">
        <w:rPr>
          <w:sz w:val="22"/>
          <w:szCs w:val="22"/>
        </w:rPr>
        <w:t xml:space="preserve">appropriated by Congress </w:t>
      </w:r>
      <w:r w:rsidRPr="000F3C79">
        <w:rPr>
          <w:sz w:val="22"/>
          <w:szCs w:val="22"/>
        </w:rPr>
        <w:t xml:space="preserve">have not kept up with increases in the cost of rental assistance or labor. </w:t>
      </w:r>
    </w:p>
    <w:p w14:paraId="072B3E51" w14:textId="0BF4AA63" w:rsidR="000F3C79" w:rsidRPr="000F3C79" w:rsidRDefault="000F3C79" w:rsidP="000F3C79">
      <w:pPr>
        <w:rPr>
          <w:rFonts w:eastAsia="Times New Roman" w:cs="Calibri"/>
          <w:color w:val="000000"/>
          <w:kern w:val="0"/>
          <w:sz w:val="22"/>
          <w:szCs w:val="22"/>
          <w14:ligatures w14:val="none"/>
        </w:rPr>
      </w:pPr>
      <w:r>
        <w:rPr>
          <w:b/>
          <w:bCs/>
          <w:sz w:val="22"/>
          <w:szCs w:val="22"/>
        </w:rPr>
        <w:t xml:space="preserve">Amount of funding for the region:  </w:t>
      </w:r>
      <w:r w:rsidRPr="000F3C79">
        <w:rPr>
          <w:sz w:val="22"/>
          <w:szCs w:val="22"/>
        </w:rPr>
        <w:t>The GRCoC has increased its “Annual Renewal Demand” [amount of funding used to determine how much we can compete for]</w:t>
      </w:r>
      <w:r>
        <w:rPr>
          <w:sz w:val="22"/>
          <w:szCs w:val="22"/>
        </w:rPr>
        <w:t xml:space="preserve"> </w:t>
      </w:r>
      <w:r>
        <w:rPr>
          <w:b/>
          <w:bCs/>
          <w:sz w:val="22"/>
          <w:szCs w:val="22"/>
        </w:rPr>
        <w:t>88.7%</w:t>
      </w:r>
      <w:r w:rsidRPr="000F3C79">
        <w:rPr>
          <w:sz w:val="22"/>
          <w:szCs w:val="22"/>
        </w:rPr>
        <w:t xml:space="preserve"> from </w:t>
      </w:r>
      <w:r w:rsidRPr="000F3C79">
        <w:rPr>
          <w:rFonts w:eastAsia="Times New Roman" w:cs="Calibri"/>
          <w:color w:val="000000"/>
          <w:kern w:val="0"/>
          <w:sz w:val="22"/>
          <w:szCs w:val="22"/>
          <w14:ligatures w14:val="none"/>
        </w:rPr>
        <w:t>$5,614,081</w:t>
      </w:r>
      <w:r w:rsidRPr="000F3C79">
        <w:rPr>
          <w:rFonts w:eastAsia="Times New Roman" w:cs="Calibri"/>
          <w:color w:val="000000"/>
          <w:kern w:val="0"/>
          <w:sz w:val="22"/>
          <w:szCs w:val="22"/>
          <w14:ligatures w14:val="none"/>
        </w:rPr>
        <w:t xml:space="preserve"> in the FY2023 competition to $10,593,228 in the FY2025 competition </w:t>
      </w:r>
      <w:r>
        <w:rPr>
          <w:rFonts w:eastAsia="Times New Roman" w:cs="Calibri"/>
          <w:color w:val="000000"/>
          <w:kern w:val="0"/>
          <w:sz w:val="22"/>
          <w:szCs w:val="22"/>
          <w14:ligatures w14:val="none"/>
        </w:rPr>
        <w:t xml:space="preserve">thanks to successful applications for the Youth Homelessness Demonstration Project to serve youth and young adults </w:t>
      </w:r>
      <w:r>
        <w:rPr>
          <w:rFonts w:eastAsia="Times New Roman" w:cs="Calibri"/>
          <w:color w:val="000000"/>
          <w:kern w:val="0"/>
          <w:sz w:val="22"/>
          <w:szCs w:val="22"/>
          <w14:ligatures w14:val="none"/>
        </w:rPr>
        <w:lastRenderedPageBreak/>
        <w:t xml:space="preserve">ages 18 – 24  experiencing homelessness in 2022 and to the increased CoC score in FY2024 which added 3 bonus projects including 2 Domestic Violence (DV) bonuses and one permanent housing bonus.  </w:t>
      </w:r>
      <w:r w:rsidR="005A3535">
        <w:rPr>
          <w:rFonts w:eastAsia="Times New Roman" w:cs="Calibri"/>
          <w:color w:val="000000"/>
          <w:kern w:val="0"/>
          <w:sz w:val="22"/>
          <w:szCs w:val="22"/>
          <w14:ligatures w14:val="none"/>
        </w:rPr>
        <w:t xml:space="preserve">Our Annual Renewal Demand for the FY2026 competition should reflect this increase. </w:t>
      </w:r>
    </w:p>
    <w:p w14:paraId="4CAEA8BA" w14:textId="63750988" w:rsidR="000F3C79" w:rsidRPr="000F3C79" w:rsidRDefault="005A3535" w:rsidP="000F3C79">
      <w:pPr>
        <w:rPr>
          <w:sz w:val="22"/>
          <w:szCs w:val="22"/>
        </w:rPr>
      </w:pPr>
      <w:r>
        <w:rPr>
          <w:b/>
          <w:bCs/>
          <w:sz w:val="22"/>
          <w:szCs w:val="22"/>
        </w:rPr>
        <w:t xml:space="preserve">Current funding amounts: </w:t>
      </w:r>
      <w:r>
        <w:rPr>
          <w:sz w:val="22"/>
          <w:szCs w:val="22"/>
        </w:rPr>
        <w:t xml:space="preserve"> GRCoC programs have different starting times based on historical and programmatic reasons. Most GRCoC COC-funded programs have not yet started their FY2025 awards. The award amounts and categories of funded programs are listed below: </w:t>
      </w:r>
    </w:p>
    <w:tbl>
      <w:tblPr>
        <w:tblW w:w="7980" w:type="dxa"/>
        <w:tblLook w:val="04A0" w:firstRow="1" w:lastRow="0" w:firstColumn="1" w:lastColumn="0" w:noHBand="0" w:noVBand="1"/>
      </w:tblPr>
      <w:tblGrid>
        <w:gridCol w:w="4580"/>
        <w:gridCol w:w="2020"/>
        <w:gridCol w:w="1380"/>
      </w:tblGrid>
      <w:tr w:rsidR="005A3535" w:rsidRPr="005A3535" w14:paraId="665E100F" w14:textId="77777777" w:rsidTr="005A3535">
        <w:trPr>
          <w:trHeight w:val="290"/>
        </w:trPr>
        <w:tc>
          <w:tcPr>
            <w:tcW w:w="4580" w:type="dxa"/>
            <w:tcBorders>
              <w:top w:val="single" w:sz="4" w:space="0" w:color="auto"/>
              <w:left w:val="single" w:sz="4" w:space="0" w:color="auto"/>
              <w:bottom w:val="single" w:sz="4" w:space="0" w:color="auto"/>
              <w:right w:val="single" w:sz="4" w:space="0" w:color="auto"/>
            </w:tcBorders>
            <w:vAlign w:val="bottom"/>
            <w:hideMark/>
          </w:tcPr>
          <w:p w14:paraId="3702D62E" w14:textId="77777777" w:rsidR="005A3535" w:rsidRPr="005A3535" w:rsidRDefault="005A3535" w:rsidP="005A3535">
            <w:pPr>
              <w:spacing w:after="0" w:line="240" w:lineRule="auto"/>
              <w:rPr>
                <w:rFonts w:ascii="Aptos Narrow" w:eastAsia="Times New Roman" w:hAnsi="Aptos Narrow" w:cs="Times New Roman"/>
                <w:b/>
                <w:bCs/>
                <w:color w:val="000000"/>
                <w:kern w:val="0"/>
                <w:sz w:val="22"/>
                <w:szCs w:val="22"/>
                <w14:ligatures w14:val="none"/>
              </w:rPr>
            </w:pPr>
            <w:r w:rsidRPr="005A3535">
              <w:rPr>
                <w:rFonts w:ascii="Aptos Narrow" w:eastAsia="Times New Roman" w:hAnsi="Aptos Narrow" w:cs="Times New Roman"/>
                <w:b/>
                <w:bCs/>
                <w:color w:val="000000"/>
                <w:kern w:val="0"/>
                <w:sz w:val="22"/>
                <w:szCs w:val="22"/>
                <w14:ligatures w14:val="none"/>
              </w:rPr>
              <w:t xml:space="preserve">Project Type </w:t>
            </w:r>
          </w:p>
        </w:tc>
        <w:tc>
          <w:tcPr>
            <w:tcW w:w="2020" w:type="dxa"/>
            <w:tcBorders>
              <w:top w:val="single" w:sz="4" w:space="0" w:color="auto"/>
              <w:left w:val="nil"/>
              <w:bottom w:val="single" w:sz="4" w:space="0" w:color="auto"/>
              <w:right w:val="single" w:sz="4" w:space="0" w:color="auto"/>
            </w:tcBorders>
            <w:noWrap/>
            <w:vAlign w:val="bottom"/>
            <w:hideMark/>
          </w:tcPr>
          <w:p w14:paraId="02DF6B19" w14:textId="77777777" w:rsidR="005A3535" w:rsidRPr="005A3535" w:rsidRDefault="005A3535" w:rsidP="005A3535">
            <w:pPr>
              <w:spacing w:after="0" w:line="240" w:lineRule="auto"/>
              <w:rPr>
                <w:rFonts w:ascii="Aptos Narrow" w:eastAsia="Times New Roman" w:hAnsi="Aptos Narrow" w:cs="Times New Roman"/>
                <w:b/>
                <w:bCs/>
                <w:color w:val="000000"/>
                <w:kern w:val="0"/>
                <w:sz w:val="18"/>
                <w:szCs w:val="18"/>
                <w14:ligatures w14:val="none"/>
              </w:rPr>
            </w:pPr>
            <w:r w:rsidRPr="005A3535">
              <w:rPr>
                <w:rFonts w:ascii="Aptos Narrow" w:eastAsia="Times New Roman" w:hAnsi="Aptos Narrow" w:cs="Times New Roman"/>
                <w:b/>
                <w:bCs/>
                <w:color w:val="000000"/>
                <w:kern w:val="0"/>
                <w:sz w:val="18"/>
                <w:szCs w:val="18"/>
                <w14:ligatures w14:val="none"/>
              </w:rPr>
              <w:t xml:space="preserve">Total by category </w:t>
            </w:r>
          </w:p>
        </w:tc>
        <w:tc>
          <w:tcPr>
            <w:tcW w:w="1380" w:type="dxa"/>
            <w:tcBorders>
              <w:top w:val="single" w:sz="4" w:space="0" w:color="auto"/>
              <w:left w:val="nil"/>
              <w:bottom w:val="single" w:sz="4" w:space="0" w:color="auto"/>
              <w:right w:val="single" w:sz="4" w:space="0" w:color="auto"/>
            </w:tcBorders>
            <w:noWrap/>
            <w:vAlign w:val="bottom"/>
            <w:hideMark/>
          </w:tcPr>
          <w:p w14:paraId="501C3D07" w14:textId="77777777" w:rsidR="005A3535" w:rsidRPr="005A3535" w:rsidRDefault="005A3535" w:rsidP="005A3535">
            <w:pPr>
              <w:spacing w:after="0" w:line="240" w:lineRule="auto"/>
              <w:rPr>
                <w:rFonts w:ascii="Aptos Narrow" w:eastAsia="Times New Roman" w:hAnsi="Aptos Narrow" w:cs="Times New Roman"/>
                <w:b/>
                <w:bCs/>
                <w:color w:val="000000"/>
                <w:kern w:val="0"/>
                <w:sz w:val="16"/>
                <w:szCs w:val="16"/>
                <w14:ligatures w14:val="none"/>
              </w:rPr>
            </w:pPr>
            <w:r w:rsidRPr="005A3535">
              <w:rPr>
                <w:rFonts w:ascii="Aptos Narrow" w:eastAsia="Times New Roman" w:hAnsi="Aptos Narrow" w:cs="Times New Roman"/>
                <w:b/>
                <w:bCs/>
                <w:color w:val="000000"/>
                <w:kern w:val="0"/>
                <w:sz w:val="16"/>
                <w:szCs w:val="16"/>
                <w14:ligatures w14:val="none"/>
              </w:rPr>
              <w:t xml:space="preserve">% of comp portfolio </w:t>
            </w:r>
          </w:p>
        </w:tc>
      </w:tr>
      <w:tr w:rsidR="005A3535" w:rsidRPr="005A3535" w14:paraId="08BB0C48" w14:textId="77777777" w:rsidTr="005A3535">
        <w:trPr>
          <w:trHeight w:val="580"/>
        </w:trPr>
        <w:tc>
          <w:tcPr>
            <w:tcW w:w="4580" w:type="dxa"/>
            <w:tcBorders>
              <w:top w:val="nil"/>
              <w:left w:val="single" w:sz="4" w:space="0" w:color="auto"/>
              <w:bottom w:val="single" w:sz="4" w:space="0" w:color="auto"/>
              <w:right w:val="single" w:sz="4" w:space="0" w:color="auto"/>
            </w:tcBorders>
            <w:vAlign w:val="bottom"/>
            <w:hideMark/>
          </w:tcPr>
          <w:p w14:paraId="419AEA1D"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Permanent supportive housing</w:t>
            </w:r>
          </w:p>
        </w:tc>
        <w:tc>
          <w:tcPr>
            <w:tcW w:w="2020" w:type="dxa"/>
            <w:tcBorders>
              <w:top w:val="nil"/>
              <w:left w:val="nil"/>
              <w:bottom w:val="single" w:sz="4" w:space="0" w:color="auto"/>
              <w:right w:val="single" w:sz="4" w:space="0" w:color="auto"/>
            </w:tcBorders>
            <w:noWrap/>
            <w:vAlign w:val="bottom"/>
            <w:hideMark/>
          </w:tcPr>
          <w:p w14:paraId="6F142C21"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$5,873,874</w:t>
            </w:r>
          </w:p>
        </w:tc>
        <w:tc>
          <w:tcPr>
            <w:tcW w:w="1380" w:type="dxa"/>
            <w:tcBorders>
              <w:top w:val="nil"/>
              <w:left w:val="nil"/>
              <w:bottom w:val="single" w:sz="4" w:space="0" w:color="auto"/>
              <w:right w:val="single" w:sz="4" w:space="0" w:color="auto"/>
            </w:tcBorders>
            <w:noWrap/>
            <w:vAlign w:val="bottom"/>
            <w:hideMark/>
          </w:tcPr>
          <w:p w14:paraId="73EDE6C5"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57.71%</w:t>
            </w:r>
          </w:p>
        </w:tc>
      </w:tr>
      <w:tr w:rsidR="005A3535" w:rsidRPr="005A3535" w14:paraId="459BE4D5" w14:textId="77777777" w:rsidTr="005A3535">
        <w:trPr>
          <w:trHeight w:val="290"/>
        </w:trPr>
        <w:tc>
          <w:tcPr>
            <w:tcW w:w="4580" w:type="dxa"/>
            <w:tcBorders>
              <w:top w:val="nil"/>
              <w:left w:val="single" w:sz="4" w:space="0" w:color="auto"/>
              <w:bottom w:val="single" w:sz="4" w:space="0" w:color="auto"/>
              <w:right w:val="single" w:sz="4" w:space="0" w:color="auto"/>
            </w:tcBorders>
            <w:vAlign w:val="bottom"/>
            <w:hideMark/>
          </w:tcPr>
          <w:p w14:paraId="0AD2CB40"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Rapid re-housing (RRH)</w:t>
            </w:r>
          </w:p>
        </w:tc>
        <w:tc>
          <w:tcPr>
            <w:tcW w:w="2020" w:type="dxa"/>
            <w:tcBorders>
              <w:top w:val="nil"/>
              <w:left w:val="nil"/>
              <w:bottom w:val="single" w:sz="4" w:space="0" w:color="auto"/>
              <w:right w:val="single" w:sz="4" w:space="0" w:color="auto"/>
            </w:tcBorders>
            <w:noWrap/>
            <w:vAlign w:val="bottom"/>
            <w:hideMark/>
          </w:tcPr>
          <w:p w14:paraId="53CC065A"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$768,286</w:t>
            </w:r>
          </w:p>
        </w:tc>
        <w:tc>
          <w:tcPr>
            <w:tcW w:w="1380" w:type="dxa"/>
            <w:tcBorders>
              <w:top w:val="nil"/>
              <w:left w:val="nil"/>
              <w:bottom w:val="single" w:sz="4" w:space="0" w:color="auto"/>
              <w:right w:val="single" w:sz="4" w:space="0" w:color="auto"/>
            </w:tcBorders>
            <w:noWrap/>
            <w:vAlign w:val="bottom"/>
            <w:hideMark/>
          </w:tcPr>
          <w:p w14:paraId="551C9C10"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7.55%</w:t>
            </w:r>
          </w:p>
        </w:tc>
      </w:tr>
      <w:tr w:rsidR="005A3535" w:rsidRPr="005A3535" w14:paraId="45A35489" w14:textId="77777777" w:rsidTr="005A3535">
        <w:trPr>
          <w:trHeight w:val="290"/>
        </w:trPr>
        <w:tc>
          <w:tcPr>
            <w:tcW w:w="4580" w:type="dxa"/>
            <w:tcBorders>
              <w:top w:val="nil"/>
              <w:left w:val="single" w:sz="4" w:space="0" w:color="auto"/>
              <w:bottom w:val="single" w:sz="4" w:space="0" w:color="auto"/>
              <w:right w:val="single" w:sz="4" w:space="0" w:color="auto"/>
            </w:tcBorders>
            <w:vAlign w:val="bottom"/>
            <w:hideMark/>
          </w:tcPr>
          <w:p w14:paraId="08A6A31D"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 xml:space="preserve">RRH for families </w:t>
            </w:r>
          </w:p>
        </w:tc>
        <w:tc>
          <w:tcPr>
            <w:tcW w:w="2020" w:type="dxa"/>
            <w:tcBorders>
              <w:top w:val="nil"/>
              <w:left w:val="nil"/>
              <w:bottom w:val="single" w:sz="4" w:space="0" w:color="auto"/>
              <w:right w:val="single" w:sz="4" w:space="0" w:color="auto"/>
            </w:tcBorders>
            <w:noWrap/>
            <w:vAlign w:val="bottom"/>
            <w:hideMark/>
          </w:tcPr>
          <w:p w14:paraId="7BCC39F1"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$336,108</w:t>
            </w:r>
          </w:p>
        </w:tc>
        <w:tc>
          <w:tcPr>
            <w:tcW w:w="1380" w:type="dxa"/>
            <w:tcBorders>
              <w:top w:val="nil"/>
              <w:left w:val="nil"/>
              <w:bottom w:val="single" w:sz="4" w:space="0" w:color="auto"/>
              <w:right w:val="single" w:sz="4" w:space="0" w:color="auto"/>
            </w:tcBorders>
            <w:noWrap/>
            <w:vAlign w:val="bottom"/>
            <w:hideMark/>
          </w:tcPr>
          <w:p w14:paraId="64D7CB68"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3.30%</w:t>
            </w:r>
          </w:p>
        </w:tc>
      </w:tr>
      <w:tr w:rsidR="005A3535" w:rsidRPr="005A3535" w14:paraId="47990838" w14:textId="77777777" w:rsidTr="005A3535">
        <w:trPr>
          <w:trHeight w:val="290"/>
        </w:trPr>
        <w:tc>
          <w:tcPr>
            <w:tcW w:w="4580" w:type="dxa"/>
            <w:tcBorders>
              <w:top w:val="nil"/>
              <w:left w:val="single" w:sz="4" w:space="0" w:color="auto"/>
              <w:bottom w:val="single" w:sz="4" w:space="0" w:color="auto"/>
              <w:right w:val="single" w:sz="4" w:space="0" w:color="auto"/>
            </w:tcBorders>
            <w:vAlign w:val="bottom"/>
            <w:hideMark/>
          </w:tcPr>
          <w:p w14:paraId="25EED9FF"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RRH Youth* (includes Joint TH-RRH)</w:t>
            </w:r>
          </w:p>
        </w:tc>
        <w:tc>
          <w:tcPr>
            <w:tcW w:w="2020" w:type="dxa"/>
            <w:tcBorders>
              <w:top w:val="nil"/>
              <w:left w:val="nil"/>
              <w:bottom w:val="single" w:sz="4" w:space="0" w:color="auto"/>
              <w:right w:val="single" w:sz="4" w:space="0" w:color="auto"/>
            </w:tcBorders>
            <w:noWrap/>
            <w:vAlign w:val="bottom"/>
            <w:hideMark/>
          </w:tcPr>
          <w:p w14:paraId="572DD763"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$1,515,068</w:t>
            </w:r>
          </w:p>
        </w:tc>
        <w:tc>
          <w:tcPr>
            <w:tcW w:w="1380" w:type="dxa"/>
            <w:tcBorders>
              <w:top w:val="nil"/>
              <w:left w:val="nil"/>
              <w:bottom w:val="single" w:sz="4" w:space="0" w:color="auto"/>
              <w:right w:val="single" w:sz="4" w:space="0" w:color="auto"/>
            </w:tcBorders>
            <w:noWrap/>
            <w:vAlign w:val="bottom"/>
            <w:hideMark/>
          </w:tcPr>
          <w:p w14:paraId="14ACE34F"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14.89%</w:t>
            </w:r>
          </w:p>
        </w:tc>
      </w:tr>
      <w:tr w:rsidR="005A3535" w:rsidRPr="005A3535" w14:paraId="06E67420" w14:textId="77777777" w:rsidTr="005A3535">
        <w:trPr>
          <w:trHeight w:val="290"/>
        </w:trPr>
        <w:tc>
          <w:tcPr>
            <w:tcW w:w="4580" w:type="dxa"/>
            <w:tcBorders>
              <w:top w:val="nil"/>
              <w:left w:val="single" w:sz="4" w:space="0" w:color="auto"/>
              <w:bottom w:val="single" w:sz="4" w:space="0" w:color="auto"/>
              <w:right w:val="single" w:sz="4" w:space="0" w:color="auto"/>
            </w:tcBorders>
            <w:vAlign w:val="bottom"/>
            <w:hideMark/>
          </w:tcPr>
          <w:p w14:paraId="54DD20DD"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RRH for domestic violence survivors</w:t>
            </w:r>
          </w:p>
        </w:tc>
        <w:tc>
          <w:tcPr>
            <w:tcW w:w="2020" w:type="dxa"/>
            <w:tcBorders>
              <w:top w:val="nil"/>
              <w:left w:val="nil"/>
              <w:bottom w:val="single" w:sz="4" w:space="0" w:color="auto"/>
              <w:right w:val="single" w:sz="4" w:space="0" w:color="auto"/>
            </w:tcBorders>
            <w:noWrap/>
            <w:vAlign w:val="bottom"/>
            <w:hideMark/>
          </w:tcPr>
          <w:p w14:paraId="424293EE"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$409,678</w:t>
            </w:r>
          </w:p>
        </w:tc>
        <w:tc>
          <w:tcPr>
            <w:tcW w:w="1380" w:type="dxa"/>
            <w:tcBorders>
              <w:top w:val="nil"/>
              <w:left w:val="nil"/>
              <w:bottom w:val="single" w:sz="4" w:space="0" w:color="auto"/>
              <w:right w:val="single" w:sz="4" w:space="0" w:color="auto"/>
            </w:tcBorders>
            <w:noWrap/>
            <w:vAlign w:val="bottom"/>
            <w:hideMark/>
          </w:tcPr>
          <w:p w14:paraId="0F31DC8B"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4.03%</w:t>
            </w:r>
          </w:p>
        </w:tc>
      </w:tr>
      <w:tr w:rsidR="005A3535" w:rsidRPr="005A3535" w14:paraId="5C03DAB8" w14:textId="77777777" w:rsidTr="005A3535">
        <w:trPr>
          <w:trHeight w:val="290"/>
        </w:trPr>
        <w:tc>
          <w:tcPr>
            <w:tcW w:w="4580" w:type="dxa"/>
            <w:tcBorders>
              <w:top w:val="nil"/>
              <w:left w:val="single" w:sz="4" w:space="0" w:color="auto"/>
              <w:bottom w:val="single" w:sz="4" w:space="0" w:color="auto"/>
              <w:right w:val="single" w:sz="4" w:space="0" w:color="auto"/>
            </w:tcBorders>
            <w:vAlign w:val="bottom"/>
            <w:hideMark/>
          </w:tcPr>
          <w:p w14:paraId="5201A8DF" w14:textId="77777777" w:rsidR="005A3535" w:rsidRPr="005A3535" w:rsidRDefault="005A3535" w:rsidP="005A3535">
            <w:pPr>
              <w:spacing w:after="0" w:line="240" w:lineRule="auto"/>
              <w:rPr>
                <w:rFonts w:ascii="Aptos Narrow" w:eastAsia="Times New Roman" w:hAnsi="Aptos Narrow" w:cs="Times New Roman"/>
                <w:b/>
                <w:bCs/>
                <w:color w:val="000000"/>
                <w:kern w:val="0"/>
                <w:sz w:val="22"/>
                <w:szCs w:val="22"/>
                <w14:ligatures w14:val="none"/>
              </w:rPr>
            </w:pPr>
            <w:r w:rsidRPr="005A3535">
              <w:rPr>
                <w:rFonts w:ascii="Aptos Narrow" w:eastAsia="Times New Roman" w:hAnsi="Aptos Narrow" w:cs="Times New Roman"/>
                <w:b/>
                <w:bCs/>
                <w:color w:val="000000"/>
                <w:kern w:val="0"/>
                <w:sz w:val="22"/>
                <w:szCs w:val="22"/>
                <w14:ligatures w14:val="none"/>
              </w:rPr>
              <w:t xml:space="preserve">Total permanent housing </w:t>
            </w:r>
          </w:p>
        </w:tc>
        <w:tc>
          <w:tcPr>
            <w:tcW w:w="2020" w:type="dxa"/>
            <w:tcBorders>
              <w:top w:val="nil"/>
              <w:left w:val="nil"/>
              <w:bottom w:val="single" w:sz="4" w:space="0" w:color="auto"/>
              <w:right w:val="single" w:sz="4" w:space="0" w:color="auto"/>
            </w:tcBorders>
            <w:noWrap/>
            <w:vAlign w:val="bottom"/>
            <w:hideMark/>
          </w:tcPr>
          <w:p w14:paraId="24B84429" w14:textId="77777777" w:rsidR="005A3535" w:rsidRPr="005A3535" w:rsidRDefault="005A3535" w:rsidP="005A3535">
            <w:pPr>
              <w:spacing w:after="0" w:line="240" w:lineRule="auto"/>
              <w:jc w:val="right"/>
              <w:rPr>
                <w:rFonts w:ascii="Aptos Narrow" w:eastAsia="Times New Roman" w:hAnsi="Aptos Narrow" w:cs="Times New Roman"/>
                <w:b/>
                <w:bCs/>
                <w:color w:val="000000"/>
                <w:kern w:val="0"/>
                <w:sz w:val="22"/>
                <w:szCs w:val="22"/>
                <w14:ligatures w14:val="none"/>
              </w:rPr>
            </w:pPr>
            <w:r w:rsidRPr="005A3535">
              <w:rPr>
                <w:rFonts w:ascii="Aptos Narrow" w:eastAsia="Times New Roman" w:hAnsi="Aptos Narrow" w:cs="Times New Roman"/>
                <w:b/>
                <w:bCs/>
                <w:color w:val="000000"/>
                <w:kern w:val="0"/>
                <w:sz w:val="22"/>
                <w:szCs w:val="22"/>
                <w14:ligatures w14:val="none"/>
              </w:rPr>
              <w:t>$8,903,014</w:t>
            </w:r>
          </w:p>
        </w:tc>
        <w:tc>
          <w:tcPr>
            <w:tcW w:w="1380" w:type="dxa"/>
            <w:tcBorders>
              <w:top w:val="nil"/>
              <w:left w:val="nil"/>
              <w:bottom w:val="single" w:sz="4" w:space="0" w:color="auto"/>
              <w:right w:val="single" w:sz="4" w:space="0" w:color="auto"/>
            </w:tcBorders>
            <w:noWrap/>
            <w:vAlign w:val="bottom"/>
            <w:hideMark/>
          </w:tcPr>
          <w:p w14:paraId="4C1BA7DE" w14:textId="77777777" w:rsidR="005A3535" w:rsidRPr="005A3535" w:rsidRDefault="005A3535" w:rsidP="005A3535">
            <w:pPr>
              <w:spacing w:after="0" w:line="240" w:lineRule="auto"/>
              <w:jc w:val="right"/>
              <w:rPr>
                <w:rFonts w:ascii="Aptos Narrow" w:eastAsia="Times New Roman" w:hAnsi="Aptos Narrow" w:cs="Times New Roman"/>
                <w:b/>
                <w:bCs/>
                <w:color w:val="000000"/>
                <w:kern w:val="0"/>
                <w:sz w:val="22"/>
                <w:szCs w:val="22"/>
                <w14:ligatures w14:val="none"/>
              </w:rPr>
            </w:pPr>
            <w:r w:rsidRPr="005A3535">
              <w:rPr>
                <w:rFonts w:ascii="Aptos Narrow" w:eastAsia="Times New Roman" w:hAnsi="Aptos Narrow" w:cs="Times New Roman"/>
                <w:b/>
                <w:bCs/>
                <w:color w:val="000000"/>
                <w:kern w:val="0"/>
                <w:sz w:val="22"/>
                <w:szCs w:val="22"/>
                <w14:ligatures w14:val="none"/>
              </w:rPr>
              <w:t>87.48%</w:t>
            </w:r>
          </w:p>
        </w:tc>
      </w:tr>
      <w:tr w:rsidR="005A3535" w:rsidRPr="005A3535" w14:paraId="601E979E" w14:textId="77777777" w:rsidTr="005A3535">
        <w:trPr>
          <w:trHeight w:val="580"/>
        </w:trPr>
        <w:tc>
          <w:tcPr>
            <w:tcW w:w="4580" w:type="dxa"/>
            <w:tcBorders>
              <w:top w:val="nil"/>
              <w:left w:val="single" w:sz="4" w:space="0" w:color="auto"/>
              <w:bottom w:val="single" w:sz="4" w:space="0" w:color="auto"/>
              <w:right w:val="single" w:sz="4" w:space="0" w:color="auto"/>
            </w:tcBorders>
            <w:vAlign w:val="bottom"/>
            <w:hideMark/>
          </w:tcPr>
          <w:p w14:paraId="1AEAB457"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 xml:space="preserve">Service coordination (triage, assessment, referrals, case conferencing) </w:t>
            </w:r>
          </w:p>
        </w:tc>
        <w:tc>
          <w:tcPr>
            <w:tcW w:w="2020" w:type="dxa"/>
            <w:tcBorders>
              <w:top w:val="nil"/>
              <w:left w:val="nil"/>
              <w:bottom w:val="single" w:sz="4" w:space="0" w:color="auto"/>
              <w:right w:val="single" w:sz="4" w:space="0" w:color="auto"/>
            </w:tcBorders>
            <w:noWrap/>
            <w:vAlign w:val="bottom"/>
            <w:hideMark/>
          </w:tcPr>
          <w:p w14:paraId="39152BDF"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$283,880</w:t>
            </w:r>
          </w:p>
        </w:tc>
        <w:tc>
          <w:tcPr>
            <w:tcW w:w="1380" w:type="dxa"/>
            <w:tcBorders>
              <w:top w:val="nil"/>
              <w:left w:val="nil"/>
              <w:bottom w:val="single" w:sz="4" w:space="0" w:color="auto"/>
              <w:right w:val="single" w:sz="4" w:space="0" w:color="auto"/>
            </w:tcBorders>
            <w:noWrap/>
            <w:vAlign w:val="bottom"/>
            <w:hideMark/>
          </w:tcPr>
          <w:p w14:paraId="7C40E1AD"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2.79%</w:t>
            </w:r>
          </w:p>
        </w:tc>
      </w:tr>
      <w:tr w:rsidR="005A3535" w:rsidRPr="005A3535" w14:paraId="14A5B9BE" w14:textId="77777777" w:rsidTr="005A3535">
        <w:trPr>
          <w:trHeight w:val="580"/>
        </w:trPr>
        <w:tc>
          <w:tcPr>
            <w:tcW w:w="4580" w:type="dxa"/>
            <w:tcBorders>
              <w:top w:val="nil"/>
              <w:left w:val="single" w:sz="4" w:space="0" w:color="auto"/>
              <w:bottom w:val="single" w:sz="4" w:space="0" w:color="auto"/>
              <w:right w:val="single" w:sz="4" w:space="0" w:color="auto"/>
            </w:tcBorders>
            <w:vAlign w:val="bottom"/>
            <w:hideMark/>
          </w:tcPr>
          <w:p w14:paraId="10AB6649"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 xml:space="preserve">Service coordination for domestic violence survivors </w:t>
            </w:r>
          </w:p>
        </w:tc>
        <w:tc>
          <w:tcPr>
            <w:tcW w:w="2020" w:type="dxa"/>
            <w:tcBorders>
              <w:top w:val="nil"/>
              <w:left w:val="nil"/>
              <w:bottom w:val="single" w:sz="4" w:space="0" w:color="auto"/>
              <w:right w:val="single" w:sz="4" w:space="0" w:color="auto"/>
            </w:tcBorders>
            <w:noWrap/>
            <w:vAlign w:val="bottom"/>
            <w:hideMark/>
          </w:tcPr>
          <w:p w14:paraId="1A7FC8DA"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$276,444</w:t>
            </w:r>
          </w:p>
        </w:tc>
        <w:tc>
          <w:tcPr>
            <w:tcW w:w="1380" w:type="dxa"/>
            <w:tcBorders>
              <w:top w:val="nil"/>
              <w:left w:val="nil"/>
              <w:bottom w:val="single" w:sz="4" w:space="0" w:color="auto"/>
              <w:right w:val="single" w:sz="4" w:space="0" w:color="auto"/>
            </w:tcBorders>
            <w:noWrap/>
            <w:vAlign w:val="bottom"/>
            <w:hideMark/>
          </w:tcPr>
          <w:p w14:paraId="33490DDE"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2.72%</w:t>
            </w:r>
          </w:p>
        </w:tc>
      </w:tr>
      <w:tr w:rsidR="005A3535" w:rsidRPr="005A3535" w14:paraId="541E8942" w14:textId="77777777" w:rsidTr="005A3535">
        <w:trPr>
          <w:trHeight w:val="290"/>
        </w:trPr>
        <w:tc>
          <w:tcPr>
            <w:tcW w:w="4580" w:type="dxa"/>
            <w:tcBorders>
              <w:top w:val="nil"/>
              <w:left w:val="single" w:sz="4" w:space="0" w:color="auto"/>
              <w:bottom w:val="single" w:sz="4" w:space="0" w:color="auto"/>
              <w:right w:val="single" w:sz="4" w:space="0" w:color="auto"/>
            </w:tcBorders>
            <w:vAlign w:val="bottom"/>
            <w:hideMark/>
          </w:tcPr>
          <w:p w14:paraId="34D37B6D"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Outreach for unsheltered populations</w:t>
            </w:r>
          </w:p>
        </w:tc>
        <w:tc>
          <w:tcPr>
            <w:tcW w:w="2020" w:type="dxa"/>
            <w:tcBorders>
              <w:top w:val="nil"/>
              <w:left w:val="nil"/>
              <w:bottom w:val="single" w:sz="4" w:space="0" w:color="auto"/>
              <w:right w:val="single" w:sz="4" w:space="0" w:color="auto"/>
            </w:tcBorders>
            <w:noWrap/>
            <w:vAlign w:val="bottom"/>
            <w:hideMark/>
          </w:tcPr>
          <w:p w14:paraId="3032D06D"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$69,244</w:t>
            </w:r>
          </w:p>
        </w:tc>
        <w:tc>
          <w:tcPr>
            <w:tcW w:w="1380" w:type="dxa"/>
            <w:tcBorders>
              <w:top w:val="nil"/>
              <w:left w:val="nil"/>
              <w:bottom w:val="single" w:sz="4" w:space="0" w:color="auto"/>
              <w:right w:val="single" w:sz="4" w:space="0" w:color="auto"/>
            </w:tcBorders>
            <w:noWrap/>
            <w:vAlign w:val="bottom"/>
            <w:hideMark/>
          </w:tcPr>
          <w:p w14:paraId="2872B88C"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0.68%</w:t>
            </w:r>
          </w:p>
        </w:tc>
      </w:tr>
      <w:tr w:rsidR="005A3535" w:rsidRPr="005A3535" w14:paraId="1D8D644D" w14:textId="77777777" w:rsidTr="005A3535">
        <w:trPr>
          <w:trHeight w:val="580"/>
        </w:trPr>
        <w:tc>
          <w:tcPr>
            <w:tcW w:w="4580" w:type="dxa"/>
            <w:tcBorders>
              <w:top w:val="nil"/>
              <w:left w:val="single" w:sz="4" w:space="0" w:color="auto"/>
              <w:bottom w:val="single" w:sz="4" w:space="0" w:color="auto"/>
              <w:right w:val="single" w:sz="4" w:space="0" w:color="auto"/>
            </w:tcBorders>
            <w:vAlign w:val="bottom"/>
            <w:hideMark/>
          </w:tcPr>
          <w:p w14:paraId="32847DDF"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Outreach &amp; peer support for youth and young adults</w:t>
            </w:r>
          </w:p>
        </w:tc>
        <w:tc>
          <w:tcPr>
            <w:tcW w:w="2020" w:type="dxa"/>
            <w:tcBorders>
              <w:top w:val="nil"/>
              <w:left w:val="nil"/>
              <w:bottom w:val="single" w:sz="4" w:space="0" w:color="auto"/>
              <w:right w:val="single" w:sz="4" w:space="0" w:color="auto"/>
            </w:tcBorders>
            <w:noWrap/>
            <w:vAlign w:val="bottom"/>
            <w:hideMark/>
          </w:tcPr>
          <w:p w14:paraId="1FDDA623"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$497,265</w:t>
            </w:r>
          </w:p>
        </w:tc>
        <w:tc>
          <w:tcPr>
            <w:tcW w:w="1380" w:type="dxa"/>
            <w:tcBorders>
              <w:top w:val="nil"/>
              <w:left w:val="nil"/>
              <w:bottom w:val="single" w:sz="4" w:space="0" w:color="auto"/>
              <w:right w:val="single" w:sz="4" w:space="0" w:color="auto"/>
            </w:tcBorders>
            <w:noWrap/>
            <w:vAlign w:val="bottom"/>
            <w:hideMark/>
          </w:tcPr>
          <w:p w14:paraId="153B4331"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4.89%</w:t>
            </w:r>
          </w:p>
        </w:tc>
      </w:tr>
      <w:tr w:rsidR="005A3535" w:rsidRPr="005A3535" w14:paraId="6AA2D2A0" w14:textId="77777777" w:rsidTr="005A3535">
        <w:trPr>
          <w:trHeight w:val="290"/>
        </w:trPr>
        <w:tc>
          <w:tcPr>
            <w:tcW w:w="4580" w:type="dxa"/>
            <w:tcBorders>
              <w:top w:val="nil"/>
              <w:left w:val="single" w:sz="4" w:space="0" w:color="auto"/>
              <w:bottom w:val="single" w:sz="4" w:space="0" w:color="auto"/>
              <w:right w:val="single" w:sz="4" w:space="0" w:color="auto"/>
            </w:tcBorders>
            <w:vAlign w:val="bottom"/>
            <w:hideMark/>
          </w:tcPr>
          <w:p w14:paraId="544DABF9"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 xml:space="preserve">System data collection </w:t>
            </w:r>
          </w:p>
        </w:tc>
        <w:tc>
          <w:tcPr>
            <w:tcW w:w="2020" w:type="dxa"/>
            <w:tcBorders>
              <w:top w:val="nil"/>
              <w:left w:val="nil"/>
              <w:bottom w:val="single" w:sz="4" w:space="0" w:color="auto"/>
              <w:right w:val="single" w:sz="4" w:space="0" w:color="auto"/>
            </w:tcBorders>
            <w:noWrap/>
            <w:vAlign w:val="bottom"/>
            <w:hideMark/>
          </w:tcPr>
          <w:p w14:paraId="42CB4CAB"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$147,688</w:t>
            </w:r>
          </w:p>
        </w:tc>
        <w:tc>
          <w:tcPr>
            <w:tcW w:w="1380" w:type="dxa"/>
            <w:tcBorders>
              <w:top w:val="nil"/>
              <w:left w:val="nil"/>
              <w:bottom w:val="single" w:sz="4" w:space="0" w:color="auto"/>
              <w:right w:val="single" w:sz="4" w:space="0" w:color="auto"/>
            </w:tcBorders>
            <w:noWrap/>
            <w:vAlign w:val="bottom"/>
            <w:hideMark/>
          </w:tcPr>
          <w:p w14:paraId="0C491477"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1.45%</w:t>
            </w:r>
          </w:p>
        </w:tc>
      </w:tr>
      <w:tr w:rsidR="005A3535" w:rsidRPr="005A3535" w14:paraId="245CB79F" w14:textId="77777777" w:rsidTr="005A3535">
        <w:trPr>
          <w:trHeight w:val="290"/>
        </w:trPr>
        <w:tc>
          <w:tcPr>
            <w:tcW w:w="4580" w:type="dxa"/>
            <w:tcBorders>
              <w:top w:val="nil"/>
              <w:left w:val="single" w:sz="4" w:space="0" w:color="auto"/>
              <w:bottom w:val="single" w:sz="4" w:space="0" w:color="auto"/>
              <w:right w:val="single" w:sz="4" w:space="0" w:color="auto"/>
            </w:tcBorders>
            <w:vAlign w:val="bottom"/>
            <w:hideMark/>
          </w:tcPr>
          <w:p w14:paraId="03772337" w14:textId="77777777" w:rsidR="005A3535" w:rsidRPr="005A3535" w:rsidRDefault="005A3535" w:rsidP="005A3535">
            <w:pPr>
              <w:spacing w:after="0" w:line="240" w:lineRule="auto"/>
              <w:rPr>
                <w:rFonts w:ascii="Aptos Narrow" w:eastAsia="Times New Roman" w:hAnsi="Aptos Narrow" w:cs="Times New Roman"/>
                <w:b/>
                <w:bCs/>
                <w:color w:val="000000"/>
                <w:kern w:val="0"/>
                <w:sz w:val="22"/>
                <w:szCs w:val="22"/>
                <w14:ligatures w14:val="none"/>
              </w:rPr>
            </w:pPr>
            <w:r w:rsidRPr="005A3535">
              <w:rPr>
                <w:rFonts w:ascii="Aptos Narrow" w:eastAsia="Times New Roman" w:hAnsi="Aptos Narrow" w:cs="Times New Roman"/>
                <w:b/>
                <w:bCs/>
                <w:color w:val="000000"/>
                <w:kern w:val="0"/>
                <w:sz w:val="22"/>
                <w:szCs w:val="22"/>
                <w14:ligatures w14:val="none"/>
              </w:rPr>
              <w:t xml:space="preserve">Total competitive portfolio </w:t>
            </w:r>
          </w:p>
        </w:tc>
        <w:tc>
          <w:tcPr>
            <w:tcW w:w="2020" w:type="dxa"/>
            <w:tcBorders>
              <w:top w:val="nil"/>
              <w:left w:val="nil"/>
              <w:bottom w:val="single" w:sz="4" w:space="0" w:color="auto"/>
              <w:right w:val="single" w:sz="4" w:space="0" w:color="auto"/>
            </w:tcBorders>
            <w:noWrap/>
            <w:vAlign w:val="bottom"/>
            <w:hideMark/>
          </w:tcPr>
          <w:p w14:paraId="0C8E955A" w14:textId="77777777" w:rsidR="005A3535" w:rsidRPr="005A3535" w:rsidRDefault="005A3535" w:rsidP="005A3535">
            <w:pPr>
              <w:spacing w:after="0" w:line="240" w:lineRule="auto"/>
              <w:jc w:val="right"/>
              <w:rPr>
                <w:rFonts w:ascii="Aptos Narrow" w:eastAsia="Times New Roman" w:hAnsi="Aptos Narrow" w:cs="Times New Roman"/>
                <w:b/>
                <w:bCs/>
                <w:color w:val="000000"/>
                <w:kern w:val="0"/>
                <w:sz w:val="22"/>
                <w:szCs w:val="22"/>
                <w14:ligatures w14:val="none"/>
              </w:rPr>
            </w:pPr>
            <w:r w:rsidRPr="005A3535">
              <w:rPr>
                <w:rFonts w:ascii="Aptos Narrow" w:eastAsia="Times New Roman" w:hAnsi="Aptos Narrow" w:cs="Times New Roman"/>
                <w:b/>
                <w:bCs/>
                <w:color w:val="000000"/>
                <w:kern w:val="0"/>
                <w:sz w:val="22"/>
                <w:szCs w:val="22"/>
                <w14:ligatures w14:val="none"/>
              </w:rPr>
              <w:t>$10,177,535</w:t>
            </w:r>
          </w:p>
        </w:tc>
        <w:tc>
          <w:tcPr>
            <w:tcW w:w="1380" w:type="dxa"/>
            <w:tcBorders>
              <w:top w:val="nil"/>
              <w:left w:val="nil"/>
              <w:bottom w:val="single" w:sz="4" w:space="0" w:color="auto"/>
              <w:right w:val="single" w:sz="4" w:space="0" w:color="auto"/>
            </w:tcBorders>
            <w:noWrap/>
            <w:vAlign w:val="bottom"/>
            <w:hideMark/>
          </w:tcPr>
          <w:p w14:paraId="55046327"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 </w:t>
            </w:r>
          </w:p>
        </w:tc>
      </w:tr>
      <w:tr w:rsidR="005A3535" w:rsidRPr="005A3535" w14:paraId="75BE245B" w14:textId="77777777" w:rsidTr="005A3535">
        <w:trPr>
          <w:trHeight w:val="290"/>
        </w:trPr>
        <w:tc>
          <w:tcPr>
            <w:tcW w:w="4580" w:type="dxa"/>
            <w:tcBorders>
              <w:top w:val="nil"/>
              <w:left w:val="single" w:sz="4" w:space="0" w:color="auto"/>
              <w:bottom w:val="single" w:sz="4" w:space="0" w:color="auto"/>
              <w:right w:val="single" w:sz="4" w:space="0" w:color="auto"/>
            </w:tcBorders>
            <w:vAlign w:val="bottom"/>
            <w:hideMark/>
          </w:tcPr>
          <w:p w14:paraId="13FD0A2F"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Planning and support (non-competitive)</w:t>
            </w:r>
          </w:p>
        </w:tc>
        <w:tc>
          <w:tcPr>
            <w:tcW w:w="2020" w:type="dxa"/>
            <w:tcBorders>
              <w:top w:val="nil"/>
              <w:left w:val="nil"/>
              <w:bottom w:val="single" w:sz="4" w:space="0" w:color="auto"/>
              <w:right w:val="single" w:sz="4" w:space="0" w:color="auto"/>
            </w:tcBorders>
            <w:noWrap/>
            <w:vAlign w:val="bottom"/>
            <w:hideMark/>
          </w:tcPr>
          <w:p w14:paraId="6D7C621F" w14:textId="77777777" w:rsidR="005A3535" w:rsidRPr="005A3535" w:rsidRDefault="005A3535" w:rsidP="005A3535">
            <w:pPr>
              <w:spacing w:after="0" w:line="240" w:lineRule="auto"/>
              <w:jc w:val="right"/>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$415,693</w:t>
            </w:r>
          </w:p>
        </w:tc>
        <w:tc>
          <w:tcPr>
            <w:tcW w:w="1380" w:type="dxa"/>
            <w:tcBorders>
              <w:top w:val="nil"/>
              <w:left w:val="nil"/>
              <w:bottom w:val="single" w:sz="4" w:space="0" w:color="auto"/>
              <w:right w:val="single" w:sz="4" w:space="0" w:color="auto"/>
            </w:tcBorders>
            <w:noWrap/>
            <w:vAlign w:val="bottom"/>
            <w:hideMark/>
          </w:tcPr>
          <w:p w14:paraId="57CD302D"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 </w:t>
            </w:r>
          </w:p>
        </w:tc>
      </w:tr>
      <w:tr w:rsidR="005A3535" w:rsidRPr="005A3535" w14:paraId="6C8D7468" w14:textId="77777777" w:rsidTr="005A3535">
        <w:trPr>
          <w:trHeight w:val="290"/>
        </w:trPr>
        <w:tc>
          <w:tcPr>
            <w:tcW w:w="4580" w:type="dxa"/>
            <w:tcBorders>
              <w:top w:val="nil"/>
              <w:left w:val="single" w:sz="4" w:space="0" w:color="auto"/>
              <w:bottom w:val="single" w:sz="4" w:space="0" w:color="auto"/>
              <w:right w:val="single" w:sz="4" w:space="0" w:color="auto"/>
            </w:tcBorders>
            <w:vAlign w:val="bottom"/>
            <w:hideMark/>
          </w:tcPr>
          <w:p w14:paraId="1A85BA7C" w14:textId="77777777" w:rsidR="005A3535" w:rsidRPr="005A3535" w:rsidRDefault="005A3535" w:rsidP="005A3535">
            <w:pPr>
              <w:spacing w:after="0" w:line="240" w:lineRule="auto"/>
              <w:rPr>
                <w:rFonts w:ascii="Aptos Narrow" w:eastAsia="Times New Roman" w:hAnsi="Aptos Narrow" w:cs="Times New Roman"/>
                <w:b/>
                <w:bCs/>
                <w:color w:val="000000"/>
                <w:kern w:val="0"/>
                <w:sz w:val="22"/>
                <w:szCs w:val="22"/>
                <w14:ligatures w14:val="none"/>
              </w:rPr>
            </w:pPr>
            <w:r w:rsidRPr="005A3535">
              <w:rPr>
                <w:rFonts w:ascii="Aptos Narrow" w:eastAsia="Times New Roman" w:hAnsi="Aptos Narrow" w:cs="Times New Roman"/>
                <w:b/>
                <w:bCs/>
                <w:color w:val="000000"/>
                <w:kern w:val="0"/>
                <w:sz w:val="22"/>
                <w:szCs w:val="22"/>
                <w14:ligatures w14:val="none"/>
              </w:rPr>
              <w:t>Total FY25 CoC Award for VA-500</w:t>
            </w:r>
          </w:p>
        </w:tc>
        <w:tc>
          <w:tcPr>
            <w:tcW w:w="2020" w:type="dxa"/>
            <w:tcBorders>
              <w:top w:val="nil"/>
              <w:left w:val="nil"/>
              <w:bottom w:val="single" w:sz="4" w:space="0" w:color="auto"/>
              <w:right w:val="single" w:sz="4" w:space="0" w:color="auto"/>
            </w:tcBorders>
            <w:noWrap/>
            <w:vAlign w:val="bottom"/>
            <w:hideMark/>
          </w:tcPr>
          <w:p w14:paraId="174FF19A" w14:textId="77777777" w:rsidR="005A3535" w:rsidRPr="005A3535" w:rsidRDefault="005A3535" w:rsidP="005A3535">
            <w:pPr>
              <w:spacing w:after="0" w:line="240" w:lineRule="auto"/>
              <w:jc w:val="right"/>
              <w:rPr>
                <w:rFonts w:ascii="Aptos Narrow" w:eastAsia="Times New Roman" w:hAnsi="Aptos Narrow" w:cs="Times New Roman"/>
                <w:b/>
                <w:bCs/>
                <w:color w:val="000000"/>
                <w:kern w:val="0"/>
                <w:sz w:val="22"/>
                <w:szCs w:val="22"/>
                <w14:ligatures w14:val="none"/>
              </w:rPr>
            </w:pPr>
            <w:r w:rsidRPr="005A3535">
              <w:rPr>
                <w:rFonts w:ascii="Aptos Narrow" w:eastAsia="Times New Roman" w:hAnsi="Aptos Narrow" w:cs="Times New Roman"/>
                <w:b/>
                <w:bCs/>
                <w:color w:val="000000"/>
                <w:kern w:val="0"/>
                <w:sz w:val="22"/>
                <w:szCs w:val="22"/>
                <w14:ligatures w14:val="none"/>
              </w:rPr>
              <w:t>$10,593,228</w:t>
            </w:r>
          </w:p>
        </w:tc>
        <w:tc>
          <w:tcPr>
            <w:tcW w:w="1380" w:type="dxa"/>
            <w:tcBorders>
              <w:top w:val="nil"/>
              <w:left w:val="nil"/>
              <w:bottom w:val="single" w:sz="4" w:space="0" w:color="auto"/>
              <w:right w:val="single" w:sz="4" w:space="0" w:color="auto"/>
            </w:tcBorders>
            <w:noWrap/>
            <w:vAlign w:val="bottom"/>
            <w:hideMark/>
          </w:tcPr>
          <w:p w14:paraId="70F47084" w14:textId="77777777" w:rsidR="005A3535" w:rsidRPr="005A3535" w:rsidRDefault="005A3535" w:rsidP="005A3535">
            <w:pPr>
              <w:spacing w:after="0" w:line="240" w:lineRule="auto"/>
              <w:rPr>
                <w:rFonts w:ascii="Aptos Narrow" w:eastAsia="Times New Roman" w:hAnsi="Aptos Narrow" w:cs="Times New Roman"/>
                <w:color w:val="000000"/>
                <w:kern w:val="0"/>
                <w:sz w:val="22"/>
                <w:szCs w:val="22"/>
                <w14:ligatures w14:val="none"/>
              </w:rPr>
            </w:pPr>
            <w:r w:rsidRPr="005A3535">
              <w:rPr>
                <w:rFonts w:ascii="Aptos Narrow" w:eastAsia="Times New Roman" w:hAnsi="Aptos Narrow" w:cs="Times New Roman"/>
                <w:color w:val="000000"/>
                <w:kern w:val="0"/>
                <w:sz w:val="22"/>
                <w:szCs w:val="22"/>
                <w14:ligatures w14:val="none"/>
              </w:rPr>
              <w:t> </w:t>
            </w:r>
          </w:p>
        </w:tc>
      </w:tr>
    </w:tbl>
    <w:p w14:paraId="39552C2C" w14:textId="77777777" w:rsidR="008D61F5" w:rsidRDefault="008D61F5">
      <w:pPr>
        <w:rPr>
          <w:sz w:val="22"/>
          <w:szCs w:val="22"/>
        </w:rPr>
      </w:pPr>
    </w:p>
    <w:p w14:paraId="54E6A4BD" w14:textId="0AD1E896" w:rsidR="00452F28" w:rsidRDefault="004B389E">
      <w:pPr>
        <w:rPr>
          <w:sz w:val="22"/>
          <w:szCs w:val="22"/>
        </w:rPr>
      </w:pPr>
      <w:r>
        <w:rPr>
          <w:b/>
          <w:bCs/>
          <w:sz w:val="22"/>
          <w:szCs w:val="22"/>
        </w:rPr>
        <w:t>Changes to the FY2026 CoC Funding competition</w:t>
      </w:r>
      <w:r>
        <w:rPr>
          <w:sz w:val="22"/>
          <w:szCs w:val="22"/>
        </w:rPr>
        <w:t>:</w:t>
      </w:r>
    </w:p>
    <w:p w14:paraId="3E2BE35D" w14:textId="63510074" w:rsidR="004B389E" w:rsidRDefault="004B389E" w:rsidP="004B389E">
      <w:pPr>
        <w:pStyle w:val="ListParagraph"/>
        <w:numPr>
          <w:ilvl w:val="0"/>
          <w:numId w:val="2"/>
        </w:numPr>
        <w:rPr>
          <w:sz w:val="22"/>
          <w:szCs w:val="22"/>
        </w:rPr>
      </w:pPr>
      <w:r>
        <w:rPr>
          <w:sz w:val="22"/>
          <w:szCs w:val="22"/>
        </w:rPr>
        <w:t xml:space="preserve">Overall, the HUD administration is moving away from </w:t>
      </w:r>
      <w:r w:rsidR="0073169C">
        <w:rPr>
          <w:sz w:val="22"/>
          <w:szCs w:val="22"/>
        </w:rPr>
        <w:t xml:space="preserve">proven housing-focused approaches </w:t>
      </w:r>
      <w:r w:rsidR="004303BD">
        <w:rPr>
          <w:sz w:val="22"/>
          <w:szCs w:val="22"/>
        </w:rPr>
        <w:t xml:space="preserve">and permanent housing programs that combine rental assistance and supportive services </w:t>
      </w:r>
      <w:r w:rsidR="0073169C">
        <w:rPr>
          <w:sz w:val="22"/>
          <w:szCs w:val="22"/>
        </w:rPr>
        <w:t>to prioritize</w:t>
      </w:r>
      <w:r w:rsidR="004303BD">
        <w:rPr>
          <w:sz w:val="22"/>
          <w:szCs w:val="22"/>
        </w:rPr>
        <w:t xml:space="preserve"> transitional housing and</w:t>
      </w:r>
      <w:r w:rsidR="0073169C">
        <w:rPr>
          <w:sz w:val="22"/>
          <w:szCs w:val="22"/>
        </w:rPr>
        <w:t xml:space="preserve"> programming that centers treatment for substance use disorders</w:t>
      </w:r>
      <w:r w:rsidR="008B4B62">
        <w:rPr>
          <w:sz w:val="22"/>
          <w:szCs w:val="22"/>
        </w:rPr>
        <w:t xml:space="preserve">. </w:t>
      </w:r>
    </w:p>
    <w:p w14:paraId="398E9D99" w14:textId="13D7C1E8" w:rsidR="008B4B62" w:rsidRDefault="008B4B62" w:rsidP="004B389E">
      <w:pPr>
        <w:pStyle w:val="ListParagraph"/>
        <w:numPr>
          <w:ilvl w:val="0"/>
          <w:numId w:val="2"/>
        </w:numPr>
        <w:rPr>
          <w:sz w:val="22"/>
          <w:szCs w:val="22"/>
        </w:rPr>
      </w:pPr>
      <w:r>
        <w:rPr>
          <w:sz w:val="22"/>
          <w:szCs w:val="22"/>
        </w:rPr>
        <w:t xml:space="preserve">Our community can prioritize </w:t>
      </w:r>
      <w:r w:rsidRPr="00C825C6">
        <w:rPr>
          <w:b/>
          <w:bCs/>
          <w:sz w:val="22"/>
          <w:szCs w:val="22"/>
        </w:rPr>
        <w:t>60%</w:t>
      </w:r>
      <w:r>
        <w:rPr>
          <w:sz w:val="22"/>
          <w:szCs w:val="22"/>
        </w:rPr>
        <w:t xml:space="preserve"> of our current Annual Renewal Demand in “Tier 1.” </w:t>
      </w:r>
      <w:r w:rsidR="001B54DC">
        <w:rPr>
          <w:sz w:val="22"/>
          <w:szCs w:val="22"/>
        </w:rPr>
        <w:t>H</w:t>
      </w:r>
      <w:r w:rsidR="00C825C6">
        <w:rPr>
          <w:sz w:val="22"/>
          <w:szCs w:val="22"/>
        </w:rPr>
        <w:t>UD</w:t>
      </w:r>
      <w:r w:rsidR="001B54DC">
        <w:rPr>
          <w:sz w:val="22"/>
          <w:szCs w:val="22"/>
        </w:rPr>
        <w:t xml:space="preserve"> will release the official amounts for this and other components soon. </w:t>
      </w:r>
    </w:p>
    <w:p w14:paraId="6423A614" w14:textId="6C3CD790" w:rsidR="00C825C6" w:rsidRDefault="00C825C6" w:rsidP="00C825C6">
      <w:pPr>
        <w:pStyle w:val="ListParagraph"/>
        <w:numPr>
          <w:ilvl w:val="1"/>
          <w:numId w:val="2"/>
        </w:numPr>
        <w:rPr>
          <w:sz w:val="22"/>
          <w:szCs w:val="22"/>
        </w:rPr>
      </w:pPr>
      <w:r>
        <w:rPr>
          <w:sz w:val="22"/>
          <w:szCs w:val="22"/>
        </w:rPr>
        <w:t xml:space="preserve">Historically, Tier 1 has been set to 90% to prioritize local control of the funding. </w:t>
      </w:r>
    </w:p>
    <w:p w14:paraId="555CFEEA" w14:textId="096C80D1" w:rsidR="00873B5B" w:rsidRDefault="00873B5B" w:rsidP="00C825C6">
      <w:pPr>
        <w:pStyle w:val="ListParagraph"/>
        <w:numPr>
          <w:ilvl w:val="1"/>
          <w:numId w:val="2"/>
        </w:numPr>
        <w:rPr>
          <w:sz w:val="22"/>
          <w:szCs w:val="22"/>
        </w:rPr>
      </w:pPr>
      <w:r>
        <w:rPr>
          <w:sz w:val="22"/>
          <w:szCs w:val="22"/>
        </w:rPr>
        <w:t xml:space="preserve">Tier 1 projects must meet quality standards and undefined risk and merit reviews. </w:t>
      </w:r>
    </w:p>
    <w:p w14:paraId="6475BB8E" w14:textId="2FAD3D83" w:rsidR="00B222FE" w:rsidRDefault="00B222FE" w:rsidP="00C825C6">
      <w:pPr>
        <w:pStyle w:val="ListParagraph"/>
        <w:numPr>
          <w:ilvl w:val="1"/>
          <w:numId w:val="2"/>
        </w:numPr>
        <w:rPr>
          <w:sz w:val="22"/>
          <w:szCs w:val="22"/>
        </w:rPr>
      </w:pPr>
      <w:r>
        <w:rPr>
          <w:sz w:val="22"/>
          <w:szCs w:val="22"/>
        </w:rPr>
        <w:t>Renewal programs are more likely to be funded i</w:t>
      </w:r>
      <w:r w:rsidR="00552341">
        <w:rPr>
          <w:sz w:val="22"/>
          <w:szCs w:val="22"/>
        </w:rPr>
        <w:t>f</w:t>
      </w:r>
      <w:r>
        <w:rPr>
          <w:sz w:val="22"/>
          <w:szCs w:val="22"/>
        </w:rPr>
        <w:t xml:space="preserve"> they are included in Tier 1.</w:t>
      </w:r>
    </w:p>
    <w:p w14:paraId="65764BBC" w14:textId="248B34C6" w:rsidR="00C825C6" w:rsidRDefault="00C825C6" w:rsidP="00C825C6">
      <w:pPr>
        <w:pStyle w:val="ListParagraph"/>
        <w:numPr>
          <w:ilvl w:val="0"/>
          <w:numId w:val="2"/>
        </w:numPr>
        <w:rPr>
          <w:sz w:val="22"/>
          <w:szCs w:val="22"/>
        </w:rPr>
      </w:pPr>
      <w:r>
        <w:rPr>
          <w:sz w:val="22"/>
          <w:szCs w:val="22"/>
        </w:rPr>
        <w:t>HUD will prioritize the following application types:</w:t>
      </w:r>
    </w:p>
    <w:p w14:paraId="0B63C3BE" w14:textId="65F2A8C4" w:rsidR="00C825C6" w:rsidRDefault="00753ACC" w:rsidP="00C825C6">
      <w:pPr>
        <w:pStyle w:val="ListParagraph"/>
        <w:numPr>
          <w:ilvl w:val="1"/>
          <w:numId w:val="2"/>
        </w:numPr>
        <w:rPr>
          <w:sz w:val="22"/>
          <w:szCs w:val="22"/>
        </w:rPr>
      </w:pPr>
      <w:r>
        <w:rPr>
          <w:sz w:val="22"/>
          <w:szCs w:val="22"/>
        </w:rPr>
        <w:t>Transitional housing projects</w:t>
      </w:r>
    </w:p>
    <w:p w14:paraId="48C7DBE5" w14:textId="145629BA" w:rsidR="00753ACC" w:rsidRDefault="00753ACC" w:rsidP="00C825C6">
      <w:pPr>
        <w:pStyle w:val="ListParagraph"/>
        <w:numPr>
          <w:ilvl w:val="1"/>
          <w:numId w:val="2"/>
        </w:numPr>
        <w:rPr>
          <w:sz w:val="22"/>
          <w:szCs w:val="22"/>
        </w:rPr>
      </w:pPr>
      <w:r>
        <w:rPr>
          <w:sz w:val="22"/>
          <w:szCs w:val="22"/>
        </w:rPr>
        <w:t>Supportive Services Only projects including:</w:t>
      </w:r>
    </w:p>
    <w:p w14:paraId="2B69406F" w14:textId="2F10F030" w:rsidR="00753ACC" w:rsidRDefault="00CE5A7F" w:rsidP="00753ACC">
      <w:pPr>
        <w:pStyle w:val="ListParagraph"/>
        <w:numPr>
          <w:ilvl w:val="2"/>
          <w:numId w:val="2"/>
        </w:numPr>
        <w:rPr>
          <w:sz w:val="22"/>
          <w:szCs w:val="22"/>
        </w:rPr>
      </w:pPr>
      <w:r>
        <w:rPr>
          <w:sz w:val="22"/>
          <w:szCs w:val="22"/>
        </w:rPr>
        <w:t xml:space="preserve">Supportive services not tied to a housing </w:t>
      </w:r>
      <w:r w:rsidR="00912A43">
        <w:rPr>
          <w:sz w:val="22"/>
          <w:szCs w:val="22"/>
        </w:rPr>
        <w:t>program</w:t>
      </w:r>
    </w:p>
    <w:p w14:paraId="70C8A11A" w14:textId="7B56D023" w:rsidR="00912A43" w:rsidRDefault="00912A43" w:rsidP="00753ACC">
      <w:pPr>
        <w:pStyle w:val="ListParagraph"/>
        <w:numPr>
          <w:ilvl w:val="2"/>
          <w:numId w:val="2"/>
        </w:numPr>
        <w:rPr>
          <w:sz w:val="22"/>
          <w:szCs w:val="22"/>
        </w:rPr>
      </w:pPr>
      <w:r>
        <w:rPr>
          <w:sz w:val="22"/>
          <w:szCs w:val="22"/>
        </w:rPr>
        <w:lastRenderedPageBreak/>
        <w:t>Street outreach (that partners with law enforcement)</w:t>
      </w:r>
    </w:p>
    <w:p w14:paraId="413FE743" w14:textId="586EE5A3" w:rsidR="00912A43" w:rsidRDefault="00F1234A" w:rsidP="00753ACC">
      <w:pPr>
        <w:pStyle w:val="ListParagraph"/>
        <w:numPr>
          <w:ilvl w:val="2"/>
          <w:numId w:val="2"/>
        </w:numPr>
        <w:rPr>
          <w:sz w:val="22"/>
          <w:szCs w:val="22"/>
        </w:rPr>
      </w:pPr>
      <w:r>
        <w:rPr>
          <w:sz w:val="22"/>
          <w:szCs w:val="22"/>
        </w:rPr>
        <w:t>Coordinated entry projects</w:t>
      </w:r>
    </w:p>
    <w:p w14:paraId="2D4014FA" w14:textId="2F9A56A9" w:rsidR="00F1234A" w:rsidRDefault="00C3501C" w:rsidP="00F1234A">
      <w:pPr>
        <w:pStyle w:val="ListParagraph"/>
        <w:numPr>
          <w:ilvl w:val="1"/>
          <w:numId w:val="2"/>
        </w:numPr>
        <w:rPr>
          <w:sz w:val="22"/>
          <w:szCs w:val="22"/>
        </w:rPr>
      </w:pPr>
      <w:r>
        <w:rPr>
          <w:sz w:val="22"/>
          <w:szCs w:val="22"/>
        </w:rPr>
        <w:t xml:space="preserve">Domestic violence bonus projects (including transitional housing) </w:t>
      </w:r>
    </w:p>
    <w:p w14:paraId="5EE43BF0" w14:textId="77777777" w:rsidR="00473C1C" w:rsidRDefault="009D332F" w:rsidP="00B222FE">
      <w:pPr>
        <w:pStyle w:val="ListParagraph"/>
        <w:numPr>
          <w:ilvl w:val="0"/>
          <w:numId w:val="2"/>
        </w:numPr>
        <w:rPr>
          <w:sz w:val="22"/>
          <w:szCs w:val="22"/>
        </w:rPr>
      </w:pPr>
      <w:r>
        <w:rPr>
          <w:sz w:val="22"/>
          <w:szCs w:val="22"/>
        </w:rPr>
        <w:t xml:space="preserve">HUD is encouraging applications from new agencies not previously funded </w:t>
      </w:r>
      <w:r w:rsidR="00DC39E6">
        <w:rPr>
          <w:sz w:val="22"/>
          <w:szCs w:val="22"/>
        </w:rPr>
        <w:t xml:space="preserve">by HUD CoC. </w:t>
      </w:r>
    </w:p>
    <w:p w14:paraId="37516D51" w14:textId="79D0EB6A" w:rsidR="00B222FE" w:rsidRDefault="00DC39E6" w:rsidP="00473C1C">
      <w:pPr>
        <w:pStyle w:val="ListParagraph"/>
        <w:numPr>
          <w:ilvl w:val="1"/>
          <w:numId w:val="2"/>
        </w:numPr>
        <w:rPr>
          <w:sz w:val="22"/>
          <w:szCs w:val="22"/>
        </w:rPr>
      </w:pPr>
      <w:r>
        <w:rPr>
          <w:sz w:val="22"/>
          <w:szCs w:val="22"/>
        </w:rPr>
        <w:t xml:space="preserve">HUD has emphasized this opportunity for faith-based organizations. </w:t>
      </w:r>
    </w:p>
    <w:p w14:paraId="68F0555B" w14:textId="66CEB8F6" w:rsidR="00D52F60" w:rsidRDefault="00D52F60" w:rsidP="00D52F60">
      <w:pPr>
        <w:pStyle w:val="ListParagraph"/>
        <w:numPr>
          <w:ilvl w:val="0"/>
          <w:numId w:val="2"/>
        </w:numPr>
        <w:rPr>
          <w:sz w:val="22"/>
          <w:szCs w:val="22"/>
        </w:rPr>
      </w:pPr>
      <w:r>
        <w:rPr>
          <w:sz w:val="22"/>
          <w:szCs w:val="22"/>
        </w:rPr>
        <w:t xml:space="preserve">HUD policy priorities </w:t>
      </w:r>
      <w:r w:rsidR="00945E9A">
        <w:rPr>
          <w:sz w:val="22"/>
          <w:szCs w:val="22"/>
        </w:rPr>
        <w:t xml:space="preserve">include </w:t>
      </w:r>
    </w:p>
    <w:p w14:paraId="2A4A0ED0" w14:textId="77777777" w:rsidR="0036368D" w:rsidRDefault="0036368D" w:rsidP="00945E9A">
      <w:pPr>
        <w:pStyle w:val="ListParagraph"/>
        <w:numPr>
          <w:ilvl w:val="1"/>
          <w:numId w:val="2"/>
        </w:numPr>
        <w:rPr>
          <w:sz w:val="22"/>
          <w:szCs w:val="22"/>
        </w:rPr>
      </w:pPr>
      <w:r>
        <w:rPr>
          <w:sz w:val="22"/>
          <w:szCs w:val="22"/>
        </w:rPr>
        <w:t xml:space="preserve">The availability of treatment and recovery programs in the CoC </w:t>
      </w:r>
    </w:p>
    <w:p w14:paraId="014892CF" w14:textId="4FDA865B" w:rsidR="00945E9A" w:rsidRDefault="00945E9A" w:rsidP="00945E9A">
      <w:pPr>
        <w:pStyle w:val="ListParagraph"/>
        <w:numPr>
          <w:ilvl w:val="1"/>
          <w:numId w:val="2"/>
        </w:numPr>
        <w:rPr>
          <w:sz w:val="22"/>
          <w:szCs w:val="22"/>
        </w:rPr>
      </w:pPr>
      <w:r>
        <w:rPr>
          <w:sz w:val="22"/>
          <w:szCs w:val="22"/>
        </w:rPr>
        <w:t>Cooperation with law enforcement</w:t>
      </w:r>
      <w:r w:rsidR="001E164A">
        <w:rPr>
          <w:sz w:val="22"/>
          <w:szCs w:val="22"/>
        </w:rPr>
        <w:t xml:space="preserve"> </w:t>
      </w:r>
    </w:p>
    <w:p w14:paraId="5459430D" w14:textId="7B6C757C" w:rsidR="00945E9A" w:rsidRDefault="00945E9A" w:rsidP="00945E9A">
      <w:pPr>
        <w:pStyle w:val="ListParagraph"/>
        <w:numPr>
          <w:ilvl w:val="1"/>
          <w:numId w:val="2"/>
        </w:numPr>
        <w:rPr>
          <w:sz w:val="22"/>
          <w:szCs w:val="22"/>
        </w:rPr>
      </w:pPr>
      <w:r>
        <w:rPr>
          <w:sz w:val="22"/>
          <w:szCs w:val="22"/>
        </w:rPr>
        <w:t xml:space="preserve">Requiring program participants to participate in services (including employment or volunteering) </w:t>
      </w:r>
      <w:r w:rsidR="003F2059">
        <w:rPr>
          <w:sz w:val="22"/>
          <w:szCs w:val="22"/>
        </w:rPr>
        <w:t>to</w:t>
      </w:r>
      <w:r>
        <w:rPr>
          <w:sz w:val="22"/>
          <w:szCs w:val="22"/>
        </w:rPr>
        <w:t xml:space="preserve"> receive assistance </w:t>
      </w:r>
    </w:p>
    <w:p w14:paraId="6BBAA10C" w14:textId="68595A6A" w:rsidR="003F2059" w:rsidRDefault="003F2059" w:rsidP="00945E9A">
      <w:pPr>
        <w:pStyle w:val="ListParagraph"/>
        <w:numPr>
          <w:ilvl w:val="1"/>
          <w:numId w:val="2"/>
        </w:numPr>
        <w:rPr>
          <w:sz w:val="22"/>
          <w:szCs w:val="22"/>
        </w:rPr>
      </w:pPr>
      <w:r>
        <w:rPr>
          <w:sz w:val="22"/>
          <w:szCs w:val="22"/>
        </w:rPr>
        <w:t xml:space="preserve">Not </w:t>
      </w:r>
      <w:r w:rsidR="00A42738">
        <w:rPr>
          <w:sz w:val="22"/>
          <w:szCs w:val="22"/>
        </w:rPr>
        <w:t xml:space="preserve">engaging in </w:t>
      </w:r>
      <w:r w:rsidR="004E2C85">
        <w:rPr>
          <w:sz w:val="22"/>
          <w:szCs w:val="22"/>
        </w:rPr>
        <w:t xml:space="preserve">“illegal racial discrimination” </w:t>
      </w:r>
    </w:p>
    <w:p w14:paraId="47A6D47D" w14:textId="24088E1B" w:rsidR="004E2C85" w:rsidRDefault="004E2C85" w:rsidP="00945E9A">
      <w:pPr>
        <w:pStyle w:val="ListParagraph"/>
        <w:numPr>
          <w:ilvl w:val="1"/>
          <w:numId w:val="2"/>
        </w:numPr>
        <w:rPr>
          <w:sz w:val="22"/>
          <w:szCs w:val="22"/>
        </w:rPr>
      </w:pPr>
      <w:r>
        <w:rPr>
          <w:sz w:val="22"/>
          <w:szCs w:val="22"/>
        </w:rPr>
        <w:t>Not operating drug injection or safe consumption sites</w:t>
      </w:r>
      <w:r w:rsidR="001E164A">
        <w:rPr>
          <w:sz w:val="22"/>
          <w:szCs w:val="22"/>
        </w:rPr>
        <w:t xml:space="preserve"> or using harm reduction </w:t>
      </w:r>
      <w:r w:rsidR="00B70032">
        <w:rPr>
          <w:sz w:val="22"/>
          <w:szCs w:val="22"/>
        </w:rPr>
        <w:t>methods</w:t>
      </w:r>
    </w:p>
    <w:p w14:paraId="74F37D26" w14:textId="6056BAD5" w:rsidR="001E164A" w:rsidRDefault="001E164A" w:rsidP="001E164A">
      <w:pPr>
        <w:rPr>
          <w:sz w:val="22"/>
          <w:szCs w:val="22"/>
        </w:rPr>
      </w:pPr>
      <w:r>
        <w:rPr>
          <w:b/>
          <w:bCs/>
          <w:sz w:val="22"/>
          <w:szCs w:val="22"/>
        </w:rPr>
        <w:t>Competition Scoring:</w:t>
      </w:r>
      <w:r>
        <w:rPr>
          <w:sz w:val="22"/>
          <w:szCs w:val="22"/>
        </w:rPr>
        <w:t xml:space="preserve"> HUD has provided a generalized points schema to be used to determine the level of funding available. See the full NOFO for more details and more analysis will be coming</w:t>
      </w:r>
      <w:r w:rsidR="002D31CB">
        <w:rPr>
          <w:sz w:val="22"/>
          <w:szCs w:val="22"/>
        </w:rPr>
        <w:t xml:space="preserve"> if HUD provides more details on some of the new measures. </w:t>
      </w:r>
      <w:r w:rsidR="009C76FF">
        <w:rPr>
          <w:sz w:val="22"/>
          <w:szCs w:val="22"/>
        </w:rPr>
        <w:t xml:space="preserve">Total points available are 200. </w:t>
      </w:r>
    </w:p>
    <w:p w14:paraId="13CC90D1" w14:textId="180A0938" w:rsidR="009C76FF" w:rsidRDefault="009C76FF" w:rsidP="009C76FF">
      <w:pPr>
        <w:pStyle w:val="ListParagraph"/>
        <w:numPr>
          <w:ilvl w:val="0"/>
          <w:numId w:val="3"/>
        </w:numPr>
        <w:rPr>
          <w:sz w:val="22"/>
          <w:szCs w:val="22"/>
        </w:rPr>
      </w:pPr>
      <w:r>
        <w:rPr>
          <w:sz w:val="22"/>
          <w:szCs w:val="22"/>
        </w:rPr>
        <w:t>Project Capacity, Review, and Ranking:</w:t>
      </w:r>
      <w:r w:rsidR="0009063F">
        <w:rPr>
          <w:sz w:val="22"/>
          <w:szCs w:val="22"/>
        </w:rPr>
        <w:t xml:space="preserve"> 14 points </w:t>
      </w:r>
    </w:p>
    <w:p w14:paraId="13D9A98C" w14:textId="485AA212" w:rsidR="0009063F" w:rsidRDefault="0009063F" w:rsidP="0009063F">
      <w:pPr>
        <w:pStyle w:val="ListParagraph"/>
        <w:numPr>
          <w:ilvl w:val="1"/>
          <w:numId w:val="3"/>
        </w:numPr>
        <w:rPr>
          <w:sz w:val="22"/>
          <w:szCs w:val="22"/>
        </w:rPr>
      </w:pPr>
      <w:r>
        <w:rPr>
          <w:sz w:val="22"/>
          <w:szCs w:val="22"/>
        </w:rPr>
        <w:t>Measures the existence of a coordinated, inclusive, and outcome-oriented community funding process</w:t>
      </w:r>
    </w:p>
    <w:p w14:paraId="56325E90" w14:textId="70AD5544" w:rsidR="0009063F" w:rsidRDefault="00E448C3" w:rsidP="0009063F">
      <w:pPr>
        <w:pStyle w:val="ListParagraph"/>
        <w:numPr>
          <w:ilvl w:val="0"/>
          <w:numId w:val="3"/>
        </w:numPr>
        <w:rPr>
          <w:sz w:val="22"/>
          <w:szCs w:val="22"/>
        </w:rPr>
      </w:pPr>
      <w:r>
        <w:rPr>
          <w:sz w:val="22"/>
          <w:szCs w:val="22"/>
        </w:rPr>
        <w:t>System Performance: 64 points</w:t>
      </w:r>
    </w:p>
    <w:p w14:paraId="3E05097F" w14:textId="60F1C318" w:rsidR="00E448C3" w:rsidRDefault="00E448C3" w:rsidP="00E448C3">
      <w:pPr>
        <w:pStyle w:val="ListParagraph"/>
        <w:numPr>
          <w:ilvl w:val="1"/>
          <w:numId w:val="3"/>
        </w:numPr>
        <w:rPr>
          <w:sz w:val="22"/>
          <w:szCs w:val="22"/>
        </w:rPr>
      </w:pPr>
      <w:r>
        <w:rPr>
          <w:sz w:val="22"/>
          <w:szCs w:val="22"/>
        </w:rPr>
        <w:t xml:space="preserve">System-wide performance measurement process </w:t>
      </w:r>
      <w:r w:rsidR="00836E14">
        <w:rPr>
          <w:sz w:val="22"/>
          <w:szCs w:val="22"/>
        </w:rPr>
        <w:t>related to reducing homelessness</w:t>
      </w:r>
    </w:p>
    <w:p w14:paraId="78E68577" w14:textId="3AFCA4CF" w:rsidR="007F0CEF" w:rsidRDefault="00836E14" w:rsidP="007F0CEF">
      <w:pPr>
        <w:pStyle w:val="ListParagraph"/>
        <w:numPr>
          <w:ilvl w:val="1"/>
          <w:numId w:val="3"/>
        </w:numPr>
        <w:rPr>
          <w:sz w:val="22"/>
          <w:szCs w:val="22"/>
        </w:rPr>
      </w:pPr>
      <w:r>
        <w:rPr>
          <w:sz w:val="22"/>
          <w:szCs w:val="22"/>
        </w:rPr>
        <w:t>Includes reducing encampments, reductions in the Point-in-time count from 2024</w:t>
      </w:r>
      <w:r w:rsidR="007F0CEF">
        <w:rPr>
          <w:sz w:val="22"/>
          <w:szCs w:val="22"/>
        </w:rPr>
        <w:t xml:space="preserve">, exits to “unsubsidized housing” </w:t>
      </w:r>
    </w:p>
    <w:p w14:paraId="2DDF7FF0" w14:textId="397B283C" w:rsidR="007F0CEF" w:rsidRDefault="007F0CEF" w:rsidP="007F0CEF">
      <w:pPr>
        <w:pStyle w:val="ListParagraph"/>
        <w:numPr>
          <w:ilvl w:val="1"/>
          <w:numId w:val="3"/>
        </w:numPr>
        <w:rPr>
          <w:sz w:val="22"/>
          <w:szCs w:val="22"/>
        </w:rPr>
      </w:pPr>
      <w:r>
        <w:rPr>
          <w:sz w:val="22"/>
          <w:szCs w:val="22"/>
        </w:rPr>
        <w:t xml:space="preserve">Income growth from employment </w:t>
      </w:r>
    </w:p>
    <w:p w14:paraId="139DDFE5" w14:textId="46000EAA" w:rsidR="007F0CEF" w:rsidRDefault="007F0CEF" w:rsidP="007F0CEF">
      <w:pPr>
        <w:pStyle w:val="ListParagraph"/>
        <w:numPr>
          <w:ilvl w:val="0"/>
          <w:numId w:val="3"/>
        </w:numPr>
        <w:rPr>
          <w:sz w:val="22"/>
          <w:szCs w:val="22"/>
        </w:rPr>
      </w:pPr>
      <w:r>
        <w:rPr>
          <w:sz w:val="22"/>
          <w:szCs w:val="22"/>
        </w:rPr>
        <w:t>CoC Coordination and Engagement: 122 points</w:t>
      </w:r>
    </w:p>
    <w:p w14:paraId="4D1B9F86" w14:textId="0DB5EFAA" w:rsidR="00023787" w:rsidRDefault="00023787" w:rsidP="00023787">
      <w:pPr>
        <w:pStyle w:val="ListParagraph"/>
        <w:numPr>
          <w:ilvl w:val="1"/>
          <w:numId w:val="3"/>
        </w:numPr>
        <w:rPr>
          <w:sz w:val="22"/>
          <w:szCs w:val="22"/>
        </w:rPr>
      </w:pPr>
      <w:r>
        <w:rPr>
          <w:sz w:val="22"/>
          <w:szCs w:val="22"/>
        </w:rPr>
        <w:t>CoC Board composition</w:t>
      </w:r>
    </w:p>
    <w:p w14:paraId="06D167C9" w14:textId="1582F3AF" w:rsidR="00023787" w:rsidRDefault="00023787" w:rsidP="00023787">
      <w:pPr>
        <w:pStyle w:val="ListParagraph"/>
        <w:numPr>
          <w:ilvl w:val="1"/>
          <w:numId w:val="3"/>
        </w:numPr>
        <w:rPr>
          <w:sz w:val="22"/>
          <w:szCs w:val="22"/>
        </w:rPr>
      </w:pPr>
      <w:r>
        <w:rPr>
          <w:sz w:val="22"/>
          <w:szCs w:val="22"/>
        </w:rPr>
        <w:t>Comprehensive strategies to reduce homelessness</w:t>
      </w:r>
    </w:p>
    <w:p w14:paraId="1DD7E58D" w14:textId="1CC86395" w:rsidR="00023787" w:rsidRDefault="00023787" w:rsidP="00023787">
      <w:pPr>
        <w:pStyle w:val="ListParagraph"/>
        <w:numPr>
          <w:ilvl w:val="1"/>
          <w:numId w:val="3"/>
        </w:numPr>
        <w:rPr>
          <w:sz w:val="22"/>
          <w:szCs w:val="22"/>
        </w:rPr>
      </w:pPr>
      <w:r>
        <w:rPr>
          <w:sz w:val="22"/>
          <w:szCs w:val="22"/>
        </w:rPr>
        <w:t xml:space="preserve">Availability of treatment and recovery </w:t>
      </w:r>
      <w:r w:rsidR="00147A90">
        <w:rPr>
          <w:sz w:val="22"/>
          <w:szCs w:val="22"/>
        </w:rPr>
        <w:t>services</w:t>
      </w:r>
    </w:p>
    <w:p w14:paraId="10F29661" w14:textId="785921D1" w:rsidR="00147A90" w:rsidRDefault="00147A90" w:rsidP="00023787">
      <w:pPr>
        <w:pStyle w:val="ListParagraph"/>
        <w:numPr>
          <w:ilvl w:val="1"/>
          <w:numId w:val="3"/>
        </w:numPr>
        <w:rPr>
          <w:sz w:val="22"/>
          <w:szCs w:val="22"/>
        </w:rPr>
      </w:pPr>
      <w:r>
        <w:rPr>
          <w:sz w:val="22"/>
          <w:szCs w:val="22"/>
        </w:rPr>
        <w:t>Funding for supportive services</w:t>
      </w:r>
    </w:p>
    <w:p w14:paraId="54E0612B" w14:textId="32F6A6E4" w:rsidR="00DE1E3E" w:rsidRDefault="00DE1E3E" w:rsidP="00023787">
      <w:pPr>
        <w:pStyle w:val="ListParagraph"/>
        <w:numPr>
          <w:ilvl w:val="1"/>
          <w:numId w:val="3"/>
        </w:numPr>
        <w:rPr>
          <w:sz w:val="22"/>
          <w:szCs w:val="22"/>
        </w:rPr>
      </w:pPr>
      <w:r>
        <w:rPr>
          <w:sz w:val="22"/>
          <w:szCs w:val="22"/>
        </w:rPr>
        <w:t>Engagement with law enforcement</w:t>
      </w:r>
    </w:p>
    <w:p w14:paraId="01015A76" w14:textId="12589C94" w:rsidR="00C8028D" w:rsidRDefault="00C8028D" w:rsidP="00C8028D">
      <w:pPr>
        <w:pStyle w:val="ListParagraph"/>
        <w:numPr>
          <w:ilvl w:val="0"/>
          <w:numId w:val="3"/>
        </w:numPr>
        <w:rPr>
          <w:sz w:val="22"/>
          <w:szCs w:val="22"/>
        </w:rPr>
      </w:pPr>
      <w:r>
        <w:rPr>
          <w:sz w:val="22"/>
          <w:szCs w:val="22"/>
        </w:rPr>
        <w:t>Bonus points: 20</w:t>
      </w:r>
    </w:p>
    <w:p w14:paraId="5951076E" w14:textId="4779CEF3" w:rsidR="00C8028D" w:rsidRDefault="00C8028D" w:rsidP="00C8028D">
      <w:pPr>
        <w:pStyle w:val="ListParagraph"/>
        <w:numPr>
          <w:ilvl w:val="1"/>
          <w:numId w:val="3"/>
        </w:numPr>
        <w:rPr>
          <w:sz w:val="22"/>
          <w:szCs w:val="22"/>
        </w:rPr>
      </w:pPr>
      <w:r>
        <w:rPr>
          <w:sz w:val="22"/>
          <w:szCs w:val="22"/>
        </w:rPr>
        <w:t>CoC merger [GRCoC is not eligible]</w:t>
      </w:r>
    </w:p>
    <w:p w14:paraId="082F94F0" w14:textId="702DFC0A" w:rsidR="00C8028D" w:rsidRPr="007F0CEF" w:rsidRDefault="00C8028D" w:rsidP="00C8028D">
      <w:pPr>
        <w:pStyle w:val="ListParagraph"/>
        <w:numPr>
          <w:ilvl w:val="1"/>
          <w:numId w:val="3"/>
        </w:numPr>
        <w:rPr>
          <w:sz w:val="22"/>
          <w:szCs w:val="22"/>
        </w:rPr>
      </w:pPr>
      <w:r>
        <w:rPr>
          <w:sz w:val="22"/>
          <w:szCs w:val="22"/>
        </w:rPr>
        <w:t xml:space="preserve">Policy initiative preference points </w:t>
      </w:r>
    </w:p>
    <w:p w14:paraId="07EC103F" w14:textId="77777777" w:rsidR="002D31CB" w:rsidRPr="001E164A" w:rsidRDefault="002D31CB" w:rsidP="001E164A">
      <w:pPr>
        <w:rPr>
          <w:sz w:val="22"/>
          <w:szCs w:val="22"/>
        </w:rPr>
      </w:pPr>
    </w:p>
    <w:sectPr w:rsidR="002D31CB" w:rsidRPr="001E164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03C9" w14:textId="77777777" w:rsidR="0074500C" w:rsidRDefault="0074500C" w:rsidP="005A3535">
      <w:pPr>
        <w:spacing w:after="0" w:line="240" w:lineRule="auto"/>
      </w:pPr>
      <w:r>
        <w:separator/>
      </w:r>
    </w:p>
  </w:endnote>
  <w:endnote w:type="continuationSeparator" w:id="0">
    <w:p w14:paraId="2F59EAB1" w14:textId="77777777" w:rsidR="0074500C" w:rsidRDefault="0074500C" w:rsidP="005A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9D64" w14:textId="572B07E7" w:rsidR="005A3535" w:rsidRPr="005A3535" w:rsidRDefault="005A3535">
    <w:pPr>
      <w:pStyle w:val="Footer"/>
      <w:rPr>
        <w:sz w:val="20"/>
        <w:szCs w:val="20"/>
      </w:rPr>
    </w:pPr>
    <w:r w:rsidRPr="005A3535">
      <w:rPr>
        <w:sz w:val="20"/>
        <w:szCs w:val="20"/>
      </w:rPr>
      <w:t xml:space="preserve">Prepared for discussion purposes, Homeward, 6/7/2026, p. </w:t>
    </w:r>
    <w:r w:rsidRPr="005A3535">
      <w:rPr>
        <w:sz w:val="20"/>
        <w:szCs w:val="20"/>
      </w:rPr>
      <w:fldChar w:fldCharType="begin"/>
    </w:r>
    <w:r w:rsidRPr="005A3535">
      <w:rPr>
        <w:sz w:val="20"/>
        <w:szCs w:val="20"/>
      </w:rPr>
      <w:instrText xml:space="preserve"> PAGE   \* MERGEFORMAT </w:instrText>
    </w:r>
    <w:r w:rsidRPr="005A3535">
      <w:rPr>
        <w:sz w:val="20"/>
        <w:szCs w:val="20"/>
      </w:rPr>
      <w:fldChar w:fldCharType="separate"/>
    </w:r>
    <w:r w:rsidRPr="005A3535">
      <w:rPr>
        <w:noProof/>
        <w:sz w:val="20"/>
        <w:szCs w:val="20"/>
      </w:rPr>
      <w:t>1</w:t>
    </w:r>
    <w:r w:rsidRPr="005A353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1D43" w14:textId="77777777" w:rsidR="0074500C" w:rsidRDefault="0074500C" w:rsidP="005A3535">
      <w:pPr>
        <w:spacing w:after="0" w:line="240" w:lineRule="auto"/>
      </w:pPr>
      <w:r>
        <w:separator/>
      </w:r>
    </w:p>
  </w:footnote>
  <w:footnote w:type="continuationSeparator" w:id="0">
    <w:p w14:paraId="2F776B60" w14:textId="77777777" w:rsidR="0074500C" w:rsidRDefault="0074500C" w:rsidP="005A3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0A8"/>
    <w:multiLevelType w:val="hybridMultilevel"/>
    <w:tmpl w:val="4E5C9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30EAE"/>
    <w:multiLevelType w:val="hybridMultilevel"/>
    <w:tmpl w:val="9A483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4A5575"/>
    <w:multiLevelType w:val="hybridMultilevel"/>
    <w:tmpl w:val="40F2E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340142">
    <w:abstractNumId w:val="1"/>
  </w:num>
  <w:num w:numId="2" w16cid:durableId="1932738527">
    <w:abstractNumId w:val="0"/>
  </w:num>
  <w:num w:numId="3" w16cid:durableId="836383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F5"/>
    <w:rsid w:val="00023787"/>
    <w:rsid w:val="0009063F"/>
    <w:rsid w:val="000A48DB"/>
    <w:rsid w:val="000F3C79"/>
    <w:rsid w:val="00147A90"/>
    <w:rsid w:val="001B54DC"/>
    <w:rsid w:val="001E164A"/>
    <w:rsid w:val="002D31CB"/>
    <w:rsid w:val="0036368D"/>
    <w:rsid w:val="00396A0D"/>
    <w:rsid w:val="003A6F29"/>
    <w:rsid w:val="003D3630"/>
    <w:rsid w:val="003F2059"/>
    <w:rsid w:val="004303BD"/>
    <w:rsid w:val="00452F28"/>
    <w:rsid w:val="00473C1C"/>
    <w:rsid w:val="004B389E"/>
    <w:rsid w:val="004E2C85"/>
    <w:rsid w:val="00552341"/>
    <w:rsid w:val="005668E2"/>
    <w:rsid w:val="005A3535"/>
    <w:rsid w:val="0073169C"/>
    <w:rsid w:val="0074500C"/>
    <w:rsid w:val="00753ACC"/>
    <w:rsid w:val="007F0CEF"/>
    <w:rsid w:val="00821D74"/>
    <w:rsid w:val="00836E14"/>
    <w:rsid w:val="00873B5B"/>
    <w:rsid w:val="008B4B62"/>
    <w:rsid w:val="008B7210"/>
    <w:rsid w:val="008D61F5"/>
    <w:rsid w:val="008D749E"/>
    <w:rsid w:val="009036E7"/>
    <w:rsid w:val="00912A43"/>
    <w:rsid w:val="00945E9A"/>
    <w:rsid w:val="009C76FF"/>
    <w:rsid w:val="009D332F"/>
    <w:rsid w:val="009E2811"/>
    <w:rsid w:val="00A42738"/>
    <w:rsid w:val="00B222FE"/>
    <w:rsid w:val="00B70032"/>
    <w:rsid w:val="00BF0B41"/>
    <w:rsid w:val="00C3501C"/>
    <w:rsid w:val="00C8028D"/>
    <w:rsid w:val="00C825C6"/>
    <w:rsid w:val="00CE5A7F"/>
    <w:rsid w:val="00D24015"/>
    <w:rsid w:val="00D52F60"/>
    <w:rsid w:val="00DC39E6"/>
    <w:rsid w:val="00DE1E3E"/>
    <w:rsid w:val="00E448C3"/>
    <w:rsid w:val="00F1234A"/>
    <w:rsid w:val="00FE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008A"/>
  <w15:chartTrackingRefBased/>
  <w15:docId w15:val="{DF816CEE-43DD-49DB-B21E-0A055BAF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1F5"/>
    <w:rPr>
      <w:rFonts w:eastAsiaTheme="majorEastAsia" w:cstheme="majorBidi"/>
      <w:color w:val="272727" w:themeColor="text1" w:themeTint="D8"/>
    </w:rPr>
  </w:style>
  <w:style w:type="paragraph" w:styleId="Title">
    <w:name w:val="Title"/>
    <w:basedOn w:val="Normal"/>
    <w:next w:val="Normal"/>
    <w:link w:val="TitleChar"/>
    <w:uiPriority w:val="10"/>
    <w:qFormat/>
    <w:rsid w:val="008D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1F5"/>
    <w:pPr>
      <w:spacing w:before="160"/>
      <w:jc w:val="center"/>
    </w:pPr>
    <w:rPr>
      <w:i/>
      <w:iCs/>
      <w:color w:val="404040" w:themeColor="text1" w:themeTint="BF"/>
    </w:rPr>
  </w:style>
  <w:style w:type="character" w:customStyle="1" w:styleId="QuoteChar">
    <w:name w:val="Quote Char"/>
    <w:basedOn w:val="DefaultParagraphFont"/>
    <w:link w:val="Quote"/>
    <w:uiPriority w:val="29"/>
    <w:rsid w:val="008D61F5"/>
    <w:rPr>
      <w:i/>
      <w:iCs/>
      <w:color w:val="404040" w:themeColor="text1" w:themeTint="BF"/>
    </w:rPr>
  </w:style>
  <w:style w:type="paragraph" w:styleId="ListParagraph">
    <w:name w:val="List Paragraph"/>
    <w:basedOn w:val="Normal"/>
    <w:uiPriority w:val="34"/>
    <w:qFormat/>
    <w:rsid w:val="008D61F5"/>
    <w:pPr>
      <w:ind w:left="720"/>
      <w:contextualSpacing/>
    </w:pPr>
  </w:style>
  <w:style w:type="character" w:styleId="IntenseEmphasis">
    <w:name w:val="Intense Emphasis"/>
    <w:basedOn w:val="DefaultParagraphFont"/>
    <w:uiPriority w:val="21"/>
    <w:qFormat/>
    <w:rsid w:val="008D61F5"/>
    <w:rPr>
      <w:i/>
      <w:iCs/>
      <w:color w:val="0F4761" w:themeColor="accent1" w:themeShade="BF"/>
    </w:rPr>
  </w:style>
  <w:style w:type="paragraph" w:styleId="IntenseQuote">
    <w:name w:val="Intense Quote"/>
    <w:basedOn w:val="Normal"/>
    <w:next w:val="Normal"/>
    <w:link w:val="IntenseQuoteChar"/>
    <w:uiPriority w:val="30"/>
    <w:qFormat/>
    <w:rsid w:val="008D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1F5"/>
    <w:rPr>
      <w:i/>
      <w:iCs/>
      <w:color w:val="0F4761" w:themeColor="accent1" w:themeShade="BF"/>
    </w:rPr>
  </w:style>
  <w:style w:type="character" w:styleId="IntenseReference">
    <w:name w:val="Intense Reference"/>
    <w:basedOn w:val="DefaultParagraphFont"/>
    <w:uiPriority w:val="32"/>
    <w:qFormat/>
    <w:rsid w:val="008D61F5"/>
    <w:rPr>
      <w:b/>
      <w:bCs/>
      <w:smallCaps/>
      <w:color w:val="0F4761" w:themeColor="accent1" w:themeShade="BF"/>
      <w:spacing w:val="5"/>
    </w:rPr>
  </w:style>
  <w:style w:type="character" w:styleId="Hyperlink">
    <w:name w:val="Hyperlink"/>
    <w:basedOn w:val="DefaultParagraphFont"/>
    <w:uiPriority w:val="99"/>
    <w:unhideWhenUsed/>
    <w:rsid w:val="009E2811"/>
    <w:rPr>
      <w:color w:val="467886" w:themeColor="hyperlink"/>
      <w:u w:val="single"/>
    </w:rPr>
  </w:style>
  <w:style w:type="character" w:styleId="UnresolvedMention">
    <w:name w:val="Unresolved Mention"/>
    <w:basedOn w:val="DefaultParagraphFont"/>
    <w:uiPriority w:val="99"/>
    <w:semiHidden/>
    <w:unhideWhenUsed/>
    <w:rsid w:val="009E2811"/>
    <w:rPr>
      <w:color w:val="605E5C"/>
      <w:shd w:val="clear" w:color="auto" w:fill="E1DFDD"/>
    </w:rPr>
  </w:style>
  <w:style w:type="paragraph" w:styleId="Header">
    <w:name w:val="header"/>
    <w:basedOn w:val="Normal"/>
    <w:link w:val="HeaderChar"/>
    <w:uiPriority w:val="99"/>
    <w:unhideWhenUsed/>
    <w:rsid w:val="005A3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535"/>
  </w:style>
  <w:style w:type="paragraph" w:styleId="Footer">
    <w:name w:val="footer"/>
    <w:basedOn w:val="Normal"/>
    <w:link w:val="FooterChar"/>
    <w:uiPriority w:val="99"/>
    <w:unhideWhenUsed/>
    <w:rsid w:val="005A3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homelessness.org/wp-content/uploads/2026/06/FY2026-Continuum-of-Care-Competition-NOFO-Analysis.pdf?fbclid=IwY2xjawSSudJleHRuA2FlbQIxMQBzcnRjBmFwcF9pZBAyMjIwMzkxNzg4MjAwODkyAAEe-pvttX-N55jwQu-77i75_A4AbK4nbTXQ6r7JemP7gkUfC-F2l6dBrsWXZFE_aem_oIK42qmS14T7DJwTMxVp0A" TargetMode="External"/><Relationship Id="rId3" Type="http://schemas.openxmlformats.org/officeDocument/2006/relationships/settings" Target="settings.xml"/><Relationship Id="rId7" Type="http://schemas.openxmlformats.org/officeDocument/2006/relationships/hyperlink" Target="https://www.hud.gov/hud-partners/community-c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ndhomelessnessrva.org/funding-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King Horne</dc:creator>
  <cp:keywords/>
  <dc:description/>
  <cp:lastModifiedBy>Kelly King Horne</cp:lastModifiedBy>
  <cp:revision>45</cp:revision>
  <dcterms:created xsi:type="dcterms:W3CDTF">2026-06-07T20:41:00Z</dcterms:created>
  <dcterms:modified xsi:type="dcterms:W3CDTF">2026-06-07T22:06:00Z</dcterms:modified>
</cp:coreProperties>
</file>