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7D00A" w14:textId="7D45F247" w:rsidR="00B34C5E" w:rsidRDefault="00B34C5E" w:rsidP="00B34C5E">
      <w:pPr>
        <w:pStyle w:val="Default"/>
        <w:jc w:val="center"/>
        <w:rPr>
          <w:sz w:val="23"/>
          <w:szCs w:val="23"/>
        </w:rPr>
      </w:pPr>
      <w:r>
        <w:rPr>
          <w:b/>
          <w:bCs/>
          <w:sz w:val="23"/>
          <w:szCs w:val="23"/>
        </w:rPr>
        <w:t>Greater Richmond Continuum of Care (GRCoC)</w:t>
      </w:r>
    </w:p>
    <w:p w14:paraId="672A6659" w14:textId="77777777" w:rsidR="00EF12E0" w:rsidRDefault="00EF12E0" w:rsidP="00595257">
      <w:pPr>
        <w:pStyle w:val="Default"/>
        <w:jc w:val="center"/>
        <w:rPr>
          <w:b/>
          <w:bCs/>
          <w:sz w:val="23"/>
          <w:szCs w:val="23"/>
        </w:rPr>
      </w:pPr>
    </w:p>
    <w:p w14:paraId="18F8258A" w14:textId="4560B642" w:rsidR="00B34C5E" w:rsidRDefault="00E43E19" w:rsidP="00B34C5E">
      <w:pPr>
        <w:pStyle w:val="Default"/>
        <w:jc w:val="center"/>
        <w:rPr>
          <w:b/>
          <w:bCs/>
          <w:sz w:val="23"/>
          <w:szCs w:val="23"/>
        </w:rPr>
      </w:pPr>
      <w:r>
        <w:rPr>
          <w:b/>
          <w:bCs/>
          <w:sz w:val="23"/>
          <w:szCs w:val="23"/>
        </w:rPr>
        <w:t xml:space="preserve">Coordinated </w:t>
      </w:r>
      <w:r w:rsidR="00B34C5E">
        <w:rPr>
          <w:b/>
          <w:bCs/>
          <w:sz w:val="23"/>
          <w:szCs w:val="23"/>
        </w:rPr>
        <w:t>Grant Reallocation Policy and Procedures</w:t>
      </w:r>
    </w:p>
    <w:p w14:paraId="0A37501D" w14:textId="77777777" w:rsidR="00EF12E0" w:rsidRDefault="00EF12E0" w:rsidP="00B34C5E">
      <w:pPr>
        <w:pStyle w:val="Default"/>
        <w:jc w:val="center"/>
        <w:rPr>
          <w:b/>
          <w:bCs/>
          <w:sz w:val="23"/>
          <w:szCs w:val="23"/>
        </w:rPr>
      </w:pPr>
    </w:p>
    <w:p w14:paraId="66EF5347" w14:textId="77777777" w:rsidR="00B34C5E" w:rsidRDefault="00B34C5E" w:rsidP="00B34C5E">
      <w:pPr>
        <w:pStyle w:val="Default"/>
        <w:rPr>
          <w:sz w:val="23"/>
          <w:szCs w:val="23"/>
        </w:rPr>
      </w:pPr>
      <w:r>
        <w:rPr>
          <w:b/>
          <w:bCs/>
          <w:sz w:val="23"/>
          <w:szCs w:val="23"/>
        </w:rPr>
        <w:t xml:space="preserve">Background </w:t>
      </w:r>
    </w:p>
    <w:p w14:paraId="079654DD" w14:textId="77777777" w:rsidR="00B34C5E" w:rsidRDefault="00B34C5E" w:rsidP="00B34C5E">
      <w:pPr>
        <w:pStyle w:val="Default"/>
        <w:rPr>
          <w:sz w:val="23"/>
          <w:szCs w:val="23"/>
        </w:rPr>
      </w:pPr>
      <w:r>
        <w:rPr>
          <w:sz w:val="23"/>
          <w:szCs w:val="23"/>
        </w:rPr>
        <w:t xml:space="preserve">Federal and state coordinated grant processes permit a Continuum of Care (CoC) to move or reallocate funds between projects to better achieve federal, state and CoC goals for addressing homelessness. In particular, the US Department of Housing and Urban Development encourages the reallocation of funds from renewal projects to provide funding for new projects. Reallocation also presents an opportunity for CoC’s to move funding from projects that are underutilized, not cost effective, underperforming, or obsolete. </w:t>
      </w:r>
    </w:p>
    <w:p w14:paraId="5DAB6C7B" w14:textId="77777777" w:rsidR="00B34C5E" w:rsidRDefault="00B34C5E" w:rsidP="00B34C5E">
      <w:pPr>
        <w:pStyle w:val="Default"/>
        <w:rPr>
          <w:b/>
          <w:bCs/>
          <w:sz w:val="23"/>
          <w:szCs w:val="23"/>
        </w:rPr>
      </w:pPr>
    </w:p>
    <w:p w14:paraId="02EB378F" w14:textId="77777777" w:rsidR="00B34C5E" w:rsidRDefault="00B34C5E" w:rsidP="00B34C5E">
      <w:pPr>
        <w:pStyle w:val="Default"/>
        <w:rPr>
          <w:b/>
          <w:bCs/>
          <w:sz w:val="23"/>
          <w:szCs w:val="23"/>
        </w:rPr>
      </w:pPr>
    </w:p>
    <w:p w14:paraId="5B782DD7" w14:textId="77777777" w:rsidR="002B79E7" w:rsidRDefault="00C75E93" w:rsidP="00B34C5E">
      <w:pPr>
        <w:pStyle w:val="Default"/>
        <w:rPr>
          <w:b/>
          <w:bCs/>
          <w:color w:val="auto"/>
          <w:sz w:val="23"/>
          <w:szCs w:val="23"/>
        </w:rPr>
      </w:pPr>
      <w:r w:rsidRPr="002B79E7">
        <w:rPr>
          <w:b/>
          <w:bCs/>
          <w:color w:val="auto"/>
          <w:sz w:val="23"/>
          <w:szCs w:val="23"/>
        </w:rPr>
        <w:t xml:space="preserve">Voluntary </w:t>
      </w:r>
      <w:r w:rsidR="00D01A81" w:rsidRPr="002B79E7">
        <w:rPr>
          <w:b/>
          <w:bCs/>
          <w:color w:val="auto"/>
          <w:sz w:val="23"/>
          <w:szCs w:val="23"/>
        </w:rPr>
        <w:t xml:space="preserve">Fund </w:t>
      </w:r>
      <w:r w:rsidR="00B34C5E" w:rsidRPr="002B79E7">
        <w:rPr>
          <w:b/>
          <w:bCs/>
          <w:color w:val="auto"/>
          <w:sz w:val="23"/>
          <w:szCs w:val="23"/>
        </w:rPr>
        <w:t xml:space="preserve">Reallocation Process </w:t>
      </w:r>
    </w:p>
    <w:p w14:paraId="5E5BB44D" w14:textId="3B7D14D7" w:rsidR="00A861F0" w:rsidRPr="002B79E7" w:rsidRDefault="00E855FB" w:rsidP="5E121372">
      <w:pPr>
        <w:pStyle w:val="Default"/>
        <w:rPr>
          <w:color w:val="auto"/>
          <w:sz w:val="23"/>
          <w:szCs w:val="23"/>
        </w:rPr>
      </w:pPr>
      <w:r w:rsidRPr="5E121372">
        <w:rPr>
          <w:color w:val="auto"/>
          <w:sz w:val="23"/>
          <w:szCs w:val="23"/>
        </w:rPr>
        <w:t>Voluntary reallocation of grant funds may occur in two ways:</w:t>
      </w:r>
      <w:r w:rsidR="00C93D53" w:rsidRPr="5E121372">
        <w:rPr>
          <w:color w:val="auto"/>
          <w:sz w:val="23"/>
          <w:szCs w:val="23"/>
        </w:rPr>
        <w:t xml:space="preserve"> </w:t>
      </w:r>
    </w:p>
    <w:p w14:paraId="52033351" w14:textId="5790D155" w:rsidR="00A861F0" w:rsidRPr="002B79E7" w:rsidRDefault="00E855FB" w:rsidP="5E121372">
      <w:pPr>
        <w:pStyle w:val="Default"/>
        <w:numPr>
          <w:ilvl w:val="0"/>
          <w:numId w:val="3"/>
        </w:numPr>
        <w:rPr>
          <w:color w:val="auto"/>
          <w:sz w:val="23"/>
          <w:szCs w:val="23"/>
        </w:rPr>
      </w:pPr>
      <w:r w:rsidRPr="5E121372">
        <w:rPr>
          <w:color w:val="auto"/>
          <w:sz w:val="23"/>
          <w:szCs w:val="23"/>
        </w:rPr>
        <w:t xml:space="preserve">The Virginia Department of Housing and Community Development may offer </w:t>
      </w:r>
      <w:r w:rsidR="00595257" w:rsidRPr="5E121372">
        <w:rPr>
          <w:color w:val="auto"/>
          <w:sz w:val="23"/>
          <w:szCs w:val="23"/>
        </w:rPr>
        <w:t xml:space="preserve">additional </w:t>
      </w:r>
      <w:r w:rsidRPr="5E121372">
        <w:rPr>
          <w:color w:val="auto"/>
          <w:sz w:val="23"/>
          <w:szCs w:val="23"/>
        </w:rPr>
        <w:t>Virginia Housing Solution</w:t>
      </w:r>
      <w:r w:rsidR="00F03002">
        <w:rPr>
          <w:color w:val="auto"/>
          <w:sz w:val="23"/>
          <w:szCs w:val="23"/>
        </w:rPr>
        <w:t>s</w:t>
      </w:r>
      <w:r w:rsidRPr="5E121372">
        <w:rPr>
          <w:color w:val="auto"/>
          <w:sz w:val="23"/>
          <w:szCs w:val="23"/>
        </w:rPr>
        <w:t xml:space="preserve"> Program funds to GRCoC that have been reallocated from other state CoC</w:t>
      </w:r>
      <w:r w:rsidR="00595257" w:rsidRPr="5E121372">
        <w:rPr>
          <w:color w:val="auto"/>
          <w:sz w:val="23"/>
          <w:szCs w:val="23"/>
        </w:rPr>
        <w:t xml:space="preserve">s; </w:t>
      </w:r>
      <w:r w:rsidR="03C85AB4" w:rsidRPr="5E121372">
        <w:rPr>
          <w:color w:val="auto"/>
          <w:sz w:val="23"/>
          <w:szCs w:val="23"/>
        </w:rPr>
        <w:t>or</w:t>
      </w:r>
    </w:p>
    <w:p w14:paraId="01F325A9" w14:textId="7E3F4F69" w:rsidR="00A861F0" w:rsidRPr="002B79E7" w:rsidRDefault="00B34C5E" w:rsidP="5E121372">
      <w:pPr>
        <w:pStyle w:val="Default"/>
        <w:numPr>
          <w:ilvl w:val="0"/>
          <w:numId w:val="3"/>
        </w:numPr>
        <w:rPr>
          <w:color w:val="auto"/>
          <w:sz w:val="23"/>
          <w:szCs w:val="23"/>
        </w:rPr>
      </w:pPr>
      <w:r w:rsidRPr="6A362178">
        <w:rPr>
          <w:color w:val="auto"/>
          <w:sz w:val="23"/>
          <w:szCs w:val="23"/>
        </w:rPr>
        <w:t xml:space="preserve">GRCoC grantees </w:t>
      </w:r>
      <w:proofErr w:type="gramStart"/>
      <w:r w:rsidRPr="6A362178">
        <w:rPr>
          <w:color w:val="auto"/>
          <w:sz w:val="23"/>
          <w:szCs w:val="23"/>
        </w:rPr>
        <w:t>may self-nominate to</w:t>
      </w:r>
      <w:proofErr w:type="gramEnd"/>
      <w:r w:rsidRPr="6A362178">
        <w:rPr>
          <w:color w:val="auto"/>
          <w:sz w:val="23"/>
          <w:szCs w:val="23"/>
        </w:rPr>
        <w:t xml:space="preserve"> voluntarily return </w:t>
      </w:r>
      <w:r w:rsidR="00B458C1">
        <w:rPr>
          <w:color w:val="auto"/>
          <w:sz w:val="23"/>
          <w:szCs w:val="23"/>
        </w:rPr>
        <w:t>public</w:t>
      </w:r>
      <w:r w:rsidRPr="6A362178">
        <w:rPr>
          <w:color w:val="auto"/>
          <w:sz w:val="23"/>
          <w:szCs w:val="23"/>
        </w:rPr>
        <w:t xml:space="preserve"> funds</w:t>
      </w:r>
      <w:r w:rsidR="00B458C1">
        <w:rPr>
          <w:color w:val="auto"/>
          <w:sz w:val="23"/>
          <w:szCs w:val="23"/>
        </w:rPr>
        <w:t xml:space="preserve"> coordinated through the CoC </w:t>
      </w:r>
      <w:r w:rsidRPr="6A362178">
        <w:rPr>
          <w:color w:val="auto"/>
          <w:sz w:val="23"/>
          <w:szCs w:val="23"/>
        </w:rPr>
        <w:t xml:space="preserve">at any time during the grant period by providing a written proposal to the collaborative applicant. A grantee seeking to return funds through the voluntary process must do so in accordance with federal and state requirements. </w:t>
      </w:r>
    </w:p>
    <w:p w14:paraId="6A05A809" w14:textId="77777777" w:rsidR="00A861F0" w:rsidRPr="002B79E7" w:rsidRDefault="00A861F0" w:rsidP="00B34C5E">
      <w:pPr>
        <w:pStyle w:val="Default"/>
        <w:rPr>
          <w:color w:val="auto"/>
          <w:sz w:val="23"/>
          <w:szCs w:val="23"/>
        </w:rPr>
      </w:pPr>
    </w:p>
    <w:p w14:paraId="6C0E9B92" w14:textId="5C3222F7" w:rsidR="00B34C5E" w:rsidRPr="002B79E7" w:rsidRDefault="00A861F0" w:rsidP="00B34C5E">
      <w:pPr>
        <w:pStyle w:val="Default"/>
        <w:rPr>
          <w:color w:val="auto"/>
          <w:sz w:val="23"/>
          <w:szCs w:val="23"/>
        </w:rPr>
      </w:pPr>
      <w:proofErr w:type="gramStart"/>
      <w:r w:rsidRPr="002B79E7">
        <w:rPr>
          <w:color w:val="auto"/>
          <w:sz w:val="23"/>
          <w:szCs w:val="23"/>
        </w:rPr>
        <w:t>In the even</w:t>
      </w:r>
      <w:r w:rsidR="00C93D53" w:rsidRPr="002B79E7">
        <w:rPr>
          <w:color w:val="auto"/>
          <w:sz w:val="23"/>
          <w:szCs w:val="23"/>
        </w:rPr>
        <w:t>t</w:t>
      </w:r>
      <w:r w:rsidRPr="002B79E7">
        <w:rPr>
          <w:color w:val="auto"/>
          <w:sz w:val="23"/>
          <w:szCs w:val="23"/>
        </w:rPr>
        <w:t xml:space="preserve"> that</w:t>
      </w:r>
      <w:proofErr w:type="gramEnd"/>
      <w:r w:rsidRPr="002B79E7">
        <w:rPr>
          <w:color w:val="auto"/>
          <w:sz w:val="23"/>
          <w:szCs w:val="23"/>
        </w:rPr>
        <w:t xml:space="preserve"> reallocated funds are available, </w:t>
      </w:r>
      <w:r w:rsidR="00287809" w:rsidRPr="002B79E7">
        <w:rPr>
          <w:color w:val="auto"/>
          <w:sz w:val="23"/>
          <w:szCs w:val="23"/>
        </w:rPr>
        <w:t xml:space="preserve">GRCoC will notify current </w:t>
      </w:r>
      <w:r w:rsidR="00C93D53" w:rsidRPr="002B79E7">
        <w:rPr>
          <w:color w:val="auto"/>
          <w:sz w:val="23"/>
          <w:szCs w:val="23"/>
        </w:rPr>
        <w:t>grantees</w:t>
      </w:r>
      <w:r w:rsidRPr="002B79E7">
        <w:rPr>
          <w:color w:val="auto"/>
          <w:sz w:val="23"/>
          <w:szCs w:val="23"/>
        </w:rPr>
        <w:t xml:space="preserve"> </w:t>
      </w:r>
      <w:r w:rsidR="009E3D71" w:rsidRPr="002B79E7">
        <w:rPr>
          <w:color w:val="auto"/>
          <w:sz w:val="23"/>
          <w:szCs w:val="23"/>
        </w:rPr>
        <w:t xml:space="preserve">and </w:t>
      </w:r>
      <w:r w:rsidR="00595257" w:rsidRPr="002B79E7">
        <w:rPr>
          <w:color w:val="auto"/>
          <w:sz w:val="23"/>
          <w:szCs w:val="23"/>
        </w:rPr>
        <w:t xml:space="preserve">solicit </w:t>
      </w:r>
      <w:r w:rsidRPr="002B79E7">
        <w:rPr>
          <w:color w:val="auto"/>
          <w:sz w:val="23"/>
          <w:szCs w:val="23"/>
        </w:rPr>
        <w:t>written proposal</w:t>
      </w:r>
      <w:r w:rsidR="009E3D71" w:rsidRPr="002B79E7">
        <w:rPr>
          <w:color w:val="auto"/>
          <w:sz w:val="23"/>
          <w:szCs w:val="23"/>
        </w:rPr>
        <w:t>s</w:t>
      </w:r>
      <w:r w:rsidRPr="002B79E7">
        <w:rPr>
          <w:color w:val="auto"/>
          <w:sz w:val="23"/>
          <w:szCs w:val="23"/>
        </w:rPr>
        <w:t xml:space="preserve"> f</w:t>
      </w:r>
      <w:r w:rsidR="00595257" w:rsidRPr="002B79E7">
        <w:rPr>
          <w:color w:val="auto"/>
          <w:sz w:val="23"/>
          <w:szCs w:val="23"/>
        </w:rPr>
        <w:t xml:space="preserve">rom </w:t>
      </w:r>
      <w:r w:rsidR="00B458C1">
        <w:rPr>
          <w:color w:val="auto"/>
          <w:sz w:val="23"/>
          <w:szCs w:val="23"/>
        </w:rPr>
        <w:t>eligible</w:t>
      </w:r>
      <w:r w:rsidR="00595257" w:rsidRPr="002B79E7">
        <w:rPr>
          <w:color w:val="auto"/>
          <w:sz w:val="23"/>
          <w:szCs w:val="23"/>
        </w:rPr>
        <w:t xml:space="preserve"> grantees fo</w:t>
      </w:r>
      <w:r w:rsidRPr="002B79E7">
        <w:rPr>
          <w:color w:val="auto"/>
          <w:sz w:val="23"/>
          <w:szCs w:val="23"/>
        </w:rPr>
        <w:t xml:space="preserve">r </w:t>
      </w:r>
      <w:r w:rsidR="00D01A81" w:rsidRPr="002B79E7">
        <w:rPr>
          <w:color w:val="auto"/>
          <w:sz w:val="23"/>
          <w:szCs w:val="23"/>
        </w:rPr>
        <w:t xml:space="preserve">use and amount of </w:t>
      </w:r>
      <w:r w:rsidRPr="002B79E7">
        <w:rPr>
          <w:color w:val="auto"/>
          <w:sz w:val="23"/>
          <w:szCs w:val="23"/>
        </w:rPr>
        <w:t>funds</w:t>
      </w:r>
      <w:r w:rsidR="00D01A81" w:rsidRPr="002B79E7">
        <w:rPr>
          <w:color w:val="auto"/>
          <w:sz w:val="23"/>
          <w:szCs w:val="23"/>
        </w:rPr>
        <w:t xml:space="preserve">. </w:t>
      </w:r>
      <w:r w:rsidRPr="002B79E7">
        <w:rPr>
          <w:color w:val="auto"/>
          <w:sz w:val="23"/>
          <w:szCs w:val="23"/>
        </w:rPr>
        <w:t xml:space="preserve"> </w:t>
      </w:r>
    </w:p>
    <w:p w14:paraId="5A39BBE3" w14:textId="77777777" w:rsidR="00B34C5E" w:rsidRPr="00D01A81" w:rsidRDefault="00B34C5E" w:rsidP="00B34C5E">
      <w:pPr>
        <w:pStyle w:val="Default"/>
        <w:rPr>
          <w:i/>
          <w:sz w:val="23"/>
          <w:szCs w:val="23"/>
        </w:rPr>
      </w:pPr>
    </w:p>
    <w:p w14:paraId="41C8F396" w14:textId="54700C43" w:rsidR="003D1B62" w:rsidRDefault="00B34C5E" w:rsidP="00B34C5E">
      <w:pPr>
        <w:pStyle w:val="Default"/>
        <w:rPr>
          <w:sz w:val="23"/>
          <w:szCs w:val="23"/>
        </w:rPr>
      </w:pPr>
      <w:r w:rsidRPr="6A362178">
        <w:rPr>
          <w:sz w:val="23"/>
          <w:szCs w:val="23"/>
        </w:rPr>
        <w:t>The GRCoC Ranking Committee will review the proposal and make a recommendation to the GRCoC Board of Directors for reallocation of the funds.</w:t>
      </w:r>
      <w:r w:rsidR="34D10B55" w:rsidRPr="6A362178">
        <w:rPr>
          <w:sz w:val="23"/>
          <w:szCs w:val="23"/>
        </w:rPr>
        <w:t xml:space="preserve"> The Ranking </w:t>
      </w:r>
      <w:r w:rsidR="004D2E0F" w:rsidRPr="6A362178">
        <w:rPr>
          <w:sz w:val="23"/>
          <w:szCs w:val="23"/>
        </w:rPr>
        <w:t>Committee</w:t>
      </w:r>
      <w:r w:rsidR="34D10B55" w:rsidRPr="6A362178">
        <w:rPr>
          <w:sz w:val="23"/>
          <w:szCs w:val="23"/>
        </w:rPr>
        <w:t xml:space="preserve"> may require addition</w:t>
      </w:r>
      <w:r w:rsidR="48B0B129" w:rsidRPr="6A362178">
        <w:rPr>
          <w:sz w:val="23"/>
          <w:szCs w:val="23"/>
        </w:rPr>
        <w:t>al information from grantees regarding the reallocatio</w:t>
      </w:r>
      <w:r w:rsidR="00E77653">
        <w:rPr>
          <w:sz w:val="23"/>
          <w:szCs w:val="23"/>
        </w:rPr>
        <w:t>n decision</w:t>
      </w:r>
      <w:r w:rsidR="48B0B129" w:rsidRPr="6A362178">
        <w:rPr>
          <w:sz w:val="23"/>
          <w:szCs w:val="23"/>
        </w:rPr>
        <w:t>.</w:t>
      </w:r>
    </w:p>
    <w:p w14:paraId="280105CE" w14:textId="4689F5EB" w:rsidR="5E121372" w:rsidRDefault="5E121372" w:rsidP="5E121372">
      <w:pPr>
        <w:pStyle w:val="Default"/>
        <w:ind w:left="720"/>
        <w:rPr>
          <w:sz w:val="22"/>
          <w:szCs w:val="22"/>
        </w:rPr>
      </w:pPr>
    </w:p>
    <w:p w14:paraId="598ACE85" w14:textId="77777777" w:rsidR="003D1B62" w:rsidRDefault="003D1B62" w:rsidP="003D1B62">
      <w:pPr>
        <w:pStyle w:val="Default"/>
        <w:rPr>
          <w:sz w:val="23"/>
          <w:szCs w:val="23"/>
        </w:rPr>
      </w:pPr>
      <w:r>
        <w:rPr>
          <w:sz w:val="23"/>
          <w:szCs w:val="23"/>
        </w:rPr>
        <w:t xml:space="preserve">The GRCoC Board of Directors will review the reallocation recommendation of the Ranking Committee and vote to approve or disapprove. </w:t>
      </w:r>
    </w:p>
    <w:p w14:paraId="72A3D3EC" w14:textId="77777777" w:rsidR="003D1B62" w:rsidRDefault="003D1B62" w:rsidP="003D1B62">
      <w:pPr>
        <w:pStyle w:val="Default"/>
        <w:rPr>
          <w:sz w:val="23"/>
          <w:szCs w:val="23"/>
        </w:rPr>
      </w:pPr>
    </w:p>
    <w:p w14:paraId="592BA6DE" w14:textId="77777777" w:rsidR="003D1B62" w:rsidRDefault="003D1B62" w:rsidP="003D1B62">
      <w:pPr>
        <w:pStyle w:val="Default"/>
        <w:rPr>
          <w:sz w:val="23"/>
          <w:szCs w:val="23"/>
        </w:rPr>
      </w:pPr>
      <w:r>
        <w:rPr>
          <w:sz w:val="23"/>
          <w:szCs w:val="23"/>
        </w:rPr>
        <w:t xml:space="preserve">The grantee will be notified of the Board’s decision in writing within 24 hours. </w:t>
      </w:r>
    </w:p>
    <w:p w14:paraId="4B94D5A5" w14:textId="753B8F21" w:rsidR="00C75E93" w:rsidRDefault="00C75E93" w:rsidP="3E08BBFC">
      <w:pPr>
        <w:rPr>
          <w:b/>
          <w:bCs/>
          <w:sz w:val="23"/>
          <w:szCs w:val="23"/>
        </w:rPr>
      </w:pPr>
    </w:p>
    <w:p w14:paraId="75C9B02C" w14:textId="1323D477" w:rsidR="0F9960B5" w:rsidRDefault="551518DA" w:rsidP="6A362178">
      <w:pPr>
        <w:rPr>
          <w:rFonts w:ascii="Arial" w:eastAsia="Arial" w:hAnsi="Arial" w:cs="Arial"/>
          <w:b/>
          <w:bCs/>
          <w:sz w:val="28"/>
          <w:szCs w:val="28"/>
        </w:rPr>
      </w:pPr>
      <w:r w:rsidRPr="6A362178">
        <w:rPr>
          <w:rFonts w:ascii="Arial" w:eastAsia="Arial" w:hAnsi="Arial" w:cs="Arial"/>
          <w:b/>
          <w:bCs/>
          <w:sz w:val="28"/>
          <w:szCs w:val="28"/>
        </w:rPr>
        <w:t xml:space="preserve">Community </w:t>
      </w:r>
      <w:r w:rsidR="42F25173" w:rsidRPr="6A362178">
        <w:rPr>
          <w:rFonts w:ascii="Arial" w:eastAsia="Arial" w:hAnsi="Arial" w:cs="Arial"/>
          <w:b/>
          <w:bCs/>
          <w:sz w:val="28"/>
          <w:szCs w:val="28"/>
        </w:rPr>
        <w:t xml:space="preserve">Reallocation </w:t>
      </w:r>
      <w:r w:rsidR="206EE924" w:rsidRPr="6A362178">
        <w:rPr>
          <w:rFonts w:ascii="Arial" w:eastAsia="Arial" w:hAnsi="Arial" w:cs="Arial"/>
          <w:b/>
          <w:bCs/>
          <w:sz w:val="28"/>
          <w:szCs w:val="28"/>
        </w:rPr>
        <w:t>R</w:t>
      </w:r>
      <w:r w:rsidR="42F25173" w:rsidRPr="6A362178">
        <w:rPr>
          <w:rFonts w:ascii="Arial" w:eastAsia="Arial" w:hAnsi="Arial" w:cs="Arial"/>
          <w:b/>
          <w:bCs/>
          <w:sz w:val="28"/>
          <w:szCs w:val="28"/>
        </w:rPr>
        <w:t xml:space="preserve">eview </w:t>
      </w:r>
    </w:p>
    <w:p w14:paraId="6E7CA64F" w14:textId="6731C38D" w:rsidR="793D56B6" w:rsidRDefault="462AA469" w:rsidP="6A362178">
      <w:pPr>
        <w:rPr>
          <w:rFonts w:ascii="Arial" w:eastAsia="Arial" w:hAnsi="Arial" w:cs="Arial"/>
        </w:rPr>
      </w:pPr>
      <w:r w:rsidRPr="6A362178">
        <w:rPr>
          <w:rFonts w:ascii="Arial" w:eastAsia="Arial" w:hAnsi="Arial" w:cs="Arial"/>
        </w:rPr>
        <w:t xml:space="preserve">As </w:t>
      </w:r>
      <w:r w:rsidR="2E1E3E1B" w:rsidRPr="6A362178">
        <w:rPr>
          <w:rFonts w:ascii="Arial" w:eastAsia="Arial" w:hAnsi="Arial" w:cs="Arial"/>
        </w:rPr>
        <w:t xml:space="preserve">a </w:t>
      </w:r>
      <w:r w:rsidRPr="6A362178">
        <w:rPr>
          <w:rFonts w:ascii="Arial" w:eastAsia="Arial" w:hAnsi="Arial" w:cs="Arial"/>
        </w:rPr>
        <w:t>part of performance monitoring process, the Greater Richmond Continuum of Care (GRCoC) regularly evaluates the performance of programs receiving coordinated community funding. This review is designed to ensure that limited public resources are used efficiently and effectively, and to identify opportunities for reallocation when appropriate.</w:t>
      </w:r>
    </w:p>
    <w:p w14:paraId="07F96667" w14:textId="464F417F" w:rsidR="793D56B6" w:rsidRDefault="462AA469" w:rsidP="6A362178">
      <w:pPr>
        <w:rPr>
          <w:rFonts w:ascii="Arial" w:eastAsia="Arial" w:hAnsi="Arial" w:cs="Arial"/>
        </w:rPr>
      </w:pPr>
      <w:r w:rsidRPr="6A362178">
        <w:rPr>
          <w:rFonts w:ascii="Arial" w:eastAsia="Arial" w:hAnsi="Arial" w:cs="Arial"/>
        </w:rPr>
        <w:t xml:space="preserve">Each year, during the first half of the calendar year, the Collaborative Applicant completes a performance scorecard for each funded project using data from the </w:t>
      </w:r>
      <w:r w:rsidR="773B2B9F" w:rsidRPr="6A362178">
        <w:rPr>
          <w:rFonts w:ascii="Arial" w:eastAsia="Arial" w:hAnsi="Arial" w:cs="Arial"/>
        </w:rPr>
        <w:t xml:space="preserve">project’s previous </w:t>
      </w:r>
      <w:proofErr w:type="gramStart"/>
      <w:r w:rsidR="773B2B9F" w:rsidRPr="6A362178">
        <w:rPr>
          <w:rFonts w:ascii="Arial" w:eastAsia="Arial" w:hAnsi="Arial" w:cs="Arial"/>
        </w:rPr>
        <w:t>calendar year</w:t>
      </w:r>
      <w:proofErr w:type="gramEnd"/>
      <w:r w:rsidR="773B2B9F" w:rsidRPr="6A362178">
        <w:rPr>
          <w:rFonts w:ascii="Arial" w:eastAsia="Arial" w:hAnsi="Arial" w:cs="Arial"/>
        </w:rPr>
        <w:t xml:space="preserve"> </w:t>
      </w:r>
      <w:r w:rsidRPr="6A362178">
        <w:rPr>
          <w:rFonts w:ascii="Arial" w:eastAsia="Arial" w:hAnsi="Arial" w:cs="Arial"/>
        </w:rPr>
        <w:t>CoC Annual Performance Report (APR). As part of this review, projects may be assessed for potential reallocation based on a variety of performance and compliance indicators.</w:t>
      </w:r>
    </w:p>
    <w:p w14:paraId="1ABCEAEB" w14:textId="67E54608" w:rsidR="793D56B6" w:rsidRDefault="462AA469" w:rsidP="6A362178">
      <w:pPr>
        <w:rPr>
          <w:rFonts w:ascii="Arial" w:eastAsia="Arial" w:hAnsi="Arial" w:cs="Arial"/>
        </w:rPr>
      </w:pPr>
      <w:r w:rsidRPr="6A362178">
        <w:rPr>
          <w:rFonts w:ascii="Arial" w:eastAsia="Arial" w:hAnsi="Arial" w:cs="Arial"/>
        </w:rPr>
        <w:lastRenderedPageBreak/>
        <w:t xml:space="preserve">The Collaborative Applicant and the Ranking Committee reserve the right to identify and </w:t>
      </w:r>
      <w:r w:rsidR="7ACCE718" w:rsidRPr="6A362178">
        <w:rPr>
          <w:rFonts w:ascii="Arial" w:eastAsia="Arial" w:hAnsi="Arial" w:cs="Arial"/>
        </w:rPr>
        <w:t xml:space="preserve">recommend </w:t>
      </w:r>
      <w:r w:rsidRPr="6A362178">
        <w:rPr>
          <w:rFonts w:ascii="Arial" w:eastAsia="Arial" w:hAnsi="Arial" w:cs="Arial"/>
        </w:rPr>
        <w:t xml:space="preserve">projects for reallocation review both during the annual competitive funding cycle and at other points throughout the year, </w:t>
      </w:r>
      <w:r w:rsidR="0028498F">
        <w:rPr>
          <w:rFonts w:ascii="Arial" w:eastAsia="Arial" w:hAnsi="Arial" w:cs="Arial"/>
        </w:rPr>
        <w:t xml:space="preserve">to </w:t>
      </w:r>
      <w:r w:rsidR="000D655F">
        <w:rPr>
          <w:rFonts w:ascii="Arial" w:eastAsia="Arial" w:hAnsi="Arial" w:cs="Arial"/>
        </w:rPr>
        <w:t xml:space="preserve">better support the CoC’s strategic priorities </w:t>
      </w:r>
      <w:r w:rsidR="00B241AD">
        <w:rPr>
          <w:rFonts w:ascii="Arial" w:eastAsia="Arial" w:hAnsi="Arial" w:cs="Arial"/>
        </w:rPr>
        <w:t>or system performance</w:t>
      </w:r>
      <w:r w:rsidRPr="6A362178">
        <w:rPr>
          <w:rFonts w:ascii="Arial" w:eastAsia="Arial" w:hAnsi="Arial" w:cs="Arial"/>
        </w:rPr>
        <w:t>.</w:t>
      </w:r>
    </w:p>
    <w:p w14:paraId="078F008B" w14:textId="73CD617C" w:rsidR="793D56B6" w:rsidRDefault="462AA469" w:rsidP="6A362178">
      <w:pPr>
        <w:rPr>
          <w:rFonts w:ascii="Arial" w:eastAsia="Arial" w:hAnsi="Arial" w:cs="Arial"/>
          <w:b/>
          <w:bCs/>
        </w:rPr>
      </w:pPr>
      <w:r w:rsidRPr="6A362178">
        <w:rPr>
          <w:rFonts w:ascii="Arial" w:eastAsia="Arial" w:hAnsi="Arial" w:cs="Arial"/>
          <w:b/>
          <w:bCs/>
        </w:rPr>
        <w:t>Factors That May Trigger a Reallocation Review</w:t>
      </w:r>
    </w:p>
    <w:p w14:paraId="1BCA591B" w14:textId="2BC9580B" w:rsidR="793D56B6" w:rsidRDefault="462AA469" w:rsidP="6A362178">
      <w:pPr>
        <w:rPr>
          <w:rFonts w:ascii="Arial" w:eastAsia="Arial" w:hAnsi="Arial" w:cs="Arial"/>
        </w:rPr>
      </w:pPr>
      <w:r w:rsidRPr="6A362178">
        <w:rPr>
          <w:rFonts w:ascii="Arial" w:eastAsia="Arial" w:hAnsi="Arial" w:cs="Arial"/>
        </w:rPr>
        <w:t>Projects may be flagged for reallocation review based on one or more of the following factors:</w:t>
      </w:r>
    </w:p>
    <w:p w14:paraId="26A00E30" w14:textId="7F30B4F2" w:rsidR="793D56B6" w:rsidRDefault="462AA469" w:rsidP="6A362178">
      <w:pPr>
        <w:pStyle w:val="ListParagraph"/>
        <w:numPr>
          <w:ilvl w:val="0"/>
          <w:numId w:val="2"/>
        </w:numPr>
        <w:rPr>
          <w:rFonts w:ascii="Arial" w:eastAsia="Arial" w:hAnsi="Arial" w:cs="Arial"/>
        </w:rPr>
      </w:pPr>
      <w:r w:rsidRPr="6A362178">
        <w:rPr>
          <w:rFonts w:ascii="Arial" w:eastAsia="Arial" w:hAnsi="Arial" w:cs="Arial"/>
          <w:b/>
          <w:bCs/>
        </w:rPr>
        <w:t>Underutilization of Resources</w:t>
      </w:r>
      <w:r w:rsidRPr="6A362178">
        <w:rPr>
          <w:rFonts w:ascii="Arial" w:eastAsia="Arial" w:hAnsi="Arial" w:cs="Arial"/>
        </w:rPr>
        <w:t xml:space="preserve">: This includes serving significantly fewer people or maintaining longer average lengths of stay compared to </w:t>
      </w:r>
      <w:r w:rsidR="36EF950A" w:rsidRPr="6A362178">
        <w:rPr>
          <w:rFonts w:ascii="Arial" w:eastAsia="Arial" w:hAnsi="Arial" w:cs="Arial"/>
        </w:rPr>
        <w:t>comparable</w:t>
      </w:r>
      <w:r w:rsidR="210144CE" w:rsidRPr="6A362178">
        <w:rPr>
          <w:rFonts w:ascii="Arial" w:eastAsia="Arial" w:hAnsi="Arial" w:cs="Arial"/>
        </w:rPr>
        <w:t xml:space="preserve"> projects operating in the community</w:t>
      </w:r>
      <w:r w:rsidRPr="6A362178">
        <w:rPr>
          <w:rFonts w:ascii="Arial" w:eastAsia="Arial" w:hAnsi="Arial" w:cs="Arial"/>
        </w:rPr>
        <w:t>. Relevant performance data</w:t>
      </w:r>
      <w:r w:rsidR="006A7B09">
        <w:rPr>
          <w:rFonts w:ascii="Arial" w:eastAsia="Arial" w:hAnsi="Arial" w:cs="Arial"/>
        </w:rPr>
        <w:t xml:space="preserve"> may</w:t>
      </w:r>
      <w:r w:rsidRPr="6A362178">
        <w:rPr>
          <w:rFonts w:ascii="Arial" w:eastAsia="Arial" w:hAnsi="Arial" w:cs="Arial"/>
        </w:rPr>
        <w:t xml:space="preserve"> include:</w:t>
      </w:r>
    </w:p>
    <w:p w14:paraId="3B2C9531" w14:textId="5F467184" w:rsidR="793D56B6" w:rsidRDefault="462AA469" w:rsidP="6A362178">
      <w:pPr>
        <w:pStyle w:val="ListParagraph"/>
        <w:numPr>
          <w:ilvl w:val="1"/>
          <w:numId w:val="2"/>
        </w:numPr>
        <w:rPr>
          <w:rFonts w:ascii="Arial" w:eastAsia="Arial" w:hAnsi="Arial" w:cs="Arial"/>
        </w:rPr>
      </w:pPr>
      <w:r w:rsidRPr="6A362178">
        <w:rPr>
          <w:rFonts w:ascii="Arial" w:eastAsia="Arial" w:hAnsi="Arial" w:cs="Arial"/>
        </w:rPr>
        <w:t xml:space="preserve">CoC APR Question 7a: Total number of </w:t>
      </w:r>
      <w:proofErr w:type="gramStart"/>
      <w:r w:rsidRPr="6A362178">
        <w:rPr>
          <w:rFonts w:ascii="Arial" w:eastAsia="Arial" w:hAnsi="Arial" w:cs="Arial"/>
        </w:rPr>
        <w:t>persons</w:t>
      </w:r>
      <w:proofErr w:type="gramEnd"/>
      <w:r w:rsidRPr="6A362178">
        <w:rPr>
          <w:rFonts w:ascii="Arial" w:eastAsia="Arial" w:hAnsi="Arial" w:cs="Arial"/>
        </w:rPr>
        <w:t xml:space="preserve"> served annually</w:t>
      </w:r>
    </w:p>
    <w:p w14:paraId="0699882E" w14:textId="2BB35D7F" w:rsidR="793D56B6" w:rsidRDefault="462AA469" w:rsidP="6A362178">
      <w:pPr>
        <w:pStyle w:val="ListParagraph"/>
        <w:numPr>
          <w:ilvl w:val="1"/>
          <w:numId w:val="2"/>
        </w:numPr>
        <w:rPr>
          <w:rFonts w:ascii="Arial" w:eastAsia="Arial" w:hAnsi="Arial" w:cs="Arial"/>
        </w:rPr>
      </w:pPr>
      <w:r w:rsidRPr="6A362178">
        <w:rPr>
          <w:rFonts w:ascii="Arial" w:eastAsia="Arial" w:hAnsi="Arial" w:cs="Arial"/>
        </w:rPr>
        <w:t>CoC APR Question 22b: Median length of participation for both leavers and stayers</w:t>
      </w:r>
    </w:p>
    <w:p w14:paraId="3DE977A3" w14:textId="096F6BFD" w:rsidR="793D56B6" w:rsidRDefault="462AA469" w:rsidP="6A362178">
      <w:pPr>
        <w:pStyle w:val="ListParagraph"/>
        <w:numPr>
          <w:ilvl w:val="1"/>
          <w:numId w:val="2"/>
        </w:numPr>
        <w:rPr>
          <w:rFonts w:ascii="Arial" w:eastAsia="Arial" w:hAnsi="Arial" w:cs="Arial"/>
        </w:rPr>
      </w:pPr>
      <w:r w:rsidRPr="6A362178">
        <w:rPr>
          <w:rFonts w:ascii="Arial" w:eastAsia="Arial" w:hAnsi="Arial" w:cs="Arial"/>
        </w:rPr>
        <w:t>Total project cost relative to its impact and service volume</w:t>
      </w:r>
    </w:p>
    <w:p w14:paraId="789D8531" w14:textId="118EA5F8" w:rsidR="793D56B6" w:rsidRDefault="462AA469" w:rsidP="6A362178">
      <w:pPr>
        <w:pStyle w:val="ListParagraph"/>
        <w:numPr>
          <w:ilvl w:val="0"/>
          <w:numId w:val="2"/>
        </w:numPr>
        <w:rPr>
          <w:rFonts w:ascii="Arial" w:eastAsia="Arial" w:hAnsi="Arial" w:cs="Arial"/>
        </w:rPr>
      </w:pPr>
      <w:r w:rsidRPr="6A362178">
        <w:rPr>
          <w:rFonts w:ascii="Arial" w:eastAsia="Arial" w:hAnsi="Arial" w:cs="Arial"/>
          <w:b/>
          <w:bCs/>
        </w:rPr>
        <w:t>Untimely or Incomplete Expenditures</w:t>
      </w:r>
      <w:r w:rsidRPr="6A362178">
        <w:rPr>
          <w:rFonts w:ascii="Arial" w:eastAsia="Arial" w:hAnsi="Arial" w:cs="Arial"/>
        </w:rPr>
        <w:t xml:space="preserve">: Documented delays or failure to fully expend prior </w:t>
      </w:r>
      <w:proofErr w:type="gramStart"/>
      <w:r w:rsidRPr="6A362178">
        <w:rPr>
          <w:rFonts w:ascii="Arial" w:eastAsia="Arial" w:hAnsi="Arial" w:cs="Arial"/>
        </w:rPr>
        <w:t>year</w:t>
      </w:r>
      <w:proofErr w:type="gramEnd"/>
      <w:r w:rsidRPr="6A362178">
        <w:rPr>
          <w:rFonts w:ascii="Arial" w:eastAsia="Arial" w:hAnsi="Arial" w:cs="Arial"/>
        </w:rPr>
        <w:t xml:space="preserve"> awards may indicate inefficient use of funds.</w:t>
      </w:r>
    </w:p>
    <w:p w14:paraId="3750D451" w14:textId="44E53AD4" w:rsidR="793D56B6" w:rsidRDefault="462AA469" w:rsidP="6A362178">
      <w:pPr>
        <w:pStyle w:val="ListParagraph"/>
        <w:numPr>
          <w:ilvl w:val="0"/>
          <w:numId w:val="2"/>
        </w:numPr>
        <w:rPr>
          <w:rFonts w:ascii="Arial" w:eastAsia="Arial" w:hAnsi="Arial" w:cs="Arial"/>
        </w:rPr>
      </w:pPr>
      <w:r w:rsidRPr="6A362178">
        <w:rPr>
          <w:rFonts w:ascii="Arial" w:eastAsia="Arial" w:hAnsi="Arial" w:cs="Arial"/>
          <w:b/>
          <w:bCs/>
        </w:rPr>
        <w:t>Regulatory Non-Compliance</w:t>
      </w:r>
      <w:r w:rsidRPr="6A362178">
        <w:rPr>
          <w:rFonts w:ascii="Arial" w:eastAsia="Arial" w:hAnsi="Arial" w:cs="Arial"/>
        </w:rPr>
        <w:t>: Evidence of non-compliance with federal, state, or local regulations may also trigger review.</w:t>
      </w:r>
    </w:p>
    <w:p w14:paraId="222119F4" w14:textId="6AED6028" w:rsidR="00285756" w:rsidRDefault="00285756" w:rsidP="6A362178">
      <w:pPr>
        <w:rPr>
          <w:rFonts w:ascii="Arial" w:eastAsia="Arial" w:hAnsi="Arial" w:cs="Arial"/>
        </w:rPr>
      </w:pPr>
      <w:r w:rsidRPr="00285756">
        <w:rPr>
          <w:rFonts w:ascii="Arial" w:eastAsia="Arial" w:hAnsi="Arial" w:cs="Arial"/>
        </w:rPr>
        <w:t xml:space="preserve">While there </w:t>
      </w:r>
      <w:proofErr w:type="gramStart"/>
      <w:r w:rsidRPr="00285756">
        <w:rPr>
          <w:rFonts w:ascii="Arial" w:eastAsia="Arial" w:hAnsi="Arial" w:cs="Arial"/>
        </w:rPr>
        <w:t>is</w:t>
      </w:r>
      <w:proofErr w:type="gramEnd"/>
      <w:r w:rsidRPr="00285756">
        <w:rPr>
          <w:rFonts w:ascii="Arial" w:eastAsia="Arial" w:hAnsi="Arial" w:cs="Arial"/>
        </w:rPr>
        <w:t xml:space="preserve"> no appeals process for being identified for reallocation review, organizations may appeal the reallocation recommendation per the Competition Policies and Procedures.</w:t>
      </w:r>
    </w:p>
    <w:p w14:paraId="3110290B" w14:textId="4596DAAC" w:rsidR="793D56B6" w:rsidRDefault="195D761B" w:rsidP="6A362178">
      <w:pPr>
        <w:rPr>
          <w:rFonts w:ascii="Arial" w:eastAsia="Arial" w:hAnsi="Arial" w:cs="Arial"/>
        </w:rPr>
      </w:pPr>
      <w:r w:rsidRPr="6A362178">
        <w:rPr>
          <w:rFonts w:ascii="Arial" w:eastAsia="Arial" w:hAnsi="Arial" w:cs="Arial"/>
        </w:rPr>
        <w:t xml:space="preserve">The Ranking Committee will </w:t>
      </w:r>
      <w:r w:rsidR="00ED1F61">
        <w:rPr>
          <w:rFonts w:ascii="Arial" w:eastAsia="Arial" w:hAnsi="Arial" w:cs="Arial"/>
        </w:rPr>
        <w:t>review data from projects recommended for reallocation review</w:t>
      </w:r>
      <w:r w:rsidRPr="6A362178">
        <w:rPr>
          <w:rFonts w:ascii="Arial" w:eastAsia="Arial" w:hAnsi="Arial" w:cs="Arial"/>
        </w:rPr>
        <w:t xml:space="preserve"> and </w:t>
      </w:r>
      <w:r w:rsidR="09FD9426" w:rsidRPr="6A362178">
        <w:rPr>
          <w:rFonts w:ascii="Arial" w:eastAsia="Arial" w:hAnsi="Arial" w:cs="Arial"/>
        </w:rPr>
        <w:t xml:space="preserve">may </w:t>
      </w:r>
      <w:r w:rsidRPr="6A362178">
        <w:rPr>
          <w:rFonts w:ascii="Arial" w:eastAsia="Arial" w:hAnsi="Arial" w:cs="Arial"/>
        </w:rPr>
        <w:t>consider the following factors during a reallocation review:</w:t>
      </w:r>
    </w:p>
    <w:p w14:paraId="5135D1AB" w14:textId="3F5626D6" w:rsidR="793D56B6" w:rsidRDefault="195D761B" w:rsidP="6A362178">
      <w:pPr>
        <w:pStyle w:val="ListParagraph"/>
        <w:numPr>
          <w:ilvl w:val="0"/>
          <w:numId w:val="2"/>
        </w:numPr>
        <w:rPr>
          <w:rFonts w:ascii="Arial" w:eastAsia="Arial" w:hAnsi="Arial" w:cs="Arial"/>
        </w:rPr>
      </w:pPr>
      <w:r w:rsidRPr="6A362178">
        <w:rPr>
          <w:rFonts w:ascii="Arial" w:eastAsia="Arial" w:hAnsi="Arial" w:cs="Arial"/>
        </w:rPr>
        <w:t xml:space="preserve">Audit finding(s) for which a response is overdue or unsatisfactory </w:t>
      </w:r>
    </w:p>
    <w:p w14:paraId="06D4A976" w14:textId="10E6FC44" w:rsidR="793D56B6" w:rsidRDefault="195D761B" w:rsidP="6A362178">
      <w:pPr>
        <w:pStyle w:val="Default"/>
        <w:numPr>
          <w:ilvl w:val="0"/>
          <w:numId w:val="2"/>
        </w:numPr>
        <w:spacing w:after="34"/>
        <w:rPr>
          <w:rFonts w:eastAsia="Arial"/>
          <w:sz w:val="22"/>
          <w:szCs w:val="22"/>
        </w:rPr>
      </w:pPr>
      <w:r w:rsidRPr="6A362178">
        <w:rPr>
          <w:rFonts w:eastAsia="Arial"/>
          <w:sz w:val="22"/>
          <w:szCs w:val="22"/>
        </w:rPr>
        <w:t>HMIS compliance</w:t>
      </w:r>
      <w:r w:rsidR="05490490" w:rsidRPr="6A362178">
        <w:rPr>
          <w:rFonts w:eastAsia="Arial"/>
          <w:sz w:val="22"/>
          <w:szCs w:val="22"/>
        </w:rPr>
        <w:t xml:space="preserve">, as outlined in the HCIS Policies and Procedures linked </w:t>
      </w:r>
      <w:hyperlink r:id="rId7">
        <w:r w:rsidR="05490490" w:rsidRPr="6A362178">
          <w:rPr>
            <w:rStyle w:val="Hyperlink"/>
            <w:rFonts w:eastAsia="Arial"/>
            <w:sz w:val="22"/>
            <w:szCs w:val="22"/>
          </w:rPr>
          <w:t>here</w:t>
        </w:r>
      </w:hyperlink>
    </w:p>
    <w:p w14:paraId="622FF4D7" w14:textId="1A1B461F" w:rsidR="2D36AC4E" w:rsidRDefault="59CB13E3" w:rsidP="6A362178">
      <w:pPr>
        <w:pStyle w:val="Default"/>
        <w:numPr>
          <w:ilvl w:val="0"/>
          <w:numId w:val="2"/>
        </w:numPr>
        <w:spacing w:after="34"/>
        <w:rPr>
          <w:rFonts w:eastAsia="Arial"/>
          <w:sz w:val="22"/>
          <w:szCs w:val="22"/>
        </w:rPr>
      </w:pPr>
      <w:r w:rsidRPr="6A362178">
        <w:rPr>
          <w:rFonts w:eastAsia="Arial"/>
          <w:sz w:val="22"/>
          <w:szCs w:val="22"/>
        </w:rPr>
        <w:t>Project a</w:t>
      </w:r>
      <w:r w:rsidR="195D761B" w:rsidRPr="6A362178">
        <w:rPr>
          <w:rFonts w:eastAsia="Arial"/>
          <w:sz w:val="22"/>
          <w:szCs w:val="22"/>
        </w:rPr>
        <w:t xml:space="preserve">lignment with GRCoC funding priorities </w:t>
      </w:r>
    </w:p>
    <w:p w14:paraId="67D7C2DF" w14:textId="0DCDD9FD" w:rsidR="21B0224C" w:rsidRDefault="00C35AAC" w:rsidP="6A362178">
      <w:pPr>
        <w:pStyle w:val="Default"/>
        <w:numPr>
          <w:ilvl w:val="0"/>
          <w:numId w:val="2"/>
        </w:numPr>
        <w:spacing w:after="34"/>
        <w:rPr>
          <w:rFonts w:eastAsia="Arial"/>
          <w:sz w:val="22"/>
          <w:szCs w:val="22"/>
        </w:rPr>
      </w:pPr>
      <w:r w:rsidRPr="6A362178">
        <w:rPr>
          <w:rFonts w:eastAsia="Arial"/>
          <w:sz w:val="22"/>
          <w:szCs w:val="22"/>
        </w:rPr>
        <w:t>Project operational role within the Coordinated Entry System (does this project serve a specific sub-population prioritized by the CoC, etc.)</w:t>
      </w:r>
    </w:p>
    <w:p w14:paraId="0290618F" w14:textId="53795E52" w:rsidR="793D56B6" w:rsidRDefault="195D761B" w:rsidP="6A362178">
      <w:pPr>
        <w:pStyle w:val="Default"/>
        <w:numPr>
          <w:ilvl w:val="0"/>
          <w:numId w:val="2"/>
        </w:numPr>
        <w:rPr>
          <w:rFonts w:eastAsia="Arial"/>
          <w:sz w:val="22"/>
          <w:szCs w:val="22"/>
        </w:rPr>
      </w:pPr>
      <w:r w:rsidRPr="6A362178">
        <w:rPr>
          <w:rFonts w:eastAsia="Arial"/>
          <w:sz w:val="22"/>
          <w:szCs w:val="22"/>
        </w:rPr>
        <w:t>Coordinated application ranking</w:t>
      </w:r>
      <w:r w:rsidR="69FA5B60" w:rsidRPr="6A362178">
        <w:rPr>
          <w:rFonts w:eastAsia="Arial"/>
          <w:sz w:val="22"/>
          <w:szCs w:val="22"/>
        </w:rPr>
        <w:t xml:space="preserve"> in prior funding competitions</w:t>
      </w:r>
    </w:p>
    <w:p w14:paraId="2C27A3B3" w14:textId="1B8B98AC" w:rsidR="47A5636C" w:rsidRDefault="69FA5B60" w:rsidP="6A362178">
      <w:pPr>
        <w:pStyle w:val="Default"/>
        <w:numPr>
          <w:ilvl w:val="0"/>
          <w:numId w:val="2"/>
        </w:numPr>
        <w:rPr>
          <w:rFonts w:eastAsia="Arial"/>
          <w:sz w:val="22"/>
          <w:szCs w:val="22"/>
        </w:rPr>
      </w:pPr>
      <w:r w:rsidRPr="6A362178">
        <w:rPr>
          <w:rFonts w:eastAsia="Arial"/>
          <w:sz w:val="22"/>
          <w:szCs w:val="22"/>
        </w:rPr>
        <w:t xml:space="preserve">Other quantitative or qualitative information requested by the Ranking Committee </w:t>
      </w:r>
    </w:p>
    <w:p w14:paraId="395572C7" w14:textId="2E87A257" w:rsidR="6A362178" w:rsidRDefault="6A362178" w:rsidP="6A362178">
      <w:pPr>
        <w:pStyle w:val="Default"/>
        <w:ind w:left="720"/>
        <w:rPr>
          <w:rFonts w:eastAsia="Arial"/>
          <w:sz w:val="22"/>
          <w:szCs w:val="22"/>
        </w:rPr>
      </w:pPr>
    </w:p>
    <w:p w14:paraId="32DD1F2B" w14:textId="16825A3E" w:rsidR="6B977C02" w:rsidRDefault="74CD209F" w:rsidP="6A362178">
      <w:pPr>
        <w:pStyle w:val="Default"/>
        <w:rPr>
          <w:rFonts w:eastAsia="Arial"/>
          <w:sz w:val="23"/>
          <w:szCs w:val="23"/>
        </w:rPr>
      </w:pPr>
      <w:r w:rsidRPr="6A362178">
        <w:rPr>
          <w:rFonts w:eastAsia="Arial"/>
          <w:sz w:val="23"/>
          <w:szCs w:val="23"/>
        </w:rPr>
        <w:t>If reviewed</w:t>
      </w:r>
      <w:r w:rsidR="21ABB65B" w:rsidRPr="6A362178">
        <w:rPr>
          <w:rFonts w:eastAsia="Arial"/>
          <w:sz w:val="23"/>
          <w:szCs w:val="23"/>
        </w:rPr>
        <w:t xml:space="preserve"> and recommended for reallocation</w:t>
      </w:r>
      <w:r w:rsidRPr="6A362178">
        <w:rPr>
          <w:rFonts w:eastAsia="Arial"/>
          <w:sz w:val="23"/>
          <w:szCs w:val="23"/>
        </w:rPr>
        <w:t>, g</w:t>
      </w:r>
      <w:r w:rsidR="530D9F9D" w:rsidRPr="6A362178">
        <w:rPr>
          <w:rFonts w:eastAsia="Arial"/>
          <w:sz w:val="23"/>
          <w:szCs w:val="23"/>
        </w:rPr>
        <w:t xml:space="preserve">rantees will be notified in writing of the Ranking Committee’s reallocation recommendation and justification. Grantees will be </w:t>
      </w:r>
      <w:r w:rsidR="68B7E18F" w:rsidRPr="6A362178">
        <w:rPr>
          <w:rFonts w:eastAsia="Arial"/>
          <w:sz w:val="23"/>
          <w:szCs w:val="23"/>
        </w:rPr>
        <w:t>provided with</w:t>
      </w:r>
      <w:r w:rsidR="530D9F9D" w:rsidRPr="6A362178">
        <w:rPr>
          <w:rFonts w:eastAsia="Arial"/>
          <w:sz w:val="23"/>
          <w:szCs w:val="23"/>
        </w:rPr>
        <w:t xml:space="preserve"> a copy of the Appeals proces</w:t>
      </w:r>
      <w:r w:rsidR="40D32C50" w:rsidRPr="6A362178">
        <w:rPr>
          <w:rFonts w:eastAsia="Arial"/>
          <w:sz w:val="23"/>
          <w:szCs w:val="23"/>
        </w:rPr>
        <w:t>s in the Competition Policies and Procedures.</w:t>
      </w:r>
    </w:p>
    <w:p w14:paraId="41DDA5FC" w14:textId="08566D02" w:rsidR="3E08BBFC" w:rsidRDefault="3E08BBFC" w:rsidP="6A362178">
      <w:pPr>
        <w:pStyle w:val="Default"/>
        <w:rPr>
          <w:rFonts w:eastAsia="Arial"/>
          <w:sz w:val="23"/>
          <w:szCs w:val="23"/>
        </w:rPr>
      </w:pPr>
    </w:p>
    <w:p w14:paraId="7E7391A9" w14:textId="3F3DED62" w:rsidR="5E121372" w:rsidRPr="009C1FA6" w:rsidRDefault="530D9F9D" w:rsidP="5E121372">
      <w:pPr>
        <w:pStyle w:val="Default"/>
        <w:rPr>
          <w:sz w:val="23"/>
          <w:szCs w:val="23"/>
        </w:rPr>
      </w:pPr>
      <w:r w:rsidRPr="6A362178">
        <w:rPr>
          <w:rFonts w:eastAsia="Arial"/>
          <w:sz w:val="23"/>
          <w:szCs w:val="23"/>
        </w:rPr>
        <w:t>At the end of the appeal period, the Ranking Committee will provide the reallocation recommendation to the GRCoC Board of Directors as part of the coordinated grant application for review and vote to approve or disapprove.</w:t>
      </w:r>
      <w:r w:rsidRPr="6A362178">
        <w:rPr>
          <w:sz w:val="23"/>
          <w:szCs w:val="23"/>
        </w:rPr>
        <w:t xml:space="preserve"> </w:t>
      </w:r>
    </w:p>
    <w:sectPr w:rsidR="5E121372" w:rsidRPr="009C1FA6" w:rsidSect="00FC40A8">
      <w:headerReference w:type="default" r:id="rId8"/>
      <w:footerReference w:type="default" r:id="rId9"/>
      <w:pgSz w:w="12240" w:h="16340"/>
      <w:pgMar w:top="1866" w:right="909" w:bottom="670" w:left="11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B77D" w14:textId="77777777" w:rsidR="002D0809" w:rsidRDefault="002D0809" w:rsidP="00AC1B5D">
      <w:pPr>
        <w:spacing w:after="0" w:line="240" w:lineRule="auto"/>
      </w:pPr>
      <w:r>
        <w:separator/>
      </w:r>
    </w:p>
  </w:endnote>
  <w:endnote w:type="continuationSeparator" w:id="0">
    <w:p w14:paraId="3CA4B012" w14:textId="77777777" w:rsidR="002D0809" w:rsidRDefault="002D0809" w:rsidP="00AC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AC1B5D" w:rsidRDefault="00AC1B5D">
    <w:pPr>
      <w:pStyle w:val="Footer"/>
    </w:pPr>
  </w:p>
  <w:p w14:paraId="3656B9AB" w14:textId="77777777" w:rsidR="00AC1B5D" w:rsidRPr="00AC1B5D" w:rsidRDefault="00AC1B5D" w:rsidP="00AC1B5D">
    <w:pPr>
      <w:autoSpaceDE w:val="0"/>
      <w:autoSpaceDN w:val="0"/>
      <w:adjustRightInd w:val="0"/>
      <w:spacing w:after="0" w:line="240" w:lineRule="auto"/>
      <w:rPr>
        <w:rFonts w:ascii="Calibri" w:hAnsi="Calibri" w:cs="Calibri"/>
        <w:color w:val="000000"/>
        <w:sz w:val="24"/>
        <w:szCs w:val="24"/>
      </w:rPr>
    </w:pPr>
  </w:p>
  <w:p w14:paraId="24E350DD" w14:textId="3373A648" w:rsidR="00C93D53" w:rsidRDefault="00F3584C" w:rsidP="6A362178">
    <w:pPr>
      <w:pStyle w:val="Footer"/>
      <w:jc w:val="right"/>
      <w:rPr>
        <w:rFonts w:ascii="Calibri" w:hAnsi="Calibri" w:cs="Calibri"/>
        <w:color w:val="000000" w:themeColor="text1"/>
      </w:rPr>
    </w:pPr>
    <w:r>
      <w:rPr>
        <w:rFonts w:ascii="Calibri" w:hAnsi="Calibri" w:cs="Calibri"/>
        <w:color w:val="000000" w:themeColor="text1"/>
      </w:rPr>
      <w:t>Approved by GRCoC Ranking Committee; 7/17/25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029D" w14:textId="77777777" w:rsidR="002D0809" w:rsidRDefault="002D0809" w:rsidP="00AC1B5D">
      <w:pPr>
        <w:spacing w:after="0" w:line="240" w:lineRule="auto"/>
      </w:pPr>
      <w:r>
        <w:separator/>
      </w:r>
    </w:p>
  </w:footnote>
  <w:footnote w:type="continuationSeparator" w:id="0">
    <w:p w14:paraId="51E49D1F" w14:textId="77777777" w:rsidR="002D0809" w:rsidRDefault="002D0809" w:rsidP="00AC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80"/>
      <w:gridCol w:w="3380"/>
      <w:gridCol w:w="3380"/>
    </w:tblGrid>
    <w:tr w:rsidR="6A362178" w14:paraId="674C0032" w14:textId="77777777" w:rsidTr="6A362178">
      <w:trPr>
        <w:trHeight w:val="300"/>
      </w:trPr>
      <w:tc>
        <w:tcPr>
          <w:tcW w:w="3380" w:type="dxa"/>
        </w:tcPr>
        <w:p w14:paraId="53943E1C" w14:textId="474D83E7" w:rsidR="6A362178" w:rsidRDefault="6A362178" w:rsidP="6A362178">
          <w:pPr>
            <w:pStyle w:val="Header"/>
            <w:ind w:left="-115"/>
          </w:pPr>
        </w:p>
      </w:tc>
      <w:tc>
        <w:tcPr>
          <w:tcW w:w="3380" w:type="dxa"/>
        </w:tcPr>
        <w:p w14:paraId="4D924F66" w14:textId="21D6ADAB" w:rsidR="6A362178" w:rsidRDefault="6A362178" w:rsidP="6A362178">
          <w:pPr>
            <w:pStyle w:val="Header"/>
            <w:jc w:val="center"/>
          </w:pPr>
        </w:p>
      </w:tc>
      <w:tc>
        <w:tcPr>
          <w:tcW w:w="3380" w:type="dxa"/>
        </w:tcPr>
        <w:p w14:paraId="09A43D2F" w14:textId="44A18CE4" w:rsidR="6A362178" w:rsidRDefault="6A362178" w:rsidP="6A362178">
          <w:pPr>
            <w:pStyle w:val="Header"/>
            <w:ind w:right="-115"/>
            <w:jc w:val="right"/>
          </w:pPr>
        </w:p>
      </w:tc>
    </w:tr>
  </w:tbl>
  <w:p w14:paraId="38A00FA0" w14:textId="6F34D9C8" w:rsidR="6A362178" w:rsidRDefault="6A362178" w:rsidP="6A362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A950D"/>
    <w:multiLevelType w:val="hybridMultilevel"/>
    <w:tmpl w:val="CD1A0762"/>
    <w:lvl w:ilvl="0" w:tplc="BEA07F78">
      <w:start w:val="1"/>
      <w:numFmt w:val="bullet"/>
      <w:lvlText w:val=""/>
      <w:lvlJc w:val="left"/>
      <w:pPr>
        <w:ind w:left="720" w:hanging="360"/>
      </w:pPr>
      <w:rPr>
        <w:rFonts w:ascii="Symbol" w:hAnsi="Symbol" w:hint="default"/>
      </w:rPr>
    </w:lvl>
    <w:lvl w:ilvl="1" w:tplc="A2669EDE">
      <w:start w:val="1"/>
      <w:numFmt w:val="bullet"/>
      <w:lvlText w:val="o"/>
      <w:lvlJc w:val="left"/>
      <w:pPr>
        <w:ind w:left="1440" w:hanging="360"/>
      </w:pPr>
      <w:rPr>
        <w:rFonts w:ascii="Courier New" w:hAnsi="Courier New" w:hint="default"/>
      </w:rPr>
    </w:lvl>
    <w:lvl w:ilvl="2" w:tplc="3A8685FC">
      <w:start w:val="1"/>
      <w:numFmt w:val="bullet"/>
      <w:lvlText w:val=""/>
      <w:lvlJc w:val="left"/>
      <w:pPr>
        <w:ind w:left="2160" w:hanging="360"/>
      </w:pPr>
      <w:rPr>
        <w:rFonts w:ascii="Wingdings" w:hAnsi="Wingdings" w:hint="default"/>
      </w:rPr>
    </w:lvl>
    <w:lvl w:ilvl="3" w:tplc="8F983654">
      <w:start w:val="1"/>
      <w:numFmt w:val="bullet"/>
      <w:lvlText w:val=""/>
      <w:lvlJc w:val="left"/>
      <w:pPr>
        <w:ind w:left="2880" w:hanging="360"/>
      </w:pPr>
      <w:rPr>
        <w:rFonts w:ascii="Symbol" w:hAnsi="Symbol" w:hint="default"/>
      </w:rPr>
    </w:lvl>
    <w:lvl w:ilvl="4" w:tplc="914EC158">
      <w:start w:val="1"/>
      <w:numFmt w:val="bullet"/>
      <w:lvlText w:val="o"/>
      <w:lvlJc w:val="left"/>
      <w:pPr>
        <w:ind w:left="3600" w:hanging="360"/>
      </w:pPr>
      <w:rPr>
        <w:rFonts w:ascii="Courier New" w:hAnsi="Courier New" w:hint="default"/>
      </w:rPr>
    </w:lvl>
    <w:lvl w:ilvl="5" w:tplc="FBFED0FA">
      <w:start w:val="1"/>
      <w:numFmt w:val="bullet"/>
      <w:lvlText w:val=""/>
      <w:lvlJc w:val="left"/>
      <w:pPr>
        <w:ind w:left="4320" w:hanging="360"/>
      </w:pPr>
      <w:rPr>
        <w:rFonts w:ascii="Wingdings" w:hAnsi="Wingdings" w:hint="default"/>
      </w:rPr>
    </w:lvl>
    <w:lvl w:ilvl="6" w:tplc="ADD2C318">
      <w:start w:val="1"/>
      <w:numFmt w:val="bullet"/>
      <w:lvlText w:val=""/>
      <w:lvlJc w:val="left"/>
      <w:pPr>
        <w:ind w:left="5040" w:hanging="360"/>
      </w:pPr>
      <w:rPr>
        <w:rFonts w:ascii="Symbol" w:hAnsi="Symbol" w:hint="default"/>
      </w:rPr>
    </w:lvl>
    <w:lvl w:ilvl="7" w:tplc="121AB866">
      <w:start w:val="1"/>
      <w:numFmt w:val="bullet"/>
      <w:lvlText w:val="o"/>
      <w:lvlJc w:val="left"/>
      <w:pPr>
        <w:ind w:left="5760" w:hanging="360"/>
      </w:pPr>
      <w:rPr>
        <w:rFonts w:ascii="Courier New" w:hAnsi="Courier New" w:hint="default"/>
      </w:rPr>
    </w:lvl>
    <w:lvl w:ilvl="8" w:tplc="AEE4CBAA">
      <w:start w:val="1"/>
      <w:numFmt w:val="bullet"/>
      <w:lvlText w:val=""/>
      <w:lvlJc w:val="left"/>
      <w:pPr>
        <w:ind w:left="6480" w:hanging="360"/>
      </w:pPr>
      <w:rPr>
        <w:rFonts w:ascii="Wingdings" w:hAnsi="Wingdings" w:hint="default"/>
      </w:rPr>
    </w:lvl>
  </w:abstractNum>
  <w:abstractNum w:abstractNumId="1" w15:restartNumberingAfterBreak="0">
    <w:nsid w:val="1D08A419"/>
    <w:multiLevelType w:val="hybridMultilevel"/>
    <w:tmpl w:val="A6E2C5C6"/>
    <w:lvl w:ilvl="0" w:tplc="EAFEA6A6">
      <w:start w:val="1"/>
      <w:numFmt w:val="bullet"/>
      <w:lvlText w:val="-"/>
      <w:lvlJc w:val="left"/>
      <w:pPr>
        <w:ind w:left="720" w:hanging="360"/>
      </w:pPr>
      <w:rPr>
        <w:rFonts w:ascii="Aptos" w:hAnsi="Aptos" w:hint="default"/>
      </w:rPr>
    </w:lvl>
    <w:lvl w:ilvl="1" w:tplc="B790948E">
      <w:start w:val="1"/>
      <w:numFmt w:val="bullet"/>
      <w:lvlText w:val="o"/>
      <w:lvlJc w:val="left"/>
      <w:pPr>
        <w:ind w:left="1440" w:hanging="360"/>
      </w:pPr>
      <w:rPr>
        <w:rFonts w:ascii="Courier New" w:hAnsi="Courier New" w:hint="default"/>
      </w:rPr>
    </w:lvl>
    <w:lvl w:ilvl="2" w:tplc="A85A3538">
      <w:start w:val="1"/>
      <w:numFmt w:val="bullet"/>
      <w:lvlText w:val=""/>
      <w:lvlJc w:val="left"/>
      <w:pPr>
        <w:ind w:left="2160" w:hanging="360"/>
      </w:pPr>
      <w:rPr>
        <w:rFonts w:ascii="Wingdings" w:hAnsi="Wingdings" w:hint="default"/>
      </w:rPr>
    </w:lvl>
    <w:lvl w:ilvl="3" w:tplc="F2CC07D2">
      <w:start w:val="1"/>
      <w:numFmt w:val="bullet"/>
      <w:lvlText w:val=""/>
      <w:lvlJc w:val="left"/>
      <w:pPr>
        <w:ind w:left="2880" w:hanging="360"/>
      </w:pPr>
      <w:rPr>
        <w:rFonts w:ascii="Symbol" w:hAnsi="Symbol" w:hint="default"/>
      </w:rPr>
    </w:lvl>
    <w:lvl w:ilvl="4" w:tplc="47BC76F8">
      <w:start w:val="1"/>
      <w:numFmt w:val="bullet"/>
      <w:lvlText w:val="o"/>
      <w:lvlJc w:val="left"/>
      <w:pPr>
        <w:ind w:left="3600" w:hanging="360"/>
      </w:pPr>
      <w:rPr>
        <w:rFonts w:ascii="Courier New" w:hAnsi="Courier New" w:hint="default"/>
      </w:rPr>
    </w:lvl>
    <w:lvl w:ilvl="5" w:tplc="8D3EF40E">
      <w:start w:val="1"/>
      <w:numFmt w:val="bullet"/>
      <w:lvlText w:val=""/>
      <w:lvlJc w:val="left"/>
      <w:pPr>
        <w:ind w:left="4320" w:hanging="360"/>
      </w:pPr>
      <w:rPr>
        <w:rFonts w:ascii="Wingdings" w:hAnsi="Wingdings" w:hint="default"/>
      </w:rPr>
    </w:lvl>
    <w:lvl w:ilvl="6" w:tplc="60B8E6B0">
      <w:start w:val="1"/>
      <w:numFmt w:val="bullet"/>
      <w:lvlText w:val=""/>
      <w:lvlJc w:val="left"/>
      <w:pPr>
        <w:ind w:left="5040" w:hanging="360"/>
      </w:pPr>
      <w:rPr>
        <w:rFonts w:ascii="Symbol" w:hAnsi="Symbol" w:hint="default"/>
      </w:rPr>
    </w:lvl>
    <w:lvl w:ilvl="7" w:tplc="85742CCA">
      <w:start w:val="1"/>
      <w:numFmt w:val="bullet"/>
      <w:lvlText w:val="o"/>
      <w:lvlJc w:val="left"/>
      <w:pPr>
        <w:ind w:left="5760" w:hanging="360"/>
      </w:pPr>
      <w:rPr>
        <w:rFonts w:ascii="Courier New" w:hAnsi="Courier New" w:hint="default"/>
      </w:rPr>
    </w:lvl>
    <w:lvl w:ilvl="8" w:tplc="8D3806B8">
      <w:start w:val="1"/>
      <w:numFmt w:val="bullet"/>
      <w:lvlText w:val=""/>
      <w:lvlJc w:val="left"/>
      <w:pPr>
        <w:ind w:left="6480" w:hanging="360"/>
      </w:pPr>
      <w:rPr>
        <w:rFonts w:ascii="Wingdings" w:hAnsi="Wingdings" w:hint="default"/>
      </w:rPr>
    </w:lvl>
  </w:abstractNum>
  <w:abstractNum w:abstractNumId="2" w15:restartNumberingAfterBreak="0">
    <w:nsid w:val="3BA30250"/>
    <w:multiLevelType w:val="hybridMultilevel"/>
    <w:tmpl w:val="EBAA7FD8"/>
    <w:lvl w:ilvl="0" w:tplc="F0629EB4">
      <w:start w:val="1"/>
      <w:numFmt w:val="decimal"/>
      <w:lvlText w:val="%1."/>
      <w:lvlJc w:val="left"/>
      <w:pPr>
        <w:ind w:left="720" w:hanging="360"/>
      </w:pPr>
    </w:lvl>
    <w:lvl w:ilvl="1" w:tplc="E95621F4">
      <w:start w:val="1"/>
      <w:numFmt w:val="lowerLetter"/>
      <w:lvlText w:val="%2."/>
      <w:lvlJc w:val="left"/>
      <w:pPr>
        <w:ind w:left="1440" w:hanging="360"/>
      </w:pPr>
    </w:lvl>
    <w:lvl w:ilvl="2" w:tplc="E95AC730">
      <w:start w:val="1"/>
      <w:numFmt w:val="lowerRoman"/>
      <w:lvlText w:val="%3."/>
      <w:lvlJc w:val="right"/>
      <w:pPr>
        <w:ind w:left="2160" w:hanging="180"/>
      </w:pPr>
    </w:lvl>
    <w:lvl w:ilvl="3" w:tplc="0BF4115E">
      <w:start w:val="1"/>
      <w:numFmt w:val="decimal"/>
      <w:lvlText w:val="%4."/>
      <w:lvlJc w:val="left"/>
      <w:pPr>
        <w:ind w:left="2880" w:hanging="360"/>
      </w:pPr>
    </w:lvl>
    <w:lvl w:ilvl="4" w:tplc="97901272">
      <w:start w:val="1"/>
      <w:numFmt w:val="lowerLetter"/>
      <w:lvlText w:val="%5."/>
      <w:lvlJc w:val="left"/>
      <w:pPr>
        <w:ind w:left="3600" w:hanging="360"/>
      </w:pPr>
    </w:lvl>
    <w:lvl w:ilvl="5" w:tplc="FF923122">
      <w:start w:val="1"/>
      <w:numFmt w:val="lowerRoman"/>
      <w:lvlText w:val="%6."/>
      <w:lvlJc w:val="right"/>
      <w:pPr>
        <w:ind w:left="4320" w:hanging="180"/>
      </w:pPr>
    </w:lvl>
    <w:lvl w:ilvl="6" w:tplc="60BEDF4A">
      <w:start w:val="1"/>
      <w:numFmt w:val="decimal"/>
      <w:lvlText w:val="%7."/>
      <w:lvlJc w:val="left"/>
      <w:pPr>
        <w:ind w:left="5040" w:hanging="360"/>
      </w:pPr>
    </w:lvl>
    <w:lvl w:ilvl="7" w:tplc="BFC2E7D4">
      <w:start w:val="1"/>
      <w:numFmt w:val="lowerLetter"/>
      <w:lvlText w:val="%8."/>
      <w:lvlJc w:val="left"/>
      <w:pPr>
        <w:ind w:left="5760" w:hanging="360"/>
      </w:pPr>
    </w:lvl>
    <w:lvl w:ilvl="8" w:tplc="67FA4352">
      <w:start w:val="1"/>
      <w:numFmt w:val="lowerRoman"/>
      <w:lvlText w:val="%9."/>
      <w:lvlJc w:val="right"/>
      <w:pPr>
        <w:ind w:left="6480" w:hanging="180"/>
      </w:pPr>
    </w:lvl>
  </w:abstractNum>
  <w:abstractNum w:abstractNumId="3" w15:restartNumberingAfterBreak="0">
    <w:nsid w:val="6F6873F0"/>
    <w:multiLevelType w:val="hybridMultilevel"/>
    <w:tmpl w:val="309A0FC4"/>
    <w:lvl w:ilvl="0" w:tplc="3BF6DEEA">
      <w:start w:val="1"/>
      <w:numFmt w:val="bullet"/>
      <w:lvlText w:val=""/>
      <w:lvlJc w:val="left"/>
      <w:pPr>
        <w:ind w:left="720" w:hanging="360"/>
      </w:pPr>
      <w:rPr>
        <w:rFonts w:ascii="Symbol" w:hAnsi="Symbol" w:hint="default"/>
      </w:rPr>
    </w:lvl>
    <w:lvl w:ilvl="1" w:tplc="73865F60">
      <w:start w:val="1"/>
      <w:numFmt w:val="bullet"/>
      <w:lvlText w:val="o"/>
      <w:lvlJc w:val="left"/>
      <w:pPr>
        <w:ind w:left="1440" w:hanging="360"/>
      </w:pPr>
      <w:rPr>
        <w:rFonts w:ascii="Courier New" w:hAnsi="Courier New" w:hint="default"/>
      </w:rPr>
    </w:lvl>
    <w:lvl w:ilvl="2" w:tplc="84EE4138">
      <w:start w:val="1"/>
      <w:numFmt w:val="bullet"/>
      <w:lvlText w:val=""/>
      <w:lvlJc w:val="left"/>
      <w:pPr>
        <w:ind w:left="2160" w:hanging="360"/>
      </w:pPr>
      <w:rPr>
        <w:rFonts w:ascii="Wingdings" w:hAnsi="Wingdings" w:hint="default"/>
      </w:rPr>
    </w:lvl>
    <w:lvl w:ilvl="3" w:tplc="5F861FBE">
      <w:start w:val="1"/>
      <w:numFmt w:val="bullet"/>
      <w:lvlText w:val=""/>
      <w:lvlJc w:val="left"/>
      <w:pPr>
        <w:ind w:left="2880" w:hanging="360"/>
      </w:pPr>
      <w:rPr>
        <w:rFonts w:ascii="Symbol" w:hAnsi="Symbol" w:hint="default"/>
      </w:rPr>
    </w:lvl>
    <w:lvl w:ilvl="4" w:tplc="1B68C290">
      <w:start w:val="1"/>
      <w:numFmt w:val="bullet"/>
      <w:lvlText w:val="o"/>
      <w:lvlJc w:val="left"/>
      <w:pPr>
        <w:ind w:left="3600" w:hanging="360"/>
      </w:pPr>
      <w:rPr>
        <w:rFonts w:ascii="Courier New" w:hAnsi="Courier New" w:hint="default"/>
      </w:rPr>
    </w:lvl>
    <w:lvl w:ilvl="5" w:tplc="B292FEDC">
      <w:start w:val="1"/>
      <w:numFmt w:val="bullet"/>
      <w:lvlText w:val=""/>
      <w:lvlJc w:val="left"/>
      <w:pPr>
        <w:ind w:left="4320" w:hanging="360"/>
      </w:pPr>
      <w:rPr>
        <w:rFonts w:ascii="Wingdings" w:hAnsi="Wingdings" w:hint="default"/>
      </w:rPr>
    </w:lvl>
    <w:lvl w:ilvl="6" w:tplc="D8EEDD44">
      <w:start w:val="1"/>
      <w:numFmt w:val="bullet"/>
      <w:lvlText w:val=""/>
      <w:lvlJc w:val="left"/>
      <w:pPr>
        <w:ind w:left="5040" w:hanging="360"/>
      </w:pPr>
      <w:rPr>
        <w:rFonts w:ascii="Symbol" w:hAnsi="Symbol" w:hint="default"/>
      </w:rPr>
    </w:lvl>
    <w:lvl w:ilvl="7" w:tplc="0022789E">
      <w:start w:val="1"/>
      <w:numFmt w:val="bullet"/>
      <w:lvlText w:val="o"/>
      <w:lvlJc w:val="left"/>
      <w:pPr>
        <w:ind w:left="5760" w:hanging="360"/>
      </w:pPr>
      <w:rPr>
        <w:rFonts w:ascii="Courier New" w:hAnsi="Courier New" w:hint="default"/>
      </w:rPr>
    </w:lvl>
    <w:lvl w:ilvl="8" w:tplc="C6BCAE44">
      <w:start w:val="1"/>
      <w:numFmt w:val="bullet"/>
      <w:lvlText w:val=""/>
      <w:lvlJc w:val="left"/>
      <w:pPr>
        <w:ind w:left="6480" w:hanging="360"/>
      </w:pPr>
      <w:rPr>
        <w:rFonts w:ascii="Wingdings" w:hAnsi="Wingdings" w:hint="default"/>
      </w:rPr>
    </w:lvl>
  </w:abstractNum>
  <w:num w:numId="1" w16cid:durableId="1500192770">
    <w:abstractNumId w:val="0"/>
  </w:num>
  <w:num w:numId="2" w16cid:durableId="443035800">
    <w:abstractNumId w:val="1"/>
  </w:num>
  <w:num w:numId="3" w16cid:durableId="1401710194">
    <w:abstractNumId w:val="2"/>
  </w:num>
  <w:num w:numId="4" w16cid:durableId="959454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5E"/>
    <w:rsid w:val="00002BE2"/>
    <w:rsid w:val="00056E06"/>
    <w:rsid w:val="000D655F"/>
    <w:rsid w:val="001157A5"/>
    <w:rsid w:val="00132184"/>
    <w:rsid w:val="00232BE1"/>
    <w:rsid w:val="0028498F"/>
    <w:rsid w:val="00285756"/>
    <w:rsid w:val="00287809"/>
    <w:rsid w:val="002B79E7"/>
    <w:rsid w:val="002D0809"/>
    <w:rsid w:val="003D1B62"/>
    <w:rsid w:val="004D2E0F"/>
    <w:rsid w:val="00525C23"/>
    <w:rsid w:val="0057672C"/>
    <w:rsid w:val="00595257"/>
    <w:rsid w:val="005C3BD7"/>
    <w:rsid w:val="006A7B09"/>
    <w:rsid w:val="00857A31"/>
    <w:rsid w:val="009C1FA6"/>
    <w:rsid w:val="009E3D71"/>
    <w:rsid w:val="00A861F0"/>
    <w:rsid w:val="00AC1B5D"/>
    <w:rsid w:val="00B241AD"/>
    <w:rsid w:val="00B34C5E"/>
    <w:rsid w:val="00B458C1"/>
    <w:rsid w:val="00BB205B"/>
    <w:rsid w:val="00BC7ACC"/>
    <w:rsid w:val="00C15FFE"/>
    <w:rsid w:val="00C21F69"/>
    <w:rsid w:val="00C35AAC"/>
    <w:rsid w:val="00C75E93"/>
    <w:rsid w:val="00C93D53"/>
    <w:rsid w:val="00D01A81"/>
    <w:rsid w:val="00E3112B"/>
    <w:rsid w:val="00E43E19"/>
    <w:rsid w:val="00E77653"/>
    <w:rsid w:val="00E855FB"/>
    <w:rsid w:val="00ED1F61"/>
    <w:rsid w:val="00EF12E0"/>
    <w:rsid w:val="00F03002"/>
    <w:rsid w:val="00F3584C"/>
    <w:rsid w:val="00FD7E89"/>
    <w:rsid w:val="01648FBE"/>
    <w:rsid w:val="01DF6EB7"/>
    <w:rsid w:val="032155A5"/>
    <w:rsid w:val="0337473B"/>
    <w:rsid w:val="03C85AB4"/>
    <w:rsid w:val="046DFFA2"/>
    <w:rsid w:val="05490490"/>
    <w:rsid w:val="05CDA6B2"/>
    <w:rsid w:val="05E3A27D"/>
    <w:rsid w:val="07DE6D2B"/>
    <w:rsid w:val="07FE2786"/>
    <w:rsid w:val="085746C9"/>
    <w:rsid w:val="09FD9426"/>
    <w:rsid w:val="0B25CCC9"/>
    <w:rsid w:val="0E54BFAC"/>
    <w:rsid w:val="0E87F9D9"/>
    <w:rsid w:val="0F9960B5"/>
    <w:rsid w:val="1569854B"/>
    <w:rsid w:val="15758595"/>
    <w:rsid w:val="195D761B"/>
    <w:rsid w:val="1C2DB8A5"/>
    <w:rsid w:val="1C5028DF"/>
    <w:rsid w:val="1EE27AC8"/>
    <w:rsid w:val="201AC616"/>
    <w:rsid w:val="206EE924"/>
    <w:rsid w:val="20DF5807"/>
    <w:rsid w:val="210144CE"/>
    <w:rsid w:val="21ABB65B"/>
    <w:rsid w:val="21B0224C"/>
    <w:rsid w:val="21EDC522"/>
    <w:rsid w:val="2346F845"/>
    <w:rsid w:val="25E3AA38"/>
    <w:rsid w:val="28EB67C4"/>
    <w:rsid w:val="29A19EB3"/>
    <w:rsid w:val="2A0C0D3A"/>
    <w:rsid w:val="2A42E00E"/>
    <w:rsid w:val="2B6F98E5"/>
    <w:rsid w:val="2B79ADD9"/>
    <w:rsid w:val="2D14BA4F"/>
    <w:rsid w:val="2D36AC4E"/>
    <w:rsid w:val="2E1E3E1B"/>
    <w:rsid w:val="2E34C587"/>
    <w:rsid w:val="30DB559D"/>
    <w:rsid w:val="3353844E"/>
    <w:rsid w:val="34D10B55"/>
    <w:rsid w:val="34F74919"/>
    <w:rsid w:val="35278518"/>
    <w:rsid w:val="35DB3D1D"/>
    <w:rsid w:val="36B0062F"/>
    <w:rsid w:val="36E04B02"/>
    <w:rsid w:val="36EF950A"/>
    <w:rsid w:val="3804D73D"/>
    <w:rsid w:val="38465304"/>
    <w:rsid w:val="3953D75B"/>
    <w:rsid w:val="39570C25"/>
    <w:rsid w:val="39A5D6C2"/>
    <w:rsid w:val="3AC7FB04"/>
    <w:rsid w:val="3E08BBFC"/>
    <w:rsid w:val="3E13669B"/>
    <w:rsid w:val="401DF7C6"/>
    <w:rsid w:val="40D32C50"/>
    <w:rsid w:val="41ADAFE2"/>
    <w:rsid w:val="421A5E34"/>
    <w:rsid w:val="42F25173"/>
    <w:rsid w:val="436D0772"/>
    <w:rsid w:val="439047A2"/>
    <w:rsid w:val="43BD2F9C"/>
    <w:rsid w:val="43CC5DC1"/>
    <w:rsid w:val="45665982"/>
    <w:rsid w:val="45E6DEBB"/>
    <w:rsid w:val="462AA469"/>
    <w:rsid w:val="47A5636C"/>
    <w:rsid w:val="48B0B129"/>
    <w:rsid w:val="48BEFD58"/>
    <w:rsid w:val="493F766B"/>
    <w:rsid w:val="4980B75D"/>
    <w:rsid w:val="4A439EA2"/>
    <w:rsid w:val="4C4B58A0"/>
    <w:rsid w:val="4C790C8B"/>
    <w:rsid w:val="4D33A02A"/>
    <w:rsid w:val="4DDE819B"/>
    <w:rsid w:val="5096F735"/>
    <w:rsid w:val="527CBFCD"/>
    <w:rsid w:val="530D9F9D"/>
    <w:rsid w:val="551518DA"/>
    <w:rsid w:val="5574BDA7"/>
    <w:rsid w:val="568FF958"/>
    <w:rsid w:val="570E4185"/>
    <w:rsid w:val="57425F36"/>
    <w:rsid w:val="574DBC68"/>
    <w:rsid w:val="589E99C7"/>
    <w:rsid w:val="59CB13E3"/>
    <w:rsid w:val="5A863EED"/>
    <w:rsid w:val="5B59CDB2"/>
    <w:rsid w:val="5C032666"/>
    <w:rsid w:val="5CF2153B"/>
    <w:rsid w:val="5D1B49E3"/>
    <w:rsid w:val="5DBA572D"/>
    <w:rsid w:val="5E121372"/>
    <w:rsid w:val="5E7F2E27"/>
    <w:rsid w:val="611D2FD4"/>
    <w:rsid w:val="61CFB440"/>
    <w:rsid w:val="61E63EA9"/>
    <w:rsid w:val="620371C8"/>
    <w:rsid w:val="630A7CC7"/>
    <w:rsid w:val="653882A8"/>
    <w:rsid w:val="66306A01"/>
    <w:rsid w:val="66DF2F44"/>
    <w:rsid w:val="6749B8F3"/>
    <w:rsid w:val="67625841"/>
    <w:rsid w:val="68B7E18F"/>
    <w:rsid w:val="696D79E6"/>
    <w:rsid w:val="6971299A"/>
    <w:rsid w:val="69796AE1"/>
    <w:rsid w:val="698E0336"/>
    <w:rsid w:val="69FA5B60"/>
    <w:rsid w:val="6A073975"/>
    <w:rsid w:val="6A2CCF17"/>
    <w:rsid w:val="6A362178"/>
    <w:rsid w:val="6B977C02"/>
    <w:rsid w:val="6BEFE8F0"/>
    <w:rsid w:val="6C7FCA80"/>
    <w:rsid w:val="6DB32CBC"/>
    <w:rsid w:val="6E0B6F41"/>
    <w:rsid w:val="6E2F1085"/>
    <w:rsid w:val="6E5CCA85"/>
    <w:rsid w:val="6FEF1149"/>
    <w:rsid w:val="70B63D0A"/>
    <w:rsid w:val="71A769FD"/>
    <w:rsid w:val="71B7B3C9"/>
    <w:rsid w:val="730A3437"/>
    <w:rsid w:val="73EB12F5"/>
    <w:rsid w:val="74CD209F"/>
    <w:rsid w:val="74E74EE0"/>
    <w:rsid w:val="75BE2125"/>
    <w:rsid w:val="75F0AD87"/>
    <w:rsid w:val="766622C8"/>
    <w:rsid w:val="773B2B9F"/>
    <w:rsid w:val="77EB81E4"/>
    <w:rsid w:val="793D56B6"/>
    <w:rsid w:val="7983F619"/>
    <w:rsid w:val="7ACCE718"/>
    <w:rsid w:val="7BE80CDA"/>
    <w:rsid w:val="7CCB2CD1"/>
    <w:rsid w:val="7EA4703A"/>
    <w:rsid w:val="7EDD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1915"/>
  <w15:chartTrackingRefBased/>
  <w15:docId w15:val="{B26F55C1-62B0-4C38-9DB2-078E9832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C5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C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B5D"/>
  </w:style>
  <w:style w:type="paragraph" w:styleId="Footer">
    <w:name w:val="footer"/>
    <w:basedOn w:val="Normal"/>
    <w:link w:val="FooterChar"/>
    <w:uiPriority w:val="99"/>
    <w:unhideWhenUsed/>
    <w:rsid w:val="00AC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B5D"/>
  </w:style>
  <w:style w:type="paragraph" w:styleId="BalloonText">
    <w:name w:val="Balloon Text"/>
    <w:basedOn w:val="Normal"/>
    <w:link w:val="BalloonTextChar"/>
    <w:uiPriority w:val="99"/>
    <w:semiHidden/>
    <w:unhideWhenUsed/>
    <w:rsid w:val="00E43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19"/>
    <w:rPr>
      <w:rFonts w:ascii="Segoe UI" w:hAnsi="Segoe UI" w:cs="Segoe UI"/>
      <w:sz w:val="18"/>
      <w:szCs w:val="18"/>
    </w:rPr>
  </w:style>
  <w:style w:type="paragraph" w:styleId="ListParagraph">
    <w:name w:val="List Paragraph"/>
    <w:basedOn w:val="Normal"/>
    <w:uiPriority w:val="34"/>
    <w:qFormat/>
    <w:rsid w:val="5E121372"/>
    <w:pPr>
      <w:ind w:left="720"/>
      <w:contextualSpacing/>
    </w:pPr>
  </w:style>
  <w:style w:type="character" w:styleId="Hyperlink">
    <w:name w:val="Hyperlink"/>
    <w:basedOn w:val="DefaultParagraphFont"/>
    <w:uiPriority w:val="99"/>
    <w:unhideWhenUsed/>
    <w:rsid w:val="6A362178"/>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rp.cdn-website.com/5f4255d0/files/uploaded/HCISPoliciesandProcedures0816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2</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Frances Marie Pugh</cp:lastModifiedBy>
  <cp:revision>23</cp:revision>
  <cp:lastPrinted>2018-05-22T16:32:00Z</cp:lastPrinted>
  <dcterms:created xsi:type="dcterms:W3CDTF">2019-09-05T18:04:00Z</dcterms:created>
  <dcterms:modified xsi:type="dcterms:W3CDTF">2025-07-18T17:45:00Z</dcterms:modified>
</cp:coreProperties>
</file>