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12531" w14:textId="77777777" w:rsidR="0063214E" w:rsidRPr="00EA1C2B" w:rsidRDefault="0063214E" w:rsidP="0063214E">
      <w:pPr>
        <w:rPr>
          <w:rFonts w:ascii="Arial" w:hAnsi="Arial" w:cs="Arial"/>
          <w:b/>
          <w:bCs/>
        </w:rPr>
      </w:pPr>
      <w:r w:rsidRPr="00EA1C2B">
        <w:rPr>
          <w:rFonts w:ascii="Arial" w:hAnsi="Arial" w:cs="Arial"/>
          <w:b/>
          <w:bCs/>
        </w:rPr>
        <w:t>Bridging Evidence and Practice: Prevalence, Determinants, and Perspectives on Missed-Opportunities for Vaccination in Ebonyi State, Southeast Nigeria</w:t>
      </w:r>
    </w:p>
    <w:p w14:paraId="2DCCB9DE" w14:textId="77777777" w:rsidR="0063214E" w:rsidRPr="0063214E" w:rsidRDefault="0063214E" w:rsidP="0063214E">
      <w:pPr>
        <w:rPr>
          <w:rFonts w:ascii="Arial" w:hAnsi="Arial" w:cs="Arial"/>
        </w:rPr>
      </w:pPr>
      <w:r w:rsidRPr="0063214E">
        <w:rPr>
          <w:rFonts w:ascii="Arial" w:hAnsi="Arial" w:cs="Arial"/>
          <w:b/>
          <w:bCs/>
        </w:rPr>
        <w:t>Background</w:t>
      </w:r>
      <w:r w:rsidRPr="0063214E">
        <w:rPr>
          <w:rFonts w:ascii="Arial" w:hAnsi="Arial" w:cs="Arial"/>
        </w:rPr>
        <w:t>: Missed-Opportunities for Vaccination (MOV) hinder progress toward Immunization-Agenda 2030 targets, especially after COVID-19 disruptions. Understanding MOV burden and determinants in low-resource settings is vital for designing catch-up and routine-immunization strategies. Sub-national evidence from Nigeria remains limited.  </w:t>
      </w:r>
    </w:p>
    <w:p w14:paraId="2203573C" w14:textId="77777777" w:rsidR="0063214E" w:rsidRPr="0063214E" w:rsidRDefault="0063214E" w:rsidP="0063214E">
      <w:pPr>
        <w:rPr>
          <w:rFonts w:ascii="Arial" w:hAnsi="Arial" w:cs="Arial"/>
        </w:rPr>
      </w:pPr>
      <w:r w:rsidRPr="0063214E">
        <w:rPr>
          <w:rFonts w:ascii="Arial" w:hAnsi="Arial" w:cs="Arial"/>
        </w:rPr>
        <w:t>This study assessed MOV prevalence and determinants among children aged 0–23 months in Ebonyi State and explored caregiver and health worker perspectives on childhood-immunization.</w:t>
      </w:r>
    </w:p>
    <w:p w14:paraId="75366D9D" w14:textId="77777777" w:rsidR="0063214E" w:rsidRPr="0063214E" w:rsidRDefault="0063214E" w:rsidP="0063214E">
      <w:pPr>
        <w:rPr>
          <w:rFonts w:ascii="Arial" w:hAnsi="Arial" w:cs="Arial"/>
        </w:rPr>
      </w:pPr>
      <w:r w:rsidRPr="0063214E">
        <w:rPr>
          <w:rFonts w:ascii="Arial" w:hAnsi="Arial" w:cs="Arial"/>
          <w:b/>
          <w:bCs/>
        </w:rPr>
        <w:t>Methods</w:t>
      </w:r>
      <w:r w:rsidRPr="0063214E">
        <w:rPr>
          <w:rFonts w:ascii="Arial" w:hAnsi="Arial" w:cs="Arial"/>
        </w:rPr>
        <w:t>: A cross-sectional mixed-methods study was conducted across 12 health-facilities. Quantitative data were collected from 423 caregivers using multistage sampling and interviewer-administered questionnaires. Qualitative data were obtained through focus-group discussions and key-informant interviews with caregivers and healthcare workers. Quantitative data were analyzed using SPSS, and qualitative data thematically using </w:t>
      </w:r>
      <w:hyperlink r:id="rId4" w:tgtFrame="_blank" w:history="1">
        <w:r w:rsidRPr="0063214E">
          <w:rPr>
            <w:rStyle w:val="Hyperlink"/>
            <w:rFonts w:ascii="Arial" w:hAnsi="Arial" w:cs="Arial"/>
          </w:rPr>
          <w:t>http://ATLAS.ti</w:t>
        </w:r>
      </w:hyperlink>
      <w:r w:rsidRPr="0063214E">
        <w:rPr>
          <w:rFonts w:ascii="Arial" w:hAnsi="Arial" w:cs="Arial"/>
        </w:rPr>
        <w:t>.</w:t>
      </w:r>
    </w:p>
    <w:p w14:paraId="4418118D" w14:textId="77777777" w:rsidR="0063214E" w:rsidRPr="0063214E" w:rsidRDefault="0063214E" w:rsidP="0063214E">
      <w:pPr>
        <w:rPr>
          <w:rFonts w:ascii="Arial" w:hAnsi="Arial" w:cs="Arial"/>
        </w:rPr>
      </w:pPr>
      <w:r w:rsidRPr="0063214E">
        <w:rPr>
          <w:rFonts w:ascii="Arial" w:hAnsi="Arial" w:cs="Arial"/>
          <w:b/>
          <w:bCs/>
        </w:rPr>
        <w:t>Results</w:t>
      </w:r>
      <w:r w:rsidRPr="0063214E">
        <w:rPr>
          <w:rFonts w:ascii="Arial" w:hAnsi="Arial" w:cs="Arial"/>
        </w:rPr>
        <w:t>: MOV prevalence was 5.9%. Missed-opportunities occurred most during follow-up visits for multi-dose vaccines, with Pentavalent-dose-2 and Pneumococcal Conjugate Vaccine-dose-2 highest. Multivariate logistic regression showed caregiver knowledge of vaccine-preventable diseases and schedules, child’s sex, and distance to vaccination sites independently predicted MOV. Qualitatively, caregivers valued immunization but cited logistical barriers, forgetfulness, and vaccine stockouts. Healthcare workers prioritized acute care during sick-child visits but supported “vaccination-on-contact” where feasible.</w:t>
      </w:r>
    </w:p>
    <w:p w14:paraId="6A662F41" w14:textId="77777777" w:rsidR="0063214E" w:rsidRPr="0063214E" w:rsidRDefault="0063214E" w:rsidP="0063214E">
      <w:pPr>
        <w:rPr>
          <w:rFonts w:ascii="Arial" w:hAnsi="Arial" w:cs="Arial"/>
        </w:rPr>
      </w:pPr>
      <w:r w:rsidRPr="0063214E">
        <w:rPr>
          <w:rFonts w:ascii="Arial" w:hAnsi="Arial" w:cs="Arial"/>
          <w:b/>
          <w:bCs/>
        </w:rPr>
        <w:t>Conclusion</w:t>
      </w:r>
      <w:r w:rsidRPr="0063214E">
        <w:rPr>
          <w:rFonts w:ascii="Arial" w:hAnsi="Arial" w:cs="Arial"/>
        </w:rPr>
        <w:t>: MOV remains a preventable gap in routine-immunization, driven by caregiver, child, and health-system factors. Findings highlight the need to strengthen vaccination-on-contact practices, improve caregiver education, enhance service access, and ensure reliable vaccine supply. The study offers transferable insights for LMICs aiming to close immunization gaps and advance IA2030 goals in post-pandemic recovery.</w:t>
      </w:r>
    </w:p>
    <w:p w14:paraId="6D2FB311" w14:textId="77777777" w:rsidR="0063214E" w:rsidRPr="0063214E" w:rsidRDefault="0063214E" w:rsidP="0063214E">
      <w:pPr>
        <w:rPr>
          <w:rFonts w:ascii="Arial" w:hAnsi="Arial" w:cs="Arial"/>
        </w:rPr>
      </w:pPr>
    </w:p>
    <w:p w14:paraId="53DA7251" w14:textId="77777777" w:rsidR="0063214E" w:rsidRDefault="0063214E"/>
    <w:sectPr w:rsidR="0063214E" w:rsidSect="006321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14E"/>
    <w:rsid w:val="00117B02"/>
    <w:rsid w:val="00281BCC"/>
    <w:rsid w:val="003C1CF9"/>
    <w:rsid w:val="0063214E"/>
    <w:rsid w:val="00B4640C"/>
    <w:rsid w:val="00BD7EB4"/>
    <w:rsid w:val="00EA1C2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0EBD6"/>
  <w15:chartTrackingRefBased/>
  <w15:docId w15:val="{7BE81AFB-6AB6-433E-8459-5F0517768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21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321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21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21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321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2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1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21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21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21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21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2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14E"/>
    <w:rPr>
      <w:rFonts w:eastAsiaTheme="majorEastAsia" w:cstheme="majorBidi"/>
      <w:color w:val="272727" w:themeColor="text1" w:themeTint="D8"/>
    </w:rPr>
  </w:style>
  <w:style w:type="paragraph" w:styleId="Title">
    <w:name w:val="Title"/>
    <w:basedOn w:val="Normal"/>
    <w:next w:val="Normal"/>
    <w:link w:val="TitleChar"/>
    <w:uiPriority w:val="10"/>
    <w:qFormat/>
    <w:rsid w:val="00632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14E"/>
    <w:pPr>
      <w:spacing w:before="160"/>
      <w:jc w:val="center"/>
    </w:pPr>
    <w:rPr>
      <w:i/>
      <w:iCs/>
      <w:color w:val="404040" w:themeColor="text1" w:themeTint="BF"/>
    </w:rPr>
  </w:style>
  <w:style w:type="character" w:customStyle="1" w:styleId="QuoteChar">
    <w:name w:val="Quote Char"/>
    <w:basedOn w:val="DefaultParagraphFont"/>
    <w:link w:val="Quote"/>
    <w:uiPriority w:val="29"/>
    <w:rsid w:val="0063214E"/>
    <w:rPr>
      <w:i/>
      <w:iCs/>
      <w:color w:val="404040" w:themeColor="text1" w:themeTint="BF"/>
    </w:rPr>
  </w:style>
  <w:style w:type="paragraph" w:styleId="ListParagraph">
    <w:name w:val="List Paragraph"/>
    <w:basedOn w:val="Normal"/>
    <w:uiPriority w:val="34"/>
    <w:qFormat/>
    <w:rsid w:val="0063214E"/>
    <w:pPr>
      <w:ind w:left="720"/>
      <w:contextualSpacing/>
    </w:pPr>
  </w:style>
  <w:style w:type="character" w:styleId="IntenseEmphasis">
    <w:name w:val="Intense Emphasis"/>
    <w:basedOn w:val="DefaultParagraphFont"/>
    <w:uiPriority w:val="21"/>
    <w:qFormat/>
    <w:rsid w:val="0063214E"/>
    <w:rPr>
      <w:i/>
      <w:iCs/>
      <w:color w:val="2F5496" w:themeColor="accent1" w:themeShade="BF"/>
    </w:rPr>
  </w:style>
  <w:style w:type="paragraph" w:styleId="IntenseQuote">
    <w:name w:val="Intense Quote"/>
    <w:basedOn w:val="Normal"/>
    <w:next w:val="Normal"/>
    <w:link w:val="IntenseQuoteChar"/>
    <w:uiPriority w:val="30"/>
    <w:qFormat/>
    <w:rsid w:val="006321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214E"/>
    <w:rPr>
      <w:i/>
      <w:iCs/>
      <w:color w:val="2F5496" w:themeColor="accent1" w:themeShade="BF"/>
    </w:rPr>
  </w:style>
  <w:style w:type="character" w:styleId="IntenseReference">
    <w:name w:val="Intense Reference"/>
    <w:basedOn w:val="DefaultParagraphFont"/>
    <w:uiPriority w:val="32"/>
    <w:qFormat/>
    <w:rsid w:val="0063214E"/>
    <w:rPr>
      <w:b/>
      <w:bCs/>
      <w:smallCaps/>
      <w:color w:val="2F5496" w:themeColor="accent1" w:themeShade="BF"/>
      <w:spacing w:val="5"/>
    </w:rPr>
  </w:style>
  <w:style w:type="character" w:styleId="Hyperlink">
    <w:name w:val="Hyperlink"/>
    <w:basedOn w:val="DefaultParagraphFont"/>
    <w:uiPriority w:val="99"/>
    <w:unhideWhenUsed/>
    <w:rsid w:val="0063214E"/>
    <w:rPr>
      <w:color w:val="0563C1" w:themeColor="hyperlink"/>
      <w:u w:val="single"/>
    </w:rPr>
  </w:style>
  <w:style w:type="character" w:styleId="UnresolvedMention">
    <w:name w:val="Unresolved Mention"/>
    <w:basedOn w:val="DefaultParagraphFont"/>
    <w:uiPriority w:val="99"/>
    <w:semiHidden/>
    <w:unhideWhenUsed/>
    <w:rsid w:val="006321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tl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1872</Characters>
  <Application>Microsoft Office Word</Application>
  <DocSecurity>0</DocSecurity>
  <Lines>15</Lines>
  <Paragraphs>4</Paragraphs>
  <ScaleCrop>false</ScaleCrop>
  <Company>University of Bedfordshire</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Chika Anyigor</dc:creator>
  <cp:keywords/>
  <dc:description/>
  <cp:lastModifiedBy>Chika Anyigor</cp:lastModifiedBy>
  <cp:revision>2</cp:revision>
  <dcterms:created xsi:type="dcterms:W3CDTF">2026-07-09T17:11:00Z</dcterms:created>
  <dcterms:modified xsi:type="dcterms:W3CDTF">2026-07-09T17:11:00Z</dcterms:modified>
</cp:coreProperties>
</file>