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6783" w14:textId="77777777" w:rsidR="005E54B3" w:rsidRDefault="005E54B3" w:rsidP="005E54B3">
      <w:pPr>
        <w:pStyle w:val="Title"/>
        <w:spacing w:line="360" w:lineRule="auto"/>
        <w:rPr>
          <w:b/>
          <w:i/>
        </w:rPr>
      </w:pPr>
      <w:r>
        <w:rPr>
          <w:b/>
          <w:i/>
        </w:rPr>
        <w:t>PERRY TOWNSHIP ZONING COMMISSION BOARD MEETING</w:t>
      </w:r>
    </w:p>
    <w:p w14:paraId="7F6DFF14" w14:textId="3D2EA50A" w:rsidR="005E54B3" w:rsidRDefault="005E54B3" w:rsidP="005E54B3">
      <w:pPr>
        <w:pStyle w:val="Standard"/>
        <w:spacing w:line="360" w:lineRule="auto"/>
        <w:jc w:val="center"/>
      </w:pPr>
      <w:r>
        <w:rPr>
          <w:b/>
          <w:i/>
          <w:sz w:val="24"/>
        </w:rPr>
        <w:t xml:space="preserve">held on the </w:t>
      </w:r>
      <w:r w:rsidR="00A70BBF">
        <w:rPr>
          <w:b/>
          <w:i/>
          <w:sz w:val="24"/>
        </w:rPr>
        <w:t>1</w:t>
      </w:r>
      <w:r w:rsidR="00F17CF0">
        <w:rPr>
          <w:b/>
          <w:i/>
          <w:sz w:val="24"/>
        </w:rPr>
        <w:t>9</w:t>
      </w:r>
      <w:r w:rsidR="00A76031">
        <w:rPr>
          <w:b/>
          <w:i/>
          <w:sz w:val="24"/>
        </w:rPr>
        <w:t>th</w:t>
      </w:r>
      <w:r>
        <w:rPr>
          <w:b/>
          <w:i/>
          <w:sz w:val="24"/>
        </w:rPr>
        <w:t xml:space="preserve"> of </w:t>
      </w:r>
      <w:r w:rsidR="00F17CF0">
        <w:rPr>
          <w:b/>
          <w:i/>
          <w:sz w:val="24"/>
        </w:rPr>
        <w:t>June</w:t>
      </w:r>
      <w:r w:rsidR="00A70BBF">
        <w:rPr>
          <w:b/>
          <w:i/>
          <w:sz w:val="24"/>
        </w:rPr>
        <w:t xml:space="preserve"> 2025</w:t>
      </w:r>
    </w:p>
    <w:p w14:paraId="39DF9116" w14:textId="270F9DB5" w:rsidR="005E54B3" w:rsidRDefault="005E54B3" w:rsidP="005E54B3">
      <w:pPr>
        <w:pStyle w:val="BodyText2"/>
        <w:ind w:left="-15" w:right="-30"/>
        <w:rPr>
          <w:sz w:val="20"/>
        </w:rPr>
      </w:pPr>
      <w:r>
        <w:rPr>
          <w:sz w:val="20"/>
        </w:rPr>
        <w:t xml:space="preserve">Page 1 of </w:t>
      </w:r>
      <w:r w:rsidR="00667449">
        <w:rPr>
          <w:sz w:val="20"/>
        </w:rPr>
        <w:t xml:space="preserve"> </w:t>
      </w:r>
      <w:r w:rsidR="00F17CF0">
        <w:rPr>
          <w:sz w:val="20"/>
        </w:rPr>
        <w:t>1</w:t>
      </w:r>
    </w:p>
    <w:p w14:paraId="50CDC558" w14:textId="77777777" w:rsidR="005E54B3" w:rsidRDefault="005E54B3" w:rsidP="005E54B3">
      <w:pPr>
        <w:pStyle w:val="BodyText2"/>
        <w:rPr>
          <w:sz w:val="20"/>
        </w:rPr>
      </w:pPr>
    </w:p>
    <w:p w14:paraId="01189E55" w14:textId="37B42D7A" w:rsidR="005E54B3" w:rsidRDefault="005E54B3" w:rsidP="005E54B3">
      <w:pPr>
        <w:pStyle w:val="BodyText2"/>
        <w:jc w:val="both"/>
        <w:rPr>
          <w:sz w:val="20"/>
        </w:rPr>
      </w:pPr>
      <w:r>
        <w:rPr>
          <w:sz w:val="20"/>
        </w:rPr>
        <w:t>Meeting was called to order by</w:t>
      </w:r>
      <w:r w:rsidR="00421573">
        <w:rPr>
          <w:sz w:val="20"/>
        </w:rPr>
        <w:t xml:space="preserve"> President</w:t>
      </w:r>
      <w:r>
        <w:rPr>
          <w:sz w:val="20"/>
        </w:rPr>
        <w:t xml:space="preserve"> John Yancik at 7:</w:t>
      </w:r>
      <w:r w:rsidR="00A76031">
        <w:rPr>
          <w:sz w:val="20"/>
        </w:rPr>
        <w:t>0</w:t>
      </w:r>
      <w:r w:rsidR="00F17CF0">
        <w:rPr>
          <w:sz w:val="20"/>
        </w:rPr>
        <w:t>5</w:t>
      </w:r>
      <w:r>
        <w:rPr>
          <w:sz w:val="20"/>
        </w:rPr>
        <w:t xml:space="preserve"> </w:t>
      </w:r>
      <w:r w:rsidR="00B17F4B">
        <w:rPr>
          <w:sz w:val="20"/>
        </w:rPr>
        <w:t xml:space="preserve">p.m. </w:t>
      </w:r>
      <w:r>
        <w:rPr>
          <w:sz w:val="20"/>
        </w:rPr>
        <w:t>The Pledge of Allegiance was recited.</w:t>
      </w:r>
    </w:p>
    <w:p w14:paraId="287EE2CB" w14:textId="77777777" w:rsidR="005E54B3" w:rsidRDefault="005E54B3" w:rsidP="005E54B3">
      <w:pPr>
        <w:pStyle w:val="BodyText2"/>
        <w:jc w:val="both"/>
        <w:rPr>
          <w:sz w:val="20"/>
        </w:rPr>
      </w:pPr>
    </w:p>
    <w:p w14:paraId="4CDE78B3" w14:textId="01FCA837" w:rsidR="00A70BBF" w:rsidRDefault="005E54B3" w:rsidP="00A70BBF">
      <w:pPr>
        <w:pStyle w:val="BodyText2"/>
        <w:jc w:val="both"/>
        <w:rPr>
          <w:sz w:val="20"/>
        </w:rPr>
      </w:pPr>
      <w:r>
        <w:rPr>
          <w:sz w:val="20"/>
        </w:rPr>
        <w:t>Roll was called</w:t>
      </w:r>
      <w:r w:rsidR="00B17F4B">
        <w:rPr>
          <w:sz w:val="20"/>
        </w:rPr>
        <w:t xml:space="preserve">. </w:t>
      </w:r>
      <w:r>
        <w:rPr>
          <w:sz w:val="20"/>
        </w:rPr>
        <w:t xml:space="preserve">Present: Doug Crowe (vice-chair), John Yancik (chair), </w:t>
      </w:r>
      <w:r w:rsidR="00421573">
        <w:rPr>
          <w:sz w:val="20"/>
        </w:rPr>
        <w:t>Albert Acker</w:t>
      </w:r>
      <w:r>
        <w:rPr>
          <w:sz w:val="20"/>
        </w:rPr>
        <w:t xml:space="preserve"> (Zoning Administrator)</w:t>
      </w:r>
      <w:r w:rsidR="00F17CF0">
        <w:rPr>
          <w:sz w:val="20"/>
        </w:rPr>
        <w:t>, Fred Garber</w:t>
      </w:r>
    </w:p>
    <w:p w14:paraId="7C39BEAC" w14:textId="3FA0337B" w:rsidR="005E54B3" w:rsidRDefault="005E54B3" w:rsidP="005E54B3">
      <w:pPr>
        <w:pStyle w:val="BodyText2"/>
        <w:jc w:val="both"/>
        <w:rPr>
          <w:sz w:val="20"/>
        </w:rPr>
      </w:pPr>
      <w:r>
        <w:rPr>
          <w:sz w:val="20"/>
        </w:rPr>
        <w:t xml:space="preserve">Absent:  </w:t>
      </w:r>
      <w:r w:rsidR="00F17CF0">
        <w:rPr>
          <w:sz w:val="20"/>
        </w:rPr>
        <w:t>Cheri Simon, Jeffery Keith</w:t>
      </w:r>
    </w:p>
    <w:p w14:paraId="4E54C12F" w14:textId="210B6FDF" w:rsidR="005E54B3" w:rsidRDefault="005E54B3" w:rsidP="005E54B3">
      <w:pPr>
        <w:pStyle w:val="BodyText2"/>
        <w:jc w:val="both"/>
        <w:rPr>
          <w:sz w:val="20"/>
        </w:rPr>
      </w:pPr>
      <w:r>
        <w:rPr>
          <w:sz w:val="20"/>
        </w:rPr>
        <w:t>Visitors present</w:t>
      </w:r>
      <w:r w:rsidR="00421573">
        <w:rPr>
          <w:sz w:val="20"/>
        </w:rPr>
        <w:t xml:space="preserve">: </w:t>
      </w:r>
      <w:r>
        <w:rPr>
          <w:sz w:val="20"/>
        </w:rPr>
        <w:t xml:space="preserve"> </w:t>
      </w:r>
      <w:r w:rsidR="00421573">
        <w:rPr>
          <w:sz w:val="20"/>
        </w:rPr>
        <w:t>Debbie Brumback</w:t>
      </w:r>
      <w:r w:rsidR="00A76031">
        <w:rPr>
          <w:sz w:val="20"/>
        </w:rPr>
        <w:t xml:space="preserve">, </w:t>
      </w:r>
      <w:r w:rsidR="00F17CF0">
        <w:rPr>
          <w:sz w:val="20"/>
        </w:rPr>
        <w:t>Dale Hayden</w:t>
      </w:r>
    </w:p>
    <w:p w14:paraId="24841180" w14:textId="77777777" w:rsidR="005E54B3" w:rsidRDefault="005E54B3" w:rsidP="005E54B3">
      <w:pPr>
        <w:pStyle w:val="BodyText2"/>
        <w:jc w:val="both"/>
        <w:rPr>
          <w:sz w:val="20"/>
        </w:rPr>
      </w:pPr>
      <w:r>
        <w:rPr>
          <w:sz w:val="20"/>
        </w:rPr>
        <w:t>*****************************************************************************</w:t>
      </w:r>
    </w:p>
    <w:p w14:paraId="32948458" w14:textId="77777777" w:rsidR="004B7EC4" w:rsidRPr="004B7EC4" w:rsidRDefault="004B7EC4" w:rsidP="004B7EC4">
      <w:pPr>
        <w:pStyle w:val="BodyText2"/>
        <w:rPr>
          <w:sz w:val="20"/>
        </w:rPr>
      </w:pPr>
    </w:p>
    <w:p w14:paraId="2917FF19" w14:textId="72ED20CF" w:rsidR="004B7EC4" w:rsidRDefault="00F17CF0" w:rsidP="004B7EC4">
      <w:pPr>
        <w:pStyle w:val="BodyText2"/>
        <w:rPr>
          <w:sz w:val="20"/>
        </w:rPr>
      </w:pPr>
      <w:r>
        <w:rPr>
          <w:b/>
          <w:bCs/>
          <w:sz w:val="20"/>
        </w:rPr>
        <w:t xml:space="preserve">Opening Remarks, </w:t>
      </w:r>
      <w:r w:rsidR="004B7EC4" w:rsidRPr="00A76031">
        <w:rPr>
          <w:b/>
          <w:bCs/>
          <w:sz w:val="20"/>
        </w:rPr>
        <w:t xml:space="preserve">John </w:t>
      </w:r>
      <w:r w:rsidRPr="00A76031">
        <w:rPr>
          <w:b/>
          <w:bCs/>
          <w:sz w:val="20"/>
        </w:rPr>
        <w:t>Yancik</w:t>
      </w:r>
      <w:r w:rsidRPr="004B7EC4">
        <w:rPr>
          <w:sz w:val="20"/>
        </w:rPr>
        <w:t>:</w:t>
      </w:r>
      <w:r w:rsidR="00213A37">
        <w:rPr>
          <w:sz w:val="20"/>
        </w:rPr>
        <w:t xml:space="preserve"> </w:t>
      </w:r>
      <w:r>
        <w:rPr>
          <w:sz w:val="20"/>
        </w:rPr>
        <w:t>Addresses the visitor, Dale Hayden, if he wanted to speak and could at any time. Mr. Hayden declined at this time.</w:t>
      </w:r>
    </w:p>
    <w:p w14:paraId="2B4AF1FB" w14:textId="77777777" w:rsidR="00F17CF0" w:rsidRDefault="00F17CF0" w:rsidP="004B7EC4">
      <w:pPr>
        <w:pStyle w:val="BodyText2"/>
        <w:rPr>
          <w:sz w:val="20"/>
        </w:rPr>
      </w:pPr>
    </w:p>
    <w:p w14:paraId="7F929D16" w14:textId="7DA4C172" w:rsidR="00A76031" w:rsidRDefault="00F17CF0" w:rsidP="004B7EC4">
      <w:pPr>
        <w:pStyle w:val="BodyText2"/>
        <w:rPr>
          <w:sz w:val="20"/>
        </w:rPr>
      </w:pPr>
      <w:r w:rsidRPr="00A76031">
        <w:rPr>
          <w:b/>
          <w:bCs/>
          <w:sz w:val="20"/>
        </w:rPr>
        <w:t>John Yancik</w:t>
      </w:r>
      <w:r w:rsidRPr="004B7EC4">
        <w:rPr>
          <w:sz w:val="20"/>
        </w:rPr>
        <w:t>:</w:t>
      </w:r>
      <w:r>
        <w:rPr>
          <w:sz w:val="20"/>
        </w:rPr>
        <w:t xml:space="preserve"> </w:t>
      </w:r>
      <w:r w:rsidR="00C41678">
        <w:rPr>
          <w:sz w:val="20"/>
        </w:rPr>
        <w:t>T</w:t>
      </w:r>
      <w:r>
        <w:rPr>
          <w:sz w:val="20"/>
        </w:rPr>
        <w:t>he minutes from the last meeting on 8 May have been distributed. If there is no correction, they are approved, (Board members reading minutes)</w:t>
      </w:r>
    </w:p>
    <w:p w14:paraId="4C97C5EE" w14:textId="77777777" w:rsidR="00F17CF0" w:rsidRDefault="00F17CF0" w:rsidP="004B7EC4">
      <w:pPr>
        <w:pStyle w:val="BodyText2"/>
        <w:rPr>
          <w:sz w:val="20"/>
        </w:rPr>
      </w:pPr>
    </w:p>
    <w:p w14:paraId="5B2A0E4A" w14:textId="77D0BE43" w:rsidR="00F17CF0" w:rsidRDefault="00F17CF0" w:rsidP="004B7EC4">
      <w:pPr>
        <w:pStyle w:val="BodyText2"/>
        <w:rPr>
          <w:sz w:val="20"/>
        </w:rPr>
      </w:pPr>
      <w:r>
        <w:rPr>
          <w:sz w:val="20"/>
        </w:rPr>
        <w:t>Motion to approve: Fred Garber</w:t>
      </w:r>
    </w:p>
    <w:p w14:paraId="4C085A32" w14:textId="61198297" w:rsidR="00F17CF0" w:rsidRDefault="00F17CF0" w:rsidP="004B7EC4">
      <w:pPr>
        <w:pStyle w:val="BodyText2"/>
        <w:rPr>
          <w:sz w:val="20"/>
        </w:rPr>
      </w:pPr>
      <w:r>
        <w:rPr>
          <w:sz w:val="20"/>
        </w:rPr>
        <w:t>Seconded: John Yancik</w:t>
      </w:r>
    </w:p>
    <w:p w14:paraId="4D8F06A9" w14:textId="77777777" w:rsidR="00F17CF0" w:rsidRDefault="00F17CF0" w:rsidP="004B7EC4">
      <w:pPr>
        <w:pStyle w:val="BodyText2"/>
        <w:rPr>
          <w:sz w:val="20"/>
        </w:rPr>
      </w:pPr>
    </w:p>
    <w:p w14:paraId="195BDE79" w14:textId="72EAF905" w:rsidR="00F17CF0" w:rsidRDefault="00F17CF0" w:rsidP="004B7EC4">
      <w:pPr>
        <w:pStyle w:val="BodyText2"/>
        <w:rPr>
          <w:sz w:val="20"/>
        </w:rPr>
      </w:pPr>
      <w:r>
        <w:rPr>
          <w:b/>
          <w:bCs/>
          <w:sz w:val="20"/>
        </w:rPr>
        <w:t>VOTE:</w:t>
      </w:r>
      <w:r>
        <w:rPr>
          <w:sz w:val="20"/>
        </w:rPr>
        <w:t xml:space="preserve"> John Yancik-Yes, Fred Garber-Yes, Doug Crowe-I was not here for the meeting and think I should not vote. (Will bring up again at next meeting).</w:t>
      </w:r>
    </w:p>
    <w:p w14:paraId="70E26065" w14:textId="77777777" w:rsidR="00F17CF0" w:rsidRDefault="00F17CF0" w:rsidP="004B7EC4">
      <w:pPr>
        <w:pStyle w:val="BodyText2"/>
        <w:rPr>
          <w:sz w:val="20"/>
        </w:rPr>
      </w:pPr>
    </w:p>
    <w:p w14:paraId="1337ECB4" w14:textId="638061D2" w:rsidR="00F17CF0" w:rsidRPr="00F17CF0" w:rsidRDefault="00F17CF0" w:rsidP="004B7EC4">
      <w:pPr>
        <w:pStyle w:val="BodyText2"/>
        <w:rPr>
          <w:sz w:val="20"/>
        </w:rPr>
      </w:pPr>
      <w:r>
        <w:rPr>
          <w:b/>
          <w:bCs/>
          <w:sz w:val="20"/>
        </w:rPr>
        <w:t>John Yancik:</w:t>
      </w:r>
      <w:r>
        <w:rPr>
          <w:sz w:val="20"/>
        </w:rPr>
        <w:t xml:space="preserve"> Last meeting we tabled a discussion concerning Article 23, Light Industrial District.</w:t>
      </w:r>
    </w:p>
    <w:p w14:paraId="2755E758" w14:textId="77777777" w:rsidR="00A76031" w:rsidRDefault="00A76031" w:rsidP="004B7EC4">
      <w:pPr>
        <w:pStyle w:val="BodyText2"/>
        <w:rPr>
          <w:sz w:val="20"/>
        </w:rPr>
      </w:pPr>
    </w:p>
    <w:p w14:paraId="67DA18B0" w14:textId="77777777" w:rsidR="00F17CF0" w:rsidRDefault="00A76031" w:rsidP="004B7EC4">
      <w:pPr>
        <w:pStyle w:val="BodyText2"/>
        <w:rPr>
          <w:sz w:val="20"/>
        </w:rPr>
      </w:pPr>
      <w:r w:rsidRPr="00A76031">
        <w:rPr>
          <w:b/>
          <w:bCs/>
          <w:sz w:val="20"/>
        </w:rPr>
        <w:t>Al Acker:</w:t>
      </w:r>
      <w:r>
        <w:rPr>
          <w:sz w:val="20"/>
        </w:rPr>
        <w:t xml:space="preserve"> </w:t>
      </w:r>
      <w:r w:rsidR="00F17CF0">
        <w:rPr>
          <w:sz w:val="20"/>
        </w:rPr>
        <w:t>The preamble states “the minimum area requirement…shall be 20 acres”, Page 23-1. However, Section 2305.02 Lot Area, Frontage and yard requirements, LOT AREA, NONE.</w:t>
      </w:r>
    </w:p>
    <w:p w14:paraId="467B0FEA" w14:textId="77777777" w:rsidR="00F17CF0" w:rsidRDefault="00F17CF0" w:rsidP="004B7EC4">
      <w:pPr>
        <w:pStyle w:val="BodyText2"/>
        <w:rPr>
          <w:sz w:val="20"/>
        </w:rPr>
      </w:pPr>
    </w:p>
    <w:p w14:paraId="7728640D" w14:textId="1C7B967C" w:rsidR="00A76031" w:rsidRDefault="00F17CF0" w:rsidP="004B7EC4">
      <w:pPr>
        <w:pStyle w:val="BodyText2"/>
        <w:rPr>
          <w:sz w:val="20"/>
        </w:rPr>
      </w:pPr>
      <w:r>
        <w:rPr>
          <w:b/>
          <w:bCs/>
          <w:sz w:val="20"/>
        </w:rPr>
        <w:t xml:space="preserve">Discussion: </w:t>
      </w:r>
      <w:r>
        <w:rPr>
          <w:sz w:val="20"/>
        </w:rPr>
        <w:t xml:space="preserve">The discussion evolved around the Light Industrial District was never meant for lot split and were grandfathered. The district could have separate industries inside the district. Appeals Board would have to approve. The question of “lot area” vs “area” (preamble) was determined to be </w:t>
      </w:r>
      <w:r w:rsidR="000570D6">
        <w:rPr>
          <w:sz w:val="20"/>
        </w:rPr>
        <w:t>the</w:t>
      </w:r>
      <w:r>
        <w:rPr>
          <w:sz w:val="20"/>
        </w:rPr>
        <w:t xml:space="preserve"> same. The discussion was ended without </w:t>
      </w:r>
      <w:r w:rsidR="00A76031">
        <w:rPr>
          <w:sz w:val="20"/>
        </w:rPr>
        <w:t xml:space="preserve"> </w:t>
      </w:r>
      <w:r w:rsidR="000570D6">
        <w:rPr>
          <w:sz w:val="20"/>
        </w:rPr>
        <w:t>voting for any change to this text.</w:t>
      </w:r>
    </w:p>
    <w:p w14:paraId="20C95F46" w14:textId="77777777" w:rsidR="000570D6" w:rsidRDefault="000570D6" w:rsidP="004B7EC4">
      <w:pPr>
        <w:pStyle w:val="BodyText2"/>
        <w:rPr>
          <w:sz w:val="20"/>
        </w:rPr>
      </w:pPr>
    </w:p>
    <w:p w14:paraId="30BADD45" w14:textId="349E3816" w:rsidR="000570D6" w:rsidRDefault="000570D6" w:rsidP="004B7EC4">
      <w:pPr>
        <w:pStyle w:val="BodyText2"/>
        <w:rPr>
          <w:sz w:val="20"/>
        </w:rPr>
      </w:pPr>
      <w:r>
        <w:rPr>
          <w:b/>
          <w:bCs/>
          <w:sz w:val="20"/>
        </w:rPr>
        <w:t>Al Acker:</w:t>
      </w:r>
      <w:r>
        <w:rPr>
          <w:sz w:val="20"/>
        </w:rPr>
        <w:t xml:space="preserve"> Board needs to discuss Fencing, Section 4403 Subsection R. Should the section state a distance from the right of way. Currently fencing could be close as 17 feet from the center line.</w:t>
      </w:r>
    </w:p>
    <w:p w14:paraId="73D76BBC" w14:textId="77777777" w:rsidR="000570D6" w:rsidRDefault="000570D6" w:rsidP="004B7EC4">
      <w:pPr>
        <w:pStyle w:val="BodyText2"/>
        <w:rPr>
          <w:sz w:val="20"/>
        </w:rPr>
      </w:pPr>
    </w:p>
    <w:p w14:paraId="3931EBAA" w14:textId="6B89ED72" w:rsidR="000570D6" w:rsidRDefault="000570D6" w:rsidP="004B7EC4">
      <w:pPr>
        <w:pStyle w:val="BodyText2"/>
        <w:rPr>
          <w:sz w:val="20"/>
        </w:rPr>
      </w:pPr>
      <w:r>
        <w:rPr>
          <w:b/>
          <w:bCs/>
          <w:sz w:val="20"/>
        </w:rPr>
        <w:t>Discussion</w:t>
      </w:r>
      <w:r>
        <w:rPr>
          <w:sz w:val="20"/>
        </w:rPr>
        <w:t>: Question regarding owning out t</w:t>
      </w:r>
      <w:r w:rsidR="00C41678">
        <w:rPr>
          <w:sz w:val="20"/>
        </w:rPr>
        <w:t>o</w:t>
      </w:r>
      <w:r>
        <w:rPr>
          <w:sz w:val="20"/>
        </w:rPr>
        <w:t xml:space="preserve"> center line. The discussion included ROW and MC Auditor page involves taxes, the ROW was straight line from pole to pole in easement and fencing being placed on the property line. The changes could make decision easier for the Board of Zoning Appeals to understand the fencing requirement. The discussion ended without any changes b</w:t>
      </w:r>
      <w:r w:rsidR="00C41678">
        <w:rPr>
          <w:sz w:val="20"/>
        </w:rPr>
        <w:t>e</w:t>
      </w:r>
      <w:r>
        <w:rPr>
          <w:sz w:val="20"/>
        </w:rPr>
        <w:t xml:space="preserve"> made to the text.</w:t>
      </w:r>
    </w:p>
    <w:p w14:paraId="40576626" w14:textId="77777777" w:rsidR="000570D6" w:rsidRDefault="000570D6" w:rsidP="004B7EC4">
      <w:pPr>
        <w:pStyle w:val="BodyText2"/>
        <w:rPr>
          <w:sz w:val="20"/>
        </w:rPr>
      </w:pPr>
    </w:p>
    <w:p w14:paraId="681566CD" w14:textId="256724F4" w:rsidR="000570D6" w:rsidRDefault="000570D6" w:rsidP="004B7EC4">
      <w:pPr>
        <w:pStyle w:val="BodyText2"/>
        <w:rPr>
          <w:sz w:val="20"/>
        </w:rPr>
      </w:pPr>
      <w:r>
        <w:rPr>
          <w:b/>
          <w:bCs/>
          <w:sz w:val="20"/>
        </w:rPr>
        <w:t>Al Acker:</w:t>
      </w:r>
      <w:r>
        <w:rPr>
          <w:sz w:val="20"/>
        </w:rPr>
        <w:t xml:space="preserve"> The second issue is </w:t>
      </w:r>
      <w:r w:rsidR="00C41678">
        <w:rPr>
          <w:sz w:val="20"/>
        </w:rPr>
        <w:t>c</w:t>
      </w:r>
      <w:r>
        <w:rPr>
          <w:sz w:val="20"/>
        </w:rPr>
        <w:t>overage, Section 4403, Subsection B.2. reads “Shall not exceed ab aggregate 2500 sq feet. of the total area of the lot or tract. So, if the parcel is 20 acres, 871,200 sq feet, they can only use 2500 sq feet.</w:t>
      </w:r>
    </w:p>
    <w:p w14:paraId="0E4A1E39" w14:textId="77777777" w:rsidR="000570D6" w:rsidRDefault="000570D6" w:rsidP="004B7EC4">
      <w:pPr>
        <w:pStyle w:val="BodyText2"/>
        <w:rPr>
          <w:sz w:val="20"/>
        </w:rPr>
      </w:pPr>
    </w:p>
    <w:p w14:paraId="6AD2B6B1" w14:textId="4E8F2013" w:rsidR="000570D6" w:rsidRDefault="000570D6" w:rsidP="004B7EC4">
      <w:pPr>
        <w:pStyle w:val="BodyText2"/>
        <w:rPr>
          <w:sz w:val="20"/>
        </w:rPr>
      </w:pPr>
      <w:r>
        <w:rPr>
          <w:b/>
          <w:bCs/>
          <w:sz w:val="20"/>
        </w:rPr>
        <w:t>Discussion</w:t>
      </w:r>
      <w:r>
        <w:rPr>
          <w:sz w:val="20"/>
        </w:rPr>
        <w:t>: The discussion included distance from road, adjacent property lines distances, megawatts possible on 20 acres versus 2500 sq feet. The discussion to add or change to percentage of the property (80%). The discussion ended with the topic being tabled to the next meeting.</w:t>
      </w:r>
    </w:p>
    <w:p w14:paraId="006830BF" w14:textId="77777777" w:rsidR="000570D6" w:rsidRDefault="000570D6" w:rsidP="004B7EC4">
      <w:pPr>
        <w:pStyle w:val="BodyText2"/>
        <w:rPr>
          <w:sz w:val="20"/>
        </w:rPr>
      </w:pPr>
    </w:p>
    <w:p w14:paraId="295261AF" w14:textId="010165E8" w:rsidR="000570D6" w:rsidRDefault="000570D6" w:rsidP="004B7EC4">
      <w:pPr>
        <w:pStyle w:val="BodyText2"/>
        <w:rPr>
          <w:sz w:val="20"/>
        </w:rPr>
      </w:pPr>
      <w:r>
        <w:rPr>
          <w:b/>
          <w:bCs/>
          <w:sz w:val="20"/>
        </w:rPr>
        <w:t xml:space="preserve">Al Acker: </w:t>
      </w:r>
      <w:r>
        <w:rPr>
          <w:sz w:val="20"/>
        </w:rPr>
        <w:t>In the same section, Coverage</w:t>
      </w:r>
      <w:r w:rsidR="00C41678">
        <w:rPr>
          <w:sz w:val="20"/>
        </w:rPr>
        <w:t>,</w:t>
      </w:r>
      <w:r>
        <w:rPr>
          <w:sz w:val="20"/>
        </w:rPr>
        <w:t xml:space="preserve"> the word impervious, needs to be defined, the panels should not be considered impervious. </w:t>
      </w:r>
    </w:p>
    <w:p w14:paraId="5EC2A1ED" w14:textId="77777777" w:rsidR="000570D6" w:rsidRDefault="000570D6" w:rsidP="004B7EC4">
      <w:pPr>
        <w:pStyle w:val="BodyText2"/>
        <w:rPr>
          <w:sz w:val="20"/>
        </w:rPr>
      </w:pPr>
    </w:p>
    <w:p w14:paraId="645FCB44" w14:textId="67C1F14F" w:rsidR="000570D6" w:rsidRDefault="000570D6" w:rsidP="004B7EC4">
      <w:pPr>
        <w:pStyle w:val="BodyText2"/>
        <w:rPr>
          <w:sz w:val="20"/>
        </w:rPr>
      </w:pPr>
      <w:r>
        <w:rPr>
          <w:b/>
          <w:bCs/>
          <w:sz w:val="20"/>
        </w:rPr>
        <w:t>Discussion:</w:t>
      </w:r>
      <w:r>
        <w:rPr>
          <w:sz w:val="20"/>
        </w:rPr>
        <w:t xml:space="preserve"> Doug Crowe stated coverage is the panels. Fred Garber stated the coverage is the geometric shadowing. Mr. Hayden questioned that if the panels can rotate then geometric shadowing would change. The Board decided to table.</w:t>
      </w:r>
    </w:p>
    <w:p w14:paraId="18014888" w14:textId="77777777" w:rsidR="000570D6" w:rsidRDefault="000570D6" w:rsidP="004B7EC4">
      <w:pPr>
        <w:pStyle w:val="BodyText2"/>
        <w:rPr>
          <w:sz w:val="20"/>
        </w:rPr>
      </w:pPr>
    </w:p>
    <w:p w14:paraId="65C6F412" w14:textId="3E8AC1D5" w:rsidR="000570D6" w:rsidRDefault="000570D6" w:rsidP="004B7EC4">
      <w:pPr>
        <w:pStyle w:val="BodyText2"/>
        <w:rPr>
          <w:sz w:val="20"/>
        </w:rPr>
      </w:pPr>
      <w:r>
        <w:rPr>
          <w:b/>
          <w:bCs/>
          <w:sz w:val="20"/>
        </w:rPr>
        <w:t>John Yancik:</w:t>
      </w:r>
      <w:r>
        <w:rPr>
          <w:sz w:val="20"/>
        </w:rPr>
        <w:t xml:space="preserve"> Next meeting, the third Thursday in July. July 17, 2025.</w:t>
      </w:r>
    </w:p>
    <w:p w14:paraId="2A784AD8" w14:textId="77777777" w:rsidR="000570D6" w:rsidRDefault="000570D6" w:rsidP="004B7EC4">
      <w:pPr>
        <w:pStyle w:val="BodyText2"/>
        <w:rPr>
          <w:sz w:val="20"/>
        </w:rPr>
      </w:pPr>
    </w:p>
    <w:p w14:paraId="0C29AE8D" w14:textId="640EB997" w:rsidR="000570D6" w:rsidRDefault="000570D6" w:rsidP="004B7EC4">
      <w:pPr>
        <w:pStyle w:val="BodyText2"/>
        <w:rPr>
          <w:sz w:val="20"/>
        </w:rPr>
      </w:pPr>
      <w:r>
        <w:rPr>
          <w:b/>
          <w:bCs/>
          <w:sz w:val="20"/>
        </w:rPr>
        <w:t>John Yancik:</w:t>
      </w:r>
      <w:r>
        <w:rPr>
          <w:sz w:val="20"/>
        </w:rPr>
        <w:t xml:space="preserve"> Motion to adjourn? Doug Crowe made the motion and Fred Garber seconded.</w:t>
      </w:r>
    </w:p>
    <w:p w14:paraId="32141CC6" w14:textId="77777777" w:rsidR="000570D6" w:rsidRDefault="000570D6" w:rsidP="004B7EC4">
      <w:pPr>
        <w:pStyle w:val="BodyText2"/>
        <w:rPr>
          <w:sz w:val="20"/>
        </w:rPr>
      </w:pPr>
    </w:p>
    <w:p w14:paraId="0A5E1879" w14:textId="20193636" w:rsidR="00C03B5B" w:rsidRDefault="000570D6" w:rsidP="000570D6">
      <w:pPr>
        <w:pStyle w:val="BodyText2"/>
        <w:rPr>
          <w:sz w:val="20"/>
        </w:rPr>
      </w:pPr>
      <w:r>
        <w:rPr>
          <w:b/>
          <w:bCs/>
          <w:sz w:val="20"/>
        </w:rPr>
        <w:t xml:space="preserve">Vote to Adjourn: </w:t>
      </w:r>
      <w:r>
        <w:rPr>
          <w:sz w:val="20"/>
        </w:rPr>
        <w:t>All Yes.</w:t>
      </w:r>
    </w:p>
    <w:p w14:paraId="0DE93D18" w14:textId="77777777" w:rsidR="00C03B5B" w:rsidRDefault="00C03B5B" w:rsidP="004B7EC4">
      <w:pPr>
        <w:pStyle w:val="BodyText2"/>
        <w:rPr>
          <w:sz w:val="20"/>
        </w:rPr>
      </w:pPr>
    </w:p>
    <w:sectPr w:rsidR="00C03B5B" w:rsidSect="00D97CC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2075"/>
    <w:multiLevelType w:val="hybridMultilevel"/>
    <w:tmpl w:val="1CE02F8A"/>
    <w:lvl w:ilvl="0" w:tplc="D9CE2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217B1"/>
    <w:multiLevelType w:val="hybridMultilevel"/>
    <w:tmpl w:val="C71890B0"/>
    <w:lvl w:ilvl="0" w:tplc="375E73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946A9"/>
    <w:multiLevelType w:val="hybridMultilevel"/>
    <w:tmpl w:val="1D8490F2"/>
    <w:lvl w:ilvl="0" w:tplc="BE50930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802"/>
    <w:multiLevelType w:val="hybridMultilevel"/>
    <w:tmpl w:val="A6BCF76A"/>
    <w:lvl w:ilvl="0" w:tplc="5C54875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329B0"/>
    <w:multiLevelType w:val="hybridMultilevel"/>
    <w:tmpl w:val="FA9E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D0B47"/>
    <w:multiLevelType w:val="hybridMultilevel"/>
    <w:tmpl w:val="CB4A5C3E"/>
    <w:lvl w:ilvl="0" w:tplc="8D9E606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93295"/>
    <w:multiLevelType w:val="hybridMultilevel"/>
    <w:tmpl w:val="037E4D8C"/>
    <w:lvl w:ilvl="0" w:tplc="2630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9299226">
    <w:abstractNumId w:val="1"/>
  </w:num>
  <w:num w:numId="2" w16cid:durableId="285085568">
    <w:abstractNumId w:val="5"/>
  </w:num>
  <w:num w:numId="3" w16cid:durableId="191111891">
    <w:abstractNumId w:val="3"/>
  </w:num>
  <w:num w:numId="4" w16cid:durableId="627006579">
    <w:abstractNumId w:val="2"/>
  </w:num>
  <w:num w:numId="5" w16cid:durableId="857161381">
    <w:abstractNumId w:val="4"/>
  </w:num>
  <w:num w:numId="6" w16cid:durableId="1202398076">
    <w:abstractNumId w:val="6"/>
  </w:num>
  <w:num w:numId="7" w16cid:durableId="142823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3"/>
    <w:rsid w:val="000570D6"/>
    <w:rsid w:val="00076767"/>
    <w:rsid w:val="000C2C0E"/>
    <w:rsid w:val="000F7D14"/>
    <w:rsid w:val="00100347"/>
    <w:rsid w:val="0014634E"/>
    <w:rsid w:val="001C0FF4"/>
    <w:rsid w:val="00213A37"/>
    <w:rsid w:val="00216545"/>
    <w:rsid w:val="00224432"/>
    <w:rsid w:val="00241144"/>
    <w:rsid w:val="00293669"/>
    <w:rsid w:val="003E60EF"/>
    <w:rsid w:val="00421573"/>
    <w:rsid w:val="0043623C"/>
    <w:rsid w:val="004B7EC4"/>
    <w:rsid w:val="004E6C5C"/>
    <w:rsid w:val="004F3962"/>
    <w:rsid w:val="005559AA"/>
    <w:rsid w:val="005568A9"/>
    <w:rsid w:val="00572B0C"/>
    <w:rsid w:val="005A32BA"/>
    <w:rsid w:val="005E54B3"/>
    <w:rsid w:val="00667449"/>
    <w:rsid w:val="007306C8"/>
    <w:rsid w:val="00753C0E"/>
    <w:rsid w:val="008A36EA"/>
    <w:rsid w:val="008F6911"/>
    <w:rsid w:val="009C05A2"/>
    <w:rsid w:val="00A462A4"/>
    <w:rsid w:val="00A469A2"/>
    <w:rsid w:val="00A70BBF"/>
    <w:rsid w:val="00A76031"/>
    <w:rsid w:val="00AA7245"/>
    <w:rsid w:val="00B17F4B"/>
    <w:rsid w:val="00C03B5B"/>
    <w:rsid w:val="00C41678"/>
    <w:rsid w:val="00C86167"/>
    <w:rsid w:val="00D64F09"/>
    <w:rsid w:val="00D97CCD"/>
    <w:rsid w:val="00EA6E58"/>
    <w:rsid w:val="00EB645C"/>
    <w:rsid w:val="00EF763F"/>
    <w:rsid w:val="00F17CF0"/>
    <w:rsid w:val="00F2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D95C"/>
  <w15:chartTrackingRefBased/>
  <w15:docId w15:val="{F8BC343E-2982-4504-9C33-D7EC4846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54B3"/>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Title">
    <w:name w:val="Title"/>
    <w:basedOn w:val="Standard"/>
    <w:next w:val="Subtitle"/>
    <w:link w:val="TitleChar"/>
    <w:qFormat/>
    <w:rsid w:val="005E54B3"/>
    <w:pPr>
      <w:spacing w:line="480" w:lineRule="auto"/>
      <w:jc w:val="center"/>
    </w:pPr>
    <w:rPr>
      <w:sz w:val="24"/>
    </w:rPr>
  </w:style>
  <w:style w:type="character" w:customStyle="1" w:styleId="TitleChar">
    <w:name w:val="Title Char"/>
    <w:basedOn w:val="DefaultParagraphFont"/>
    <w:link w:val="Title"/>
    <w:rsid w:val="005E54B3"/>
    <w:rPr>
      <w:rFonts w:ascii="Times New Roman" w:eastAsia="Times New Roman" w:hAnsi="Times New Roman" w:cs="Times New Roman"/>
      <w:kern w:val="3"/>
      <w:sz w:val="24"/>
      <w:szCs w:val="20"/>
      <w:lang w:eastAsia="zh-CN"/>
    </w:rPr>
  </w:style>
  <w:style w:type="paragraph" w:styleId="BodyText2">
    <w:name w:val="Body Text 2"/>
    <w:basedOn w:val="Standard"/>
    <w:link w:val="BodyText2Char"/>
    <w:unhideWhenUsed/>
    <w:rsid w:val="005E54B3"/>
    <w:rPr>
      <w:sz w:val="24"/>
    </w:rPr>
  </w:style>
  <w:style w:type="character" w:customStyle="1" w:styleId="BodyText2Char">
    <w:name w:val="Body Text 2 Char"/>
    <w:basedOn w:val="DefaultParagraphFont"/>
    <w:link w:val="BodyText2"/>
    <w:rsid w:val="005E54B3"/>
    <w:rPr>
      <w:rFonts w:ascii="Times New Roman" w:eastAsia="Times New Roman" w:hAnsi="Times New Roman" w:cs="Times New Roman"/>
      <w:kern w:val="3"/>
      <w:sz w:val="24"/>
      <w:szCs w:val="20"/>
      <w:lang w:eastAsia="zh-CN"/>
    </w:rPr>
  </w:style>
  <w:style w:type="paragraph" w:styleId="Subtitle">
    <w:name w:val="Subtitle"/>
    <w:basedOn w:val="Normal"/>
    <w:next w:val="Normal"/>
    <w:link w:val="SubtitleChar"/>
    <w:uiPriority w:val="11"/>
    <w:qFormat/>
    <w:rsid w:val="005E54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4B3"/>
    <w:rPr>
      <w:rFonts w:eastAsiaTheme="minorEastAsia"/>
      <w:color w:val="5A5A5A" w:themeColor="text1" w:themeTint="A5"/>
      <w:spacing w:val="15"/>
    </w:rPr>
  </w:style>
  <w:style w:type="paragraph" w:styleId="ListParagraph">
    <w:name w:val="List Paragraph"/>
    <w:basedOn w:val="Normal"/>
    <w:uiPriority w:val="34"/>
    <w:qFormat/>
    <w:rsid w:val="004B7EC4"/>
    <w:pPr>
      <w:ind w:left="720"/>
      <w:contextualSpacing/>
    </w:pPr>
  </w:style>
  <w:style w:type="paragraph" w:styleId="NoSpacing">
    <w:name w:val="No Spacing"/>
    <w:uiPriority w:val="1"/>
    <w:qFormat/>
    <w:rsid w:val="004B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Perry Township</cp:lastModifiedBy>
  <cp:revision>2</cp:revision>
  <cp:lastPrinted>2025-08-26T16:03:00Z</cp:lastPrinted>
  <dcterms:created xsi:type="dcterms:W3CDTF">2025-08-26T16:12:00Z</dcterms:created>
  <dcterms:modified xsi:type="dcterms:W3CDTF">2025-08-26T16:12:00Z</dcterms:modified>
</cp:coreProperties>
</file>