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74751" w14:textId="1F2BF090" w:rsidR="001B6B82" w:rsidRDefault="00507125">
      <w:r>
        <w:rPr>
          <w:noProof/>
        </w:rPr>
        <w:drawing>
          <wp:anchor distT="0" distB="0" distL="114300" distR="114300" simplePos="0" relativeHeight="251664384" behindDoc="0" locked="0" layoutInCell="1" allowOverlap="1" wp14:anchorId="6E851702" wp14:editId="2D077382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5400040" cy="3793528"/>
            <wp:effectExtent l="0" t="0" r="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9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CB2434" w14:textId="501F0C1C" w:rsidR="001B6B82" w:rsidRDefault="001B6B82"/>
    <w:p w14:paraId="5B016B65" w14:textId="62722CE0" w:rsidR="001B6B82" w:rsidRDefault="001B6B82"/>
    <w:p w14:paraId="7367DB34" w14:textId="1EDC4440" w:rsidR="001B6B82" w:rsidRDefault="001B6B82"/>
    <w:p w14:paraId="359E209B" w14:textId="1BF0A7FB" w:rsidR="001B6B82" w:rsidRDefault="001B6B82"/>
    <w:p w14:paraId="3B6FB0C5" w14:textId="7EE54454" w:rsidR="00507125" w:rsidRDefault="00507125"/>
    <w:p w14:paraId="323C45F7" w14:textId="7C654A15" w:rsidR="00507125" w:rsidRDefault="00507125"/>
    <w:p w14:paraId="06AE0158" w14:textId="241DCA37" w:rsidR="001B6B82" w:rsidRPr="00507125" w:rsidRDefault="00507125">
      <w:pPr>
        <w:rPr>
          <w:rFonts w:ascii="Amasis MT Pro Medium" w:hAnsi="Amasis MT Pro Medium"/>
          <w:b/>
          <w:bCs/>
          <w:color w:val="006E39" w:themeColor="accent6" w:themeShade="80"/>
          <w:sz w:val="72"/>
          <w:szCs w:val="72"/>
        </w:rPr>
      </w:pPr>
      <w:r>
        <w:rPr>
          <w:rFonts w:ascii="Amasis MT Pro Medium" w:hAnsi="Amasis MT Pro Medium"/>
          <w:b/>
          <w:bCs/>
          <w:color w:val="006E39" w:themeColor="accent6" w:themeShade="80"/>
          <w:sz w:val="72"/>
          <w:szCs w:val="72"/>
        </w:rPr>
        <w:t>RELATÓRIO DE SUSTENTABILIDADE</w:t>
      </w:r>
    </w:p>
    <w:p w14:paraId="424AC7CA" w14:textId="760E4E69" w:rsidR="001B6B82" w:rsidRPr="00507125" w:rsidRDefault="00507125">
      <w:pPr>
        <w:rPr>
          <w:rFonts w:ascii="Amasis MT Pro Medium" w:hAnsi="Amasis MT Pro Medium"/>
          <w:b/>
          <w:bCs/>
          <w:sz w:val="56"/>
          <w:szCs w:val="56"/>
        </w:rPr>
      </w:pPr>
      <w:r>
        <w:rPr>
          <w:rFonts w:ascii="Amasis MT Pro Medium" w:hAnsi="Amasis MT Pro Medium"/>
          <w:b/>
          <w:bCs/>
          <w:sz w:val="56"/>
          <w:szCs w:val="56"/>
        </w:rPr>
        <w:t>ABRIL/2026</w:t>
      </w:r>
    </w:p>
    <w:p w14:paraId="1AEF5EE6" w14:textId="79F8BC08" w:rsidR="001B6B82" w:rsidRDefault="001B6B82"/>
    <w:p w14:paraId="7E5095E6" w14:textId="055EC158" w:rsidR="001B6B82" w:rsidRDefault="001B6B82"/>
    <w:p w14:paraId="5D581C39" w14:textId="612CEF2D" w:rsidR="001B6B82" w:rsidRDefault="001B6B82"/>
    <w:p w14:paraId="5A961126" w14:textId="5572E63B" w:rsidR="001B6B82" w:rsidRDefault="001B6B82"/>
    <w:p w14:paraId="6324B965" w14:textId="44CAE383" w:rsidR="001B6B82" w:rsidRDefault="001B6B82"/>
    <w:p w14:paraId="184BD280" w14:textId="73B88280" w:rsidR="001B6B82" w:rsidRDefault="001B6B82"/>
    <w:p w14:paraId="70D2588B" w14:textId="08E4C1A2" w:rsidR="001B6B82" w:rsidRDefault="001B6B82"/>
    <w:p w14:paraId="04002117" w14:textId="2B5BBAA5" w:rsidR="001B6B82" w:rsidRDefault="001B6B82"/>
    <w:p w14:paraId="32C8227D" w14:textId="2B861923" w:rsidR="001B6B82" w:rsidRDefault="001B6B82"/>
    <w:p w14:paraId="23632201" w14:textId="5FF62B5C" w:rsidR="001B6B82" w:rsidRDefault="001B6B82"/>
    <w:p w14:paraId="2E342E52" w14:textId="3F9AAA5A" w:rsidR="001B6B82" w:rsidRDefault="001B6B82"/>
    <w:p w14:paraId="4D192AA7" w14:textId="231FDE78" w:rsidR="001B6B82" w:rsidRDefault="001B6B82"/>
    <w:p w14:paraId="0942CE46" w14:textId="7FCC5FC3" w:rsidR="001B6B82" w:rsidRDefault="001B6B82"/>
    <w:p w14:paraId="2DE99C95" w14:textId="77777777" w:rsidR="001B6B82" w:rsidRDefault="001B6B82"/>
    <w:p w14:paraId="177879B1" w14:textId="77777777" w:rsidR="001B6B82" w:rsidRDefault="001B6B82"/>
    <w:p w14:paraId="0B38491F" w14:textId="77777777" w:rsidR="001B6B82" w:rsidRDefault="001B6B82">
      <w:pPr>
        <w:sectPr w:rsidR="001B6B82"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8960037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CD503CA" w14:textId="344511CB" w:rsidR="009C55B0" w:rsidRPr="00860D9C" w:rsidRDefault="009C55B0">
          <w:pPr>
            <w:pStyle w:val="CabealhodoSumrio"/>
            <w:rPr>
              <w:rFonts w:ascii="Amasis MT Pro Medium" w:hAnsi="Amasis MT Pro Medium"/>
              <w:b/>
              <w:bCs/>
              <w:color w:val="00A555" w:themeColor="accent6" w:themeShade="BF"/>
            </w:rPr>
          </w:pPr>
          <w:r>
            <w:rPr>
              <w:rFonts w:ascii="Amasis MT Pro Medium" w:hAnsi="Amasis MT Pro Medium"/>
              <w:b/>
              <w:bCs/>
              <w:color w:val="00A555" w:themeColor="accent6" w:themeShade="BF"/>
            </w:rPr>
            <w:t>Sumário</w:t>
          </w:r>
        </w:p>
        <w:p w14:paraId="28C0E2F9" w14:textId="1FDBF535" w:rsidR="004B67C6" w:rsidRPr="004B67C6" w:rsidRDefault="009C55B0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color w:val="00A555" w:themeColor="accent6" w:themeShade="BF"/>
              <w:lang w:eastAsia="pt-BR"/>
            </w:rPr>
          </w:pPr>
          <w:r>
            <w:rPr>
              <w:color w:val="00A555" w:themeColor="accent6" w:themeShade="BF"/>
            </w:rPr>
            <w:fldChar w:fldCharType="begin"/>
          </w:r>
          <w:r>
            <w:rPr>
              <w:color w:val="00A555" w:themeColor="accent6" w:themeShade="BF"/>
            </w:rPr>
            <w:instrText xml:space="preserve"> TOC \o "1-3" \h \z \u </w:instrText>
          </w:r>
          <w:r>
            <w:rPr>
              <w:color w:val="00A555" w:themeColor="accent6" w:themeShade="BF"/>
            </w:rPr>
            <w:fldChar w:fldCharType="separate"/>
          </w:r>
          <w:hyperlink w:anchor="_Toc227880750" w:history="1">
            <w:r>
              <w:rPr>
                <w:rStyle w:val="Hyperlink"/>
                <w:rFonts w:ascii="Amasis MT Pro Medium" w:hAnsi="Amasis MT Pro Medium"/>
                <w:b/>
                <w:bCs/>
                <w:noProof/>
                <w:color w:val="00A555" w:themeColor="accent6" w:themeShade="BF"/>
                <w:lang w:bidi="pt-PT"/>
              </w:rPr>
              <w:t>Sobre esse Relatório</w:t>
            </w:r>
            <w:r>
              <w:rPr>
                <w:noProof/>
                <w:webHidden/>
                <w:color w:val="00A555" w:themeColor="accent6" w:themeShade="BF"/>
              </w:rPr>
              <w:tab/>
            </w:r>
            <w:r>
              <w:rPr>
                <w:noProof/>
                <w:webHidden/>
                <w:color w:val="00A555" w:themeColor="accent6" w:themeShade="BF"/>
              </w:rPr>
              <w:fldChar w:fldCharType="begin"/>
            </w:r>
            <w:r>
              <w:rPr>
                <w:noProof/>
                <w:webHidden/>
                <w:color w:val="00A555" w:themeColor="accent6" w:themeShade="BF"/>
              </w:rPr>
              <w:instrText xml:space="preserve"> PAGEREF _Toc227880750 \h </w:instrText>
            </w:r>
            <w:r>
              <w:rPr>
                <w:noProof/>
                <w:webHidden/>
                <w:color w:val="00A555" w:themeColor="accent6" w:themeShade="BF"/>
              </w:rPr>
            </w:r>
            <w:r>
              <w:rPr>
                <w:noProof/>
                <w:webHidden/>
                <w:color w:val="00A555" w:themeColor="accent6" w:themeShade="BF"/>
              </w:rPr>
              <w:fldChar w:fldCharType="separate"/>
            </w:r>
            <w:r>
              <w:rPr>
                <w:noProof/>
                <w:webHidden/>
                <w:color w:val="00A555" w:themeColor="accent6" w:themeShade="BF"/>
              </w:rPr>
              <w:t>3</w:t>
            </w:r>
            <w:r>
              <w:rPr>
                <w:noProof/>
                <w:webHidden/>
                <w:color w:val="00A555" w:themeColor="accent6" w:themeShade="BF"/>
              </w:rPr>
              <w:fldChar w:fldCharType="end"/>
            </w:r>
          </w:hyperlink>
        </w:p>
        <w:p w14:paraId="0AD0231B" w14:textId="6FFB9E3E" w:rsidR="004B67C6" w:rsidRPr="004B67C6" w:rsidRDefault="004B67C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color w:val="00A555" w:themeColor="accent6" w:themeShade="BF"/>
              <w:lang w:eastAsia="pt-BR"/>
            </w:rPr>
          </w:pPr>
          <w:hyperlink w:anchor="_Toc227880751" w:history="1">
            <w:r>
              <w:rPr>
                <w:rStyle w:val="Hyperlink"/>
                <w:rFonts w:ascii="Amasis MT Pro Medium" w:hAnsi="Amasis MT Pro Medium"/>
                <w:b/>
                <w:bCs/>
                <w:noProof/>
                <w:color w:val="00A555" w:themeColor="accent6" w:themeShade="BF"/>
                <w:lang w:bidi="pt-PT"/>
              </w:rPr>
              <w:t>Materialidade</w:t>
            </w:r>
            <w:r>
              <w:rPr>
                <w:noProof/>
                <w:webHidden/>
                <w:color w:val="00A555" w:themeColor="accent6" w:themeShade="BF"/>
              </w:rPr>
              <w:tab/>
            </w:r>
            <w:r>
              <w:rPr>
                <w:noProof/>
                <w:webHidden/>
                <w:color w:val="00A555" w:themeColor="accent6" w:themeShade="BF"/>
              </w:rPr>
              <w:fldChar w:fldCharType="begin"/>
            </w:r>
            <w:r>
              <w:rPr>
                <w:noProof/>
                <w:webHidden/>
                <w:color w:val="00A555" w:themeColor="accent6" w:themeShade="BF"/>
              </w:rPr>
              <w:instrText xml:space="preserve"> PAGEREF _Toc227880751 \h </w:instrText>
            </w:r>
            <w:r>
              <w:rPr>
                <w:noProof/>
                <w:webHidden/>
                <w:color w:val="00A555" w:themeColor="accent6" w:themeShade="BF"/>
              </w:rPr>
            </w:r>
            <w:r>
              <w:rPr>
                <w:noProof/>
                <w:webHidden/>
                <w:color w:val="00A555" w:themeColor="accent6" w:themeShade="BF"/>
              </w:rPr>
              <w:fldChar w:fldCharType="separate"/>
            </w:r>
            <w:r>
              <w:rPr>
                <w:noProof/>
                <w:webHidden/>
                <w:color w:val="00A555" w:themeColor="accent6" w:themeShade="BF"/>
              </w:rPr>
              <w:t>3</w:t>
            </w:r>
            <w:r>
              <w:rPr>
                <w:noProof/>
                <w:webHidden/>
                <w:color w:val="00A555" w:themeColor="accent6" w:themeShade="BF"/>
              </w:rPr>
              <w:fldChar w:fldCharType="end"/>
            </w:r>
          </w:hyperlink>
        </w:p>
        <w:p w14:paraId="6DDF8292" w14:textId="544A187D" w:rsidR="004B67C6" w:rsidRPr="004B67C6" w:rsidRDefault="004B67C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color w:val="00A555" w:themeColor="accent6" w:themeShade="BF"/>
              <w:lang w:eastAsia="pt-BR"/>
            </w:rPr>
          </w:pPr>
          <w:hyperlink w:anchor="_Toc227880752" w:history="1">
            <w:r>
              <w:rPr>
                <w:rStyle w:val="Hyperlink"/>
                <w:rFonts w:ascii="Amasis MT Pro Medium" w:hAnsi="Amasis MT Pro Medium"/>
                <w:b/>
                <w:bCs/>
                <w:noProof/>
                <w:color w:val="00A555" w:themeColor="accent6" w:themeShade="BF"/>
                <w:lang w:bidi="pt-PT"/>
              </w:rPr>
              <w:t>Temas Materiais</w:t>
            </w:r>
            <w:r>
              <w:rPr>
                <w:noProof/>
                <w:webHidden/>
                <w:color w:val="00A555" w:themeColor="accent6" w:themeShade="BF"/>
              </w:rPr>
              <w:tab/>
            </w:r>
            <w:r>
              <w:rPr>
                <w:noProof/>
                <w:webHidden/>
                <w:color w:val="00A555" w:themeColor="accent6" w:themeShade="BF"/>
              </w:rPr>
              <w:fldChar w:fldCharType="begin"/>
            </w:r>
            <w:r>
              <w:rPr>
                <w:noProof/>
                <w:webHidden/>
                <w:color w:val="00A555" w:themeColor="accent6" w:themeShade="BF"/>
              </w:rPr>
              <w:instrText xml:space="preserve"> PAGEREF _Toc227880752 \h </w:instrText>
            </w:r>
            <w:r>
              <w:rPr>
                <w:noProof/>
                <w:webHidden/>
                <w:color w:val="00A555" w:themeColor="accent6" w:themeShade="BF"/>
              </w:rPr>
            </w:r>
            <w:r>
              <w:rPr>
                <w:noProof/>
                <w:webHidden/>
                <w:color w:val="00A555" w:themeColor="accent6" w:themeShade="BF"/>
              </w:rPr>
              <w:fldChar w:fldCharType="separate"/>
            </w:r>
            <w:r>
              <w:rPr>
                <w:noProof/>
                <w:webHidden/>
                <w:color w:val="00A555" w:themeColor="accent6" w:themeShade="BF"/>
              </w:rPr>
              <w:t>6</w:t>
            </w:r>
            <w:r>
              <w:rPr>
                <w:noProof/>
                <w:webHidden/>
                <w:color w:val="00A555" w:themeColor="accent6" w:themeShade="BF"/>
              </w:rPr>
              <w:fldChar w:fldCharType="end"/>
            </w:r>
          </w:hyperlink>
        </w:p>
        <w:p w14:paraId="32A10AFC" w14:textId="7B20CAF5" w:rsidR="004B67C6" w:rsidRPr="004B67C6" w:rsidRDefault="004B67C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color w:val="00A555" w:themeColor="accent6" w:themeShade="BF"/>
              <w:lang w:eastAsia="pt-BR"/>
            </w:rPr>
          </w:pPr>
          <w:hyperlink w:anchor="_Toc227880753" w:history="1">
            <w:r>
              <w:rPr>
                <w:rStyle w:val="Hyperlink"/>
                <w:rFonts w:ascii="Amasis MT Pro Medium" w:hAnsi="Amasis MT Pro Medium"/>
                <w:b/>
                <w:bCs/>
                <w:noProof/>
                <w:color w:val="00A555" w:themeColor="accent6" w:themeShade="BF"/>
                <w:lang w:bidi="pt-PT"/>
              </w:rPr>
              <w:t>Nossa Empresa</w:t>
            </w:r>
            <w:r>
              <w:rPr>
                <w:noProof/>
                <w:webHidden/>
                <w:color w:val="00A555" w:themeColor="accent6" w:themeShade="BF"/>
              </w:rPr>
              <w:tab/>
            </w:r>
            <w:r>
              <w:rPr>
                <w:noProof/>
                <w:webHidden/>
                <w:color w:val="00A555" w:themeColor="accent6" w:themeShade="BF"/>
              </w:rPr>
              <w:fldChar w:fldCharType="begin"/>
            </w:r>
            <w:r>
              <w:rPr>
                <w:noProof/>
                <w:webHidden/>
                <w:color w:val="00A555" w:themeColor="accent6" w:themeShade="BF"/>
              </w:rPr>
              <w:instrText xml:space="preserve"> PAGEREF _Toc227880753 \h </w:instrText>
            </w:r>
            <w:r>
              <w:rPr>
                <w:noProof/>
                <w:webHidden/>
                <w:color w:val="00A555" w:themeColor="accent6" w:themeShade="BF"/>
              </w:rPr>
            </w:r>
            <w:r>
              <w:rPr>
                <w:noProof/>
                <w:webHidden/>
                <w:color w:val="00A555" w:themeColor="accent6" w:themeShade="BF"/>
              </w:rPr>
              <w:fldChar w:fldCharType="separate"/>
            </w:r>
            <w:r>
              <w:rPr>
                <w:noProof/>
                <w:webHidden/>
                <w:color w:val="00A555" w:themeColor="accent6" w:themeShade="BF"/>
              </w:rPr>
              <w:t>7</w:t>
            </w:r>
            <w:r>
              <w:rPr>
                <w:noProof/>
                <w:webHidden/>
                <w:color w:val="00A555" w:themeColor="accent6" w:themeShade="BF"/>
              </w:rPr>
              <w:fldChar w:fldCharType="end"/>
            </w:r>
          </w:hyperlink>
        </w:p>
        <w:p w14:paraId="672F2768" w14:textId="56ABF24D" w:rsidR="004B67C6" w:rsidRPr="004B67C6" w:rsidRDefault="004B67C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color w:val="00A555" w:themeColor="accent6" w:themeShade="BF"/>
              <w:lang w:eastAsia="pt-BR"/>
            </w:rPr>
          </w:pPr>
          <w:hyperlink w:anchor="_Toc227880754" w:history="1">
            <w:r>
              <w:rPr>
                <w:rStyle w:val="Hyperlink"/>
                <w:rFonts w:ascii="Amasis MT Pro Medium" w:hAnsi="Amasis MT Pro Medium"/>
                <w:b/>
                <w:bCs/>
                <w:noProof/>
                <w:color w:val="00A555" w:themeColor="accent6" w:themeShade="BF"/>
                <w:lang w:bidi="pt-PT"/>
              </w:rPr>
              <w:t>Nossa Cultura</w:t>
            </w:r>
            <w:r>
              <w:rPr>
                <w:noProof/>
                <w:webHidden/>
                <w:color w:val="00A555" w:themeColor="accent6" w:themeShade="BF"/>
              </w:rPr>
              <w:tab/>
            </w:r>
            <w:r>
              <w:rPr>
                <w:noProof/>
                <w:webHidden/>
                <w:color w:val="00A555" w:themeColor="accent6" w:themeShade="BF"/>
              </w:rPr>
              <w:fldChar w:fldCharType="begin"/>
            </w:r>
            <w:r>
              <w:rPr>
                <w:noProof/>
                <w:webHidden/>
                <w:color w:val="00A555" w:themeColor="accent6" w:themeShade="BF"/>
              </w:rPr>
              <w:instrText xml:space="preserve"> PAGEREF _Toc227880754 \h </w:instrText>
            </w:r>
            <w:r>
              <w:rPr>
                <w:noProof/>
                <w:webHidden/>
                <w:color w:val="00A555" w:themeColor="accent6" w:themeShade="BF"/>
              </w:rPr>
            </w:r>
            <w:r>
              <w:rPr>
                <w:noProof/>
                <w:webHidden/>
                <w:color w:val="00A555" w:themeColor="accent6" w:themeShade="BF"/>
              </w:rPr>
              <w:fldChar w:fldCharType="separate"/>
            </w:r>
            <w:r>
              <w:rPr>
                <w:noProof/>
                <w:webHidden/>
                <w:color w:val="00A555" w:themeColor="accent6" w:themeShade="BF"/>
              </w:rPr>
              <w:t>8</w:t>
            </w:r>
            <w:r>
              <w:rPr>
                <w:noProof/>
                <w:webHidden/>
                <w:color w:val="00A555" w:themeColor="accent6" w:themeShade="BF"/>
              </w:rPr>
              <w:fldChar w:fldCharType="end"/>
            </w:r>
          </w:hyperlink>
        </w:p>
        <w:p w14:paraId="1707B406" w14:textId="436A8A36" w:rsidR="004B67C6" w:rsidRPr="004B67C6" w:rsidRDefault="004B67C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color w:val="00A555" w:themeColor="accent6" w:themeShade="BF"/>
              <w:lang w:eastAsia="pt-BR"/>
            </w:rPr>
          </w:pPr>
          <w:hyperlink w:anchor="_Toc227880755" w:history="1">
            <w:r>
              <w:rPr>
                <w:rStyle w:val="Hyperlink"/>
                <w:rFonts w:ascii="Amasis MT Pro Medium" w:hAnsi="Amasis MT Pro Medium"/>
                <w:b/>
                <w:bCs/>
                <w:noProof/>
                <w:color w:val="00A555" w:themeColor="accent6" w:themeShade="BF"/>
                <w:lang w:bidi="pt-PT"/>
              </w:rPr>
              <w:t>Uma Abordagem ASG</w:t>
            </w:r>
            <w:r>
              <w:rPr>
                <w:noProof/>
                <w:webHidden/>
                <w:color w:val="00A555" w:themeColor="accent6" w:themeShade="BF"/>
              </w:rPr>
              <w:tab/>
            </w:r>
            <w:r>
              <w:rPr>
                <w:noProof/>
                <w:webHidden/>
                <w:color w:val="00A555" w:themeColor="accent6" w:themeShade="BF"/>
              </w:rPr>
              <w:fldChar w:fldCharType="begin"/>
            </w:r>
            <w:r>
              <w:rPr>
                <w:noProof/>
                <w:webHidden/>
                <w:color w:val="00A555" w:themeColor="accent6" w:themeShade="BF"/>
              </w:rPr>
              <w:instrText xml:space="preserve"> PAGEREF _Toc227880755 \h </w:instrText>
            </w:r>
            <w:r>
              <w:rPr>
                <w:noProof/>
                <w:webHidden/>
                <w:color w:val="00A555" w:themeColor="accent6" w:themeShade="BF"/>
              </w:rPr>
            </w:r>
            <w:r>
              <w:rPr>
                <w:noProof/>
                <w:webHidden/>
                <w:color w:val="00A555" w:themeColor="accent6" w:themeShade="BF"/>
              </w:rPr>
              <w:fldChar w:fldCharType="separate"/>
            </w:r>
            <w:r>
              <w:rPr>
                <w:noProof/>
                <w:webHidden/>
                <w:color w:val="00A555" w:themeColor="accent6" w:themeShade="BF"/>
              </w:rPr>
              <w:t>9</w:t>
            </w:r>
            <w:r>
              <w:rPr>
                <w:noProof/>
                <w:webHidden/>
                <w:color w:val="00A555" w:themeColor="accent6" w:themeShade="BF"/>
              </w:rPr>
              <w:fldChar w:fldCharType="end"/>
            </w:r>
          </w:hyperlink>
        </w:p>
        <w:p w14:paraId="1D920B98" w14:textId="496580EB" w:rsidR="004B67C6" w:rsidRPr="004B67C6" w:rsidRDefault="004B67C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color w:val="00A555" w:themeColor="accent6" w:themeShade="BF"/>
              <w:lang w:eastAsia="pt-BR"/>
            </w:rPr>
          </w:pPr>
          <w:hyperlink w:anchor="_Toc227880756" w:history="1">
            <w:r>
              <w:rPr>
                <w:rStyle w:val="Hyperlink"/>
                <w:rFonts w:ascii="Amasis MT Pro Medium" w:hAnsi="Amasis MT Pro Medium"/>
                <w:b/>
                <w:bCs/>
                <w:noProof/>
                <w:color w:val="00A555" w:themeColor="accent6" w:themeShade="BF"/>
                <w:lang w:bidi="pt-PT"/>
              </w:rPr>
              <w:t>Indicadores de Sustentabilidade</w:t>
            </w:r>
            <w:r>
              <w:rPr>
                <w:noProof/>
                <w:webHidden/>
                <w:color w:val="00A555" w:themeColor="accent6" w:themeShade="BF"/>
              </w:rPr>
              <w:tab/>
            </w:r>
            <w:r>
              <w:rPr>
                <w:noProof/>
                <w:webHidden/>
                <w:color w:val="00A555" w:themeColor="accent6" w:themeShade="BF"/>
              </w:rPr>
              <w:fldChar w:fldCharType="begin"/>
            </w:r>
            <w:r>
              <w:rPr>
                <w:noProof/>
                <w:webHidden/>
                <w:color w:val="00A555" w:themeColor="accent6" w:themeShade="BF"/>
              </w:rPr>
              <w:instrText xml:space="preserve"> PAGEREF _Toc227880756 \h </w:instrText>
            </w:r>
            <w:r>
              <w:rPr>
                <w:noProof/>
                <w:webHidden/>
                <w:color w:val="00A555" w:themeColor="accent6" w:themeShade="BF"/>
              </w:rPr>
            </w:r>
            <w:r>
              <w:rPr>
                <w:noProof/>
                <w:webHidden/>
                <w:color w:val="00A555" w:themeColor="accent6" w:themeShade="BF"/>
              </w:rPr>
              <w:fldChar w:fldCharType="separate"/>
            </w:r>
            <w:r>
              <w:rPr>
                <w:noProof/>
                <w:webHidden/>
                <w:color w:val="00A555" w:themeColor="accent6" w:themeShade="BF"/>
              </w:rPr>
              <w:t>11</w:t>
            </w:r>
            <w:r>
              <w:rPr>
                <w:noProof/>
                <w:webHidden/>
                <w:color w:val="00A555" w:themeColor="accent6" w:themeShade="BF"/>
              </w:rPr>
              <w:fldChar w:fldCharType="end"/>
            </w:r>
          </w:hyperlink>
        </w:p>
        <w:p w14:paraId="06D38FA7" w14:textId="41660D90" w:rsidR="004B67C6" w:rsidRPr="004B67C6" w:rsidRDefault="004B67C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color w:val="00A555" w:themeColor="accent6" w:themeShade="BF"/>
              <w:lang w:eastAsia="pt-BR"/>
            </w:rPr>
          </w:pPr>
          <w:hyperlink w:anchor="_Toc227880757" w:history="1">
            <w:r>
              <w:rPr>
                <w:rStyle w:val="Hyperlink"/>
                <w:rFonts w:ascii="Amasis MT Pro Medium" w:hAnsi="Amasis MT Pro Medium"/>
                <w:b/>
                <w:bCs/>
                <w:noProof/>
                <w:color w:val="00A555" w:themeColor="accent6" w:themeShade="BF"/>
                <w:lang w:bidi="pt-PT"/>
              </w:rPr>
              <w:t>Gestão de Riscos de Sustentabilidade</w:t>
            </w:r>
            <w:r>
              <w:rPr>
                <w:noProof/>
                <w:webHidden/>
                <w:color w:val="00A555" w:themeColor="accent6" w:themeShade="BF"/>
              </w:rPr>
              <w:tab/>
            </w:r>
            <w:r>
              <w:rPr>
                <w:noProof/>
                <w:webHidden/>
                <w:color w:val="00A555" w:themeColor="accent6" w:themeShade="BF"/>
              </w:rPr>
              <w:fldChar w:fldCharType="begin"/>
            </w:r>
            <w:r>
              <w:rPr>
                <w:noProof/>
                <w:webHidden/>
                <w:color w:val="00A555" w:themeColor="accent6" w:themeShade="BF"/>
              </w:rPr>
              <w:instrText xml:space="preserve"> PAGEREF _Toc227880757 \h </w:instrText>
            </w:r>
            <w:r>
              <w:rPr>
                <w:noProof/>
                <w:webHidden/>
                <w:color w:val="00A555" w:themeColor="accent6" w:themeShade="BF"/>
              </w:rPr>
            </w:r>
            <w:r>
              <w:rPr>
                <w:noProof/>
                <w:webHidden/>
                <w:color w:val="00A555" w:themeColor="accent6" w:themeShade="BF"/>
              </w:rPr>
              <w:fldChar w:fldCharType="separate"/>
            </w:r>
            <w:r>
              <w:rPr>
                <w:noProof/>
                <w:webHidden/>
                <w:color w:val="00A555" w:themeColor="accent6" w:themeShade="BF"/>
              </w:rPr>
              <w:t>12</w:t>
            </w:r>
            <w:r>
              <w:rPr>
                <w:noProof/>
                <w:webHidden/>
                <w:color w:val="00A555" w:themeColor="accent6" w:themeShade="BF"/>
              </w:rPr>
              <w:fldChar w:fldCharType="end"/>
            </w:r>
          </w:hyperlink>
        </w:p>
        <w:p w14:paraId="7D3AAD71" w14:textId="23BD7DF0" w:rsidR="004B67C6" w:rsidRPr="004B67C6" w:rsidRDefault="004B67C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color w:val="00A555" w:themeColor="accent6" w:themeShade="BF"/>
              <w:lang w:eastAsia="pt-BR"/>
            </w:rPr>
          </w:pPr>
          <w:hyperlink w:anchor="_Toc227880758" w:history="1">
            <w:r>
              <w:rPr>
                <w:rStyle w:val="Hyperlink"/>
                <w:rFonts w:ascii="Amasis MT Pro Medium" w:hAnsi="Amasis MT Pro Medium"/>
                <w:b/>
                <w:bCs/>
                <w:noProof/>
                <w:color w:val="00A555" w:themeColor="accent6" w:themeShade="BF"/>
                <w:lang w:bidi="pt-PT"/>
              </w:rPr>
              <w:t>Segurança da Informação</w:t>
            </w:r>
            <w:r>
              <w:rPr>
                <w:noProof/>
                <w:webHidden/>
                <w:color w:val="00A555" w:themeColor="accent6" w:themeShade="BF"/>
              </w:rPr>
              <w:tab/>
            </w:r>
            <w:r>
              <w:rPr>
                <w:noProof/>
                <w:webHidden/>
                <w:color w:val="00A555" w:themeColor="accent6" w:themeShade="BF"/>
              </w:rPr>
              <w:fldChar w:fldCharType="begin"/>
            </w:r>
            <w:r>
              <w:rPr>
                <w:noProof/>
                <w:webHidden/>
                <w:color w:val="00A555" w:themeColor="accent6" w:themeShade="BF"/>
              </w:rPr>
              <w:instrText xml:space="preserve"> PAGEREF _Toc227880758 \h </w:instrText>
            </w:r>
            <w:r>
              <w:rPr>
                <w:noProof/>
                <w:webHidden/>
                <w:color w:val="00A555" w:themeColor="accent6" w:themeShade="BF"/>
              </w:rPr>
            </w:r>
            <w:r>
              <w:rPr>
                <w:noProof/>
                <w:webHidden/>
                <w:color w:val="00A555" w:themeColor="accent6" w:themeShade="BF"/>
              </w:rPr>
              <w:fldChar w:fldCharType="separate"/>
            </w:r>
            <w:r>
              <w:rPr>
                <w:noProof/>
                <w:webHidden/>
                <w:color w:val="00A555" w:themeColor="accent6" w:themeShade="BF"/>
              </w:rPr>
              <w:t>13</w:t>
            </w:r>
            <w:r>
              <w:rPr>
                <w:noProof/>
                <w:webHidden/>
                <w:color w:val="00A555" w:themeColor="accent6" w:themeShade="BF"/>
              </w:rPr>
              <w:fldChar w:fldCharType="end"/>
            </w:r>
          </w:hyperlink>
        </w:p>
        <w:p w14:paraId="4F1CB598" w14:textId="3B890FAC" w:rsidR="004B67C6" w:rsidRPr="004B67C6" w:rsidRDefault="004B67C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color w:val="00A555" w:themeColor="accent6" w:themeShade="BF"/>
              <w:lang w:eastAsia="pt-BR"/>
            </w:rPr>
          </w:pPr>
          <w:hyperlink w:anchor="_Toc227880759" w:history="1">
            <w:r>
              <w:rPr>
                <w:rStyle w:val="Hyperlink"/>
                <w:rFonts w:ascii="Amasis MT Pro Medium" w:hAnsi="Amasis MT Pro Medium"/>
                <w:b/>
                <w:bCs/>
                <w:noProof/>
                <w:color w:val="00A555" w:themeColor="accent6" w:themeShade="BF"/>
                <w:lang w:bidi="pt-PT"/>
              </w:rPr>
              <w:t>Relação com Stakeholders</w:t>
            </w:r>
            <w:r>
              <w:rPr>
                <w:noProof/>
                <w:webHidden/>
                <w:color w:val="00A555" w:themeColor="accent6" w:themeShade="BF"/>
              </w:rPr>
              <w:tab/>
            </w:r>
            <w:r>
              <w:rPr>
                <w:noProof/>
                <w:webHidden/>
                <w:color w:val="00A555" w:themeColor="accent6" w:themeShade="BF"/>
              </w:rPr>
              <w:fldChar w:fldCharType="begin"/>
            </w:r>
            <w:r>
              <w:rPr>
                <w:noProof/>
                <w:webHidden/>
                <w:color w:val="00A555" w:themeColor="accent6" w:themeShade="BF"/>
              </w:rPr>
              <w:instrText xml:space="preserve"> PAGEREF _Toc227880759 \h </w:instrText>
            </w:r>
            <w:r>
              <w:rPr>
                <w:noProof/>
                <w:webHidden/>
                <w:color w:val="00A555" w:themeColor="accent6" w:themeShade="BF"/>
              </w:rPr>
            </w:r>
            <w:r>
              <w:rPr>
                <w:noProof/>
                <w:webHidden/>
                <w:color w:val="00A555" w:themeColor="accent6" w:themeShade="BF"/>
              </w:rPr>
              <w:fldChar w:fldCharType="separate"/>
            </w:r>
            <w:r>
              <w:rPr>
                <w:noProof/>
                <w:webHidden/>
                <w:color w:val="00A555" w:themeColor="accent6" w:themeShade="BF"/>
              </w:rPr>
              <w:t>14</w:t>
            </w:r>
            <w:r>
              <w:rPr>
                <w:noProof/>
                <w:webHidden/>
                <w:color w:val="00A555" w:themeColor="accent6" w:themeShade="BF"/>
              </w:rPr>
              <w:fldChar w:fldCharType="end"/>
            </w:r>
          </w:hyperlink>
        </w:p>
        <w:p w14:paraId="1B6F77A4" w14:textId="491BE76F" w:rsidR="004B67C6" w:rsidRPr="004B67C6" w:rsidRDefault="004B67C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color w:val="00A555" w:themeColor="accent6" w:themeShade="BF"/>
              <w:lang w:eastAsia="pt-BR"/>
            </w:rPr>
          </w:pPr>
          <w:hyperlink w:anchor="_Toc227880760" w:history="1">
            <w:r>
              <w:rPr>
                <w:rStyle w:val="Hyperlink"/>
                <w:rFonts w:ascii="Amasis MT Pro Medium" w:hAnsi="Amasis MT Pro Medium"/>
                <w:b/>
                <w:bCs/>
                <w:noProof/>
                <w:color w:val="00A555" w:themeColor="accent6" w:themeShade="BF"/>
                <w:lang w:bidi="pt-PT"/>
              </w:rPr>
              <w:t>Tabelas de Sustentabilidade</w:t>
            </w:r>
            <w:r>
              <w:rPr>
                <w:noProof/>
                <w:webHidden/>
                <w:color w:val="00A555" w:themeColor="accent6" w:themeShade="BF"/>
              </w:rPr>
              <w:tab/>
            </w:r>
            <w:r>
              <w:rPr>
                <w:noProof/>
                <w:webHidden/>
                <w:color w:val="00A555" w:themeColor="accent6" w:themeShade="BF"/>
              </w:rPr>
              <w:fldChar w:fldCharType="begin"/>
            </w:r>
            <w:r>
              <w:rPr>
                <w:noProof/>
                <w:webHidden/>
                <w:color w:val="00A555" w:themeColor="accent6" w:themeShade="BF"/>
              </w:rPr>
              <w:instrText xml:space="preserve"> PAGEREF _Toc227880760 \h </w:instrText>
            </w:r>
            <w:r>
              <w:rPr>
                <w:noProof/>
                <w:webHidden/>
                <w:color w:val="00A555" w:themeColor="accent6" w:themeShade="BF"/>
              </w:rPr>
            </w:r>
            <w:r>
              <w:rPr>
                <w:noProof/>
                <w:webHidden/>
                <w:color w:val="00A555" w:themeColor="accent6" w:themeShade="BF"/>
              </w:rPr>
              <w:fldChar w:fldCharType="separate"/>
            </w:r>
            <w:r>
              <w:rPr>
                <w:noProof/>
                <w:webHidden/>
                <w:color w:val="00A555" w:themeColor="accent6" w:themeShade="BF"/>
              </w:rPr>
              <w:t>16</w:t>
            </w:r>
            <w:r>
              <w:rPr>
                <w:noProof/>
                <w:webHidden/>
                <w:color w:val="00A555" w:themeColor="accent6" w:themeShade="BF"/>
              </w:rPr>
              <w:fldChar w:fldCharType="end"/>
            </w:r>
          </w:hyperlink>
        </w:p>
        <w:p w14:paraId="1E4D85E1" w14:textId="6A8441A4" w:rsidR="004B67C6" w:rsidRPr="004B67C6" w:rsidRDefault="004B67C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color w:val="00A555" w:themeColor="accent6" w:themeShade="BF"/>
              <w:lang w:eastAsia="pt-BR"/>
            </w:rPr>
          </w:pPr>
          <w:hyperlink w:anchor="_Toc227880761" w:history="1">
            <w:r>
              <w:rPr>
                <w:rStyle w:val="Hyperlink"/>
                <w:rFonts w:ascii="Amasis MT Pro Medium" w:hAnsi="Amasis MT Pro Medium"/>
                <w:b/>
                <w:bCs/>
                <w:noProof/>
                <w:color w:val="00A555" w:themeColor="accent6" w:themeShade="BF"/>
                <w:lang w:bidi="pt-PT"/>
              </w:rPr>
              <w:t>Mensagem Final</w:t>
            </w:r>
            <w:r>
              <w:rPr>
                <w:noProof/>
                <w:webHidden/>
                <w:color w:val="00A555" w:themeColor="accent6" w:themeShade="BF"/>
              </w:rPr>
              <w:tab/>
            </w:r>
            <w:r>
              <w:rPr>
                <w:noProof/>
                <w:webHidden/>
                <w:color w:val="00A555" w:themeColor="accent6" w:themeShade="BF"/>
              </w:rPr>
              <w:fldChar w:fldCharType="begin"/>
            </w:r>
            <w:r>
              <w:rPr>
                <w:noProof/>
                <w:webHidden/>
                <w:color w:val="00A555" w:themeColor="accent6" w:themeShade="BF"/>
              </w:rPr>
              <w:instrText xml:space="preserve"> PAGEREF _Toc227880761 \h </w:instrText>
            </w:r>
            <w:r>
              <w:rPr>
                <w:noProof/>
                <w:webHidden/>
                <w:color w:val="00A555" w:themeColor="accent6" w:themeShade="BF"/>
              </w:rPr>
            </w:r>
            <w:r>
              <w:rPr>
                <w:noProof/>
                <w:webHidden/>
                <w:color w:val="00A555" w:themeColor="accent6" w:themeShade="BF"/>
              </w:rPr>
              <w:fldChar w:fldCharType="separate"/>
            </w:r>
            <w:r>
              <w:rPr>
                <w:noProof/>
                <w:webHidden/>
                <w:color w:val="00A555" w:themeColor="accent6" w:themeShade="BF"/>
              </w:rPr>
              <w:t>24</w:t>
            </w:r>
            <w:r>
              <w:rPr>
                <w:noProof/>
                <w:webHidden/>
                <w:color w:val="00A555" w:themeColor="accent6" w:themeShade="BF"/>
              </w:rPr>
              <w:fldChar w:fldCharType="end"/>
            </w:r>
          </w:hyperlink>
        </w:p>
        <w:p w14:paraId="22FF35A0" w14:textId="43888FC0" w:rsidR="009C55B0" w:rsidRDefault="009C55B0">
          <w:r>
            <w:rPr>
              <w:b/>
              <w:bCs/>
              <w:color w:val="00A555" w:themeColor="accent6" w:themeShade="BF"/>
            </w:rPr>
            <w:fldChar w:fldCharType="end"/>
          </w:r>
        </w:p>
      </w:sdtContent>
    </w:sdt>
    <w:p w14:paraId="731C7F52" w14:textId="31FA22CA" w:rsidR="001B6B82" w:rsidRDefault="007915F9">
      <w:r>
        <w:rPr>
          <w:noProof/>
        </w:rPr>
        <w:drawing>
          <wp:anchor distT="0" distB="0" distL="114300" distR="114300" simplePos="0" relativeHeight="251701248" behindDoc="0" locked="0" layoutInCell="1" allowOverlap="1" wp14:anchorId="1E104207" wp14:editId="64155FAB">
            <wp:simplePos x="0" y="0"/>
            <wp:positionH relativeFrom="margin">
              <wp:posOffset>-511810</wp:posOffset>
            </wp:positionH>
            <wp:positionV relativeFrom="paragraph">
              <wp:posOffset>120015</wp:posOffset>
            </wp:positionV>
            <wp:extent cx="6476365" cy="4857274"/>
            <wp:effectExtent l="0" t="0" r="635" b="635"/>
            <wp:wrapNone/>
            <wp:docPr id="1947570312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48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C2754" w14:textId="2BFE9DB4" w:rsidR="001B6B82" w:rsidRDefault="001B6B82"/>
    <w:p w14:paraId="5600A7DA" w14:textId="51A13EFC" w:rsidR="001B6B82" w:rsidRDefault="001B6B82"/>
    <w:p w14:paraId="58966A42" w14:textId="77777777" w:rsidR="001B6B82" w:rsidRDefault="001B6B82"/>
    <w:p w14:paraId="039B7DCF" w14:textId="77777777" w:rsidR="001B6B82" w:rsidRDefault="001B6B82"/>
    <w:p w14:paraId="112DB9ED" w14:textId="77777777" w:rsidR="009C55B0" w:rsidRDefault="009C55B0"/>
    <w:p w14:paraId="692C767F" w14:textId="52E69CB6" w:rsidR="009C55B0" w:rsidRDefault="009C55B0"/>
    <w:p w14:paraId="34B84BB4" w14:textId="77777777" w:rsidR="009C55B0" w:rsidRDefault="009C55B0"/>
    <w:p w14:paraId="494AA61E" w14:textId="77777777" w:rsidR="009C55B0" w:rsidRDefault="009C55B0"/>
    <w:p w14:paraId="0F12958E" w14:textId="77777777" w:rsidR="009C55B0" w:rsidRDefault="009C55B0"/>
    <w:p w14:paraId="3858B978" w14:textId="77777777" w:rsidR="009C55B0" w:rsidRDefault="009C55B0"/>
    <w:p w14:paraId="4F9D0571" w14:textId="77777777" w:rsidR="009C55B0" w:rsidRDefault="009C55B0"/>
    <w:p w14:paraId="0C0941BA" w14:textId="77777777" w:rsidR="009C55B0" w:rsidRDefault="009C55B0"/>
    <w:p w14:paraId="453295CA" w14:textId="7D4742F4" w:rsidR="009C55B0" w:rsidRDefault="009C55B0">
      <w:r>
        <w:br w:type="page"/>
      </w:r>
    </w:p>
    <w:p w14:paraId="74C4CACB" w14:textId="0F6D5331" w:rsidR="00DF4BE4" w:rsidRPr="00DF4BE4" w:rsidRDefault="00DF4BE4" w:rsidP="00DF4BE4">
      <w:pPr>
        <w:pStyle w:val="Ttulo1"/>
        <w:rPr>
          <w:rFonts w:ascii="Amasis MT Pro Medium" w:hAnsi="Amasis MT Pro Medium"/>
          <w:b/>
          <w:bCs/>
          <w:color w:val="00DD73" w:themeColor="accent6"/>
          <w:lang w:bidi="pt-PT"/>
        </w:rPr>
      </w:pPr>
      <w:bookmarkStart w:id="0" w:name="_Toc227843171"/>
      <w:bookmarkStart w:id="1" w:name="_Toc227880750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CCB923B" wp14:editId="070806E0">
            <wp:simplePos x="0" y="0"/>
            <wp:positionH relativeFrom="column">
              <wp:posOffset>-127635</wp:posOffset>
            </wp:positionH>
            <wp:positionV relativeFrom="paragraph">
              <wp:posOffset>62230</wp:posOffset>
            </wp:positionV>
            <wp:extent cx="2521585" cy="4482465"/>
            <wp:effectExtent l="0" t="0" r="0" b="0"/>
            <wp:wrapThrough wrapText="bothSides">
              <wp:wrapPolygon edited="0">
                <wp:start x="0" y="0"/>
                <wp:lineTo x="0" y="21481"/>
                <wp:lineTo x="21377" y="21481"/>
                <wp:lineTo x="21377" y="0"/>
                <wp:lineTo x="0" y="0"/>
              </wp:wrapPolygon>
            </wp:wrapThrough>
            <wp:docPr id="157905776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1585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asis MT Pro Medium" w:hAnsi="Amasis MT Pro Medium"/>
          <w:b/>
          <w:bCs/>
          <w:color w:val="00DD73" w:themeColor="accent6"/>
          <w:lang w:bidi="pt-PT"/>
        </w:rPr>
        <w:t>Sobre esse Relatório</w:t>
      </w:r>
      <w:bookmarkEnd w:id="0"/>
      <w:bookmarkEnd w:id="1"/>
    </w:p>
    <w:p w14:paraId="3CA4B4C6" w14:textId="3ED117F4" w:rsidR="00DF4BE4" w:rsidRPr="00DF4BE4" w:rsidRDefault="00DF4BE4" w:rsidP="00DF4BE4">
      <w:pPr>
        <w:jc w:val="both"/>
        <w:rPr>
          <w:noProof/>
        </w:rPr>
      </w:pPr>
      <w:r>
        <w:rPr>
          <w:noProof/>
        </w:rPr>
        <w:t>Este é o segundo Relatório de Sustentabilidade da BVIX Seguradora S/A. As informações apresentadas neste documento referem-se ao exercício de 2025, compreendendo dados coletados e consolidados entre 1º de janeiro e 31 de dezembro de 2025, com base em indicadores internos da Seguradora e em atendimento às diretrizes previstas na Circular Susep nº 666/2022. A base de consolidação adotada abrange a BVIX, assegurando coerência metodológica e alinhamento na abordagem de riscos, controles internos e sustentabilidade.</w:t>
      </w:r>
    </w:p>
    <w:p w14:paraId="4A2B8C46" w14:textId="38EEE3E3" w:rsidR="00DF4BE4" w:rsidRPr="00DF4BE4" w:rsidRDefault="00DF4BE4" w:rsidP="00DF4BE4">
      <w:pPr>
        <w:jc w:val="both"/>
        <w:rPr>
          <w:noProof/>
        </w:rPr>
      </w:pPr>
      <w:r>
        <w:rPr>
          <w:noProof/>
        </w:rPr>
        <w:t>A materialidade definida no ciclo de 2024 foi mantida como referência ao longo de 2025, orientando o monitoramento dos temas relevantes, a gestão dos riscos vinculados à sustentabilidade e a determinação dos indicadores acompanhados pela Seguradora. Dessa forma, o presente relatório demonstra a continuidade e o aprimoramento do processo de gestão de sustentabilidade, com destaque para a consistência, a rastreabilidade das informações e a integração com a Estrutura de Gestão de Riscos (EGR) e o Sistema de Controles Internos (SCI).</w:t>
      </w:r>
    </w:p>
    <w:p w14:paraId="51C82C0B" w14:textId="77777777" w:rsidR="00DF4BE4" w:rsidRPr="00DF4BE4" w:rsidRDefault="00DF4BE4" w:rsidP="00DF4BE4">
      <w:pPr>
        <w:pStyle w:val="Ttulo1"/>
        <w:rPr>
          <w:rFonts w:ascii="Amasis MT Pro Medium" w:hAnsi="Amasis MT Pro Medium"/>
          <w:b/>
          <w:bCs/>
          <w:color w:val="00DD73" w:themeColor="accent6"/>
          <w:lang w:bidi="pt-PT"/>
        </w:rPr>
      </w:pPr>
      <w:bookmarkStart w:id="2" w:name="_Toc227880751"/>
      <w:r>
        <w:rPr>
          <w:rFonts w:ascii="Amasis MT Pro Medium" w:hAnsi="Amasis MT Pro Medium"/>
          <w:b/>
          <w:bCs/>
          <w:color w:val="00DD73" w:themeColor="accent6"/>
          <w:lang w:bidi="pt-PT"/>
        </w:rPr>
        <w:t>Materialidade</w:t>
      </w:r>
      <w:bookmarkEnd w:id="2"/>
    </w:p>
    <w:p w14:paraId="074E7D0A" w14:textId="77777777" w:rsidR="00DF4BE4" w:rsidRPr="00DF4BE4" w:rsidRDefault="00DF4BE4" w:rsidP="00DF4BE4">
      <w:pPr>
        <w:rPr>
          <w:b/>
          <w:bCs/>
        </w:rPr>
      </w:pPr>
      <w:r>
        <w:rPr>
          <w:b/>
          <w:bCs/>
        </w:rPr>
        <w:t>Definição da Materialidade</w:t>
      </w:r>
    </w:p>
    <w:p w14:paraId="691F9058" w14:textId="77777777" w:rsidR="00DF4BE4" w:rsidRDefault="00DF4BE4" w:rsidP="00DF4BE4">
      <w:pPr>
        <w:jc w:val="both"/>
      </w:pPr>
      <w:r>
        <w:t>Este termo foi definido no contexto dos relatório financeiros, que se referiam as informações de criação de valor econômico. Neste contexto, passou a integrar os riscos e oportunidades de temas de sustentabilidade que referem-se as questões ambientais, sociais e de governança (ASG) que impactam no desempenho da Seguradora e/ou as partes interessadas (stakeholders) a curto, médio ou longo prazo.</w:t>
      </w:r>
    </w:p>
    <w:p w14:paraId="7AF16425" w14:textId="77777777" w:rsidR="00DF4BE4" w:rsidRDefault="00DF4BE4" w:rsidP="00DF4BE4">
      <w:pPr>
        <w:jc w:val="both"/>
      </w:pPr>
      <w:r>
        <w:t>Nesta abordagem a ASG define a materialidade considerando os riscos e oportunidades com seus respectivos impactos, positivo ou negativo, que a Seguradora causa na economia, no meio ambiente e ou na sociedade, indicando sua contribuição no desenvolvimento sustentável.</w:t>
      </w:r>
    </w:p>
    <w:p w14:paraId="199BDA07" w14:textId="77777777" w:rsidR="00DF4BE4" w:rsidRDefault="00DF4BE4" w:rsidP="00DF4BE4">
      <w:pPr>
        <w:jc w:val="both"/>
      </w:pPr>
      <w:r>
        <w:lastRenderedPageBreak/>
        <w:t xml:space="preserve">Numa interpretação mais ampliada da ASG incluiu-se o conceito “Capitalismo de Stakeholders”, ampliando a visão da materialidade passando para uma abordagem de dupla materialidade. </w:t>
      </w:r>
    </w:p>
    <w:p w14:paraId="0B07F851" w14:textId="77777777" w:rsidR="00DF4BE4" w:rsidRDefault="00DF4BE4" w:rsidP="00DF4BE4">
      <w:pPr>
        <w:jc w:val="both"/>
      </w:pPr>
      <w:r>
        <w:t>Desta forma, faremos a análise dentro destas duas perspectivas descritas abaixo:</w:t>
      </w:r>
    </w:p>
    <w:p w14:paraId="4BCDF0A0" w14:textId="77777777" w:rsidR="00DF4BE4" w:rsidRDefault="00DF4BE4" w:rsidP="00DF4BE4">
      <w:pPr>
        <w:jc w:val="both"/>
      </w:pPr>
      <w:r>
        <w:t>Materialidade de Impacto – serão analisados os impactos das atividades da Seguradora gerados nas pessoas, economia, sociedade e no meio ambiente.</w:t>
      </w:r>
    </w:p>
    <w:p w14:paraId="3695029E" w14:textId="77777777" w:rsidR="00DF4BE4" w:rsidRDefault="00DF4BE4" w:rsidP="00DF4BE4">
      <w:pPr>
        <w:jc w:val="both"/>
      </w:pPr>
      <w:r>
        <w:t>Materialidade Financeira – serão analisados os impactos que afetam a capacidade da Seguradora gerar valor, relacionados aos riscos e oportunidades de pessoas, economia, sociedade e meio ambiente.</w:t>
      </w:r>
    </w:p>
    <w:p w14:paraId="0D922EBC" w14:textId="3B531C21" w:rsidR="00DF4BE4" w:rsidRDefault="006131C2" w:rsidP="006131C2">
      <w:pPr>
        <w:jc w:val="center"/>
      </w:pPr>
      <w:r>
        <w:rPr>
          <w:noProof/>
        </w:rPr>
        <w:drawing>
          <wp:inline distT="0" distB="0" distL="0" distR="0" wp14:anchorId="7E6AEB03" wp14:editId="66C6C7CD">
            <wp:extent cx="3258185" cy="2038350"/>
            <wp:effectExtent l="0" t="0" r="0" b="0"/>
            <wp:docPr id="14507780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B506F" w14:textId="77777777" w:rsidR="00DF4BE4" w:rsidRPr="006131C2" w:rsidRDefault="00DF4BE4" w:rsidP="00DF4BE4">
      <w:pPr>
        <w:jc w:val="both"/>
        <w:rPr>
          <w:b/>
          <w:bCs/>
        </w:rPr>
      </w:pPr>
      <w:r>
        <w:rPr>
          <w:b/>
          <w:bCs/>
        </w:rPr>
        <w:t>Metodologia para Determinar a Materialidade</w:t>
      </w:r>
    </w:p>
    <w:p w14:paraId="4F797875" w14:textId="77777777" w:rsidR="00DF4BE4" w:rsidRDefault="00DF4BE4" w:rsidP="00DF4BE4">
      <w:pPr>
        <w:jc w:val="both"/>
      </w:pPr>
      <w:r>
        <w:t>Foi utilizado a metodologia GRI (Global Report Iniciative), que envolve 04 (quatro etapas para determinação dos temas materiais:</w:t>
      </w:r>
    </w:p>
    <w:p w14:paraId="020EFAF2" w14:textId="77777777" w:rsidR="00DF4BE4" w:rsidRDefault="00DF4BE4" w:rsidP="006131C2">
      <w:pPr>
        <w:pStyle w:val="PargrafodaLista"/>
        <w:numPr>
          <w:ilvl w:val="0"/>
          <w:numId w:val="1"/>
        </w:numPr>
        <w:jc w:val="both"/>
      </w:pPr>
      <w:r>
        <w:t></w:t>
      </w:r>
      <w:r>
        <w:tab/>
        <w:t>Entender o contexto da organização;</w:t>
      </w:r>
    </w:p>
    <w:p w14:paraId="13BDD29C" w14:textId="77777777" w:rsidR="00DF4BE4" w:rsidRDefault="00DF4BE4" w:rsidP="006131C2">
      <w:pPr>
        <w:pStyle w:val="PargrafodaLista"/>
        <w:numPr>
          <w:ilvl w:val="0"/>
          <w:numId w:val="1"/>
        </w:numPr>
        <w:jc w:val="both"/>
      </w:pPr>
      <w:r>
        <w:t></w:t>
      </w:r>
      <w:r>
        <w:tab/>
        <w:t>Identificar impactos reais e potenciais;</w:t>
      </w:r>
    </w:p>
    <w:p w14:paraId="74456318" w14:textId="77777777" w:rsidR="00DF4BE4" w:rsidRDefault="00DF4BE4" w:rsidP="006131C2">
      <w:pPr>
        <w:pStyle w:val="PargrafodaLista"/>
        <w:numPr>
          <w:ilvl w:val="0"/>
          <w:numId w:val="1"/>
        </w:numPr>
        <w:jc w:val="both"/>
      </w:pPr>
      <w:r>
        <w:t></w:t>
      </w:r>
      <w:r>
        <w:tab/>
        <w:t>Avaliar a significância dos impactos;</w:t>
      </w:r>
    </w:p>
    <w:p w14:paraId="24F777F2" w14:textId="77777777" w:rsidR="00DF4BE4" w:rsidRDefault="00DF4BE4" w:rsidP="006131C2">
      <w:pPr>
        <w:pStyle w:val="PargrafodaLista"/>
        <w:numPr>
          <w:ilvl w:val="0"/>
          <w:numId w:val="1"/>
        </w:numPr>
        <w:jc w:val="both"/>
      </w:pPr>
      <w:r>
        <w:t></w:t>
      </w:r>
      <w:r>
        <w:tab/>
        <w:t>Priorizar impactos.</w:t>
      </w:r>
    </w:p>
    <w:p w14:paraId="44C14BDE" w14:textId="4266D8B9" w:rsidR="00DF4BE4" w:rsidRDefault="006131C2" w:rsidP="00DF4BE4">
      <w:pPr>
        <w:jc w:val="both"/>
      </w:pPr>
      <w:r>
        <w:rPr>
          <w:noProof/>
        </w:rPr>
        <w:drawing>
          <wp:inline distT="0" distB="0" distL="0" distR="0" wp14:anchorId="275C6D57" wp14:editId="1FDB64C3">
            <wp:extent cx="2981325" cy="1397254"/>
            <wp:effectExtent l="0" t="0" r="0" b="0"/>
            <wp:docPr id="70450691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08" cy="1409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951190" wp14:editId="37CFB1C8">
            <wp:extent cx="2160284" cy="1361269"/>
            <wp:effectExtent l="0" t="0" r="0" b="0"/>
            <wp:docPr id="163389865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42" cy="1382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6950F" w14:textId="77777777" w:rsidR="00860D9C" w:rsidRDefault="00860D9C" w:rsidP="00DF4BE4">
      <w:pPr>
        <w:jc w:val="both"/>
      </w:pPr>
    </w:p>
    <w:p w14:paraId="5986E715" w14:textId="77777777" w:rsidR="00860D9C" w:rsidRDefault="00860D9C" w:rsidP="00DF4BE4">
      <w:pPr>
        <w:jc w:val="both"/>
      </w:pPr>
    </w:p>
    <w:p w14:paraId="10B3FBED" w14:textId="77777777" w:rsidR="00860D9C" w:rsidRDefault="00860D9C" w:rsidP="00DF4BE4">
      <w:pPr>
        <w:jc w:val="both"/>
      </w:pPr>
    </w:p>
    <w:p w14:paraId="75D99436" w14:textId="77777777" w:rsidR="00DF4BE4" w:rsidRDefault="00DF4BE4" w:rsidP="00DF4BE4">
      <w:pPr>
        <w:jc w:val="both"/>
      </w:pPr>
      <w:r>
        <w:lastRenderedPageBreak/>
        <w:t>Nesta metodologia foram utilizadas as seguintes métricas:</w:t>
      </w:r>
    </w:p>
    <w:p w14:paraId="3717DC7F" w14:textId="1319DD44" w:rsidR="00DF4BE4" w:rsidRDefault="006131C2" w:rsidP="00DF4BE4">
      <w:pPr>
        <w:jc w:val="both"/>
      </w:pPr>
      <w:r>
        <w:rPr>
          <w:noProof/>
        </w:rPr>
        <w:drawing>
          <wp:inline distT="0" distB="0" distL="0" distR="0" wp14:anchorId="624A37D1" wp14:editId="544C3D05">
            <wp:extent cx="5276850" cy="3041759"/>
            <wp:effectExtent l="0" t="0" r="0" b="6350"/>
            <wp:docPr id="146982505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24" cy="305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2B7CC" w14:textId="77777777" w:rsidR="00DF4BE4" w:rsidRDefault="00DF4BE4" w:rsidP="00DF4BE4">
      <w:pPr>
        <w:jc w:val="both"/>
      </w:pPr>
    </w:p>
    <w:p w14:paraId="3101E7C6" w14:textId="77777777" w:rsidR="00DF4BE4" w:rsidRDefault="00DF4BE4" w:rsidP="00DF4BE4">
      <w:pPr>
        <w:jc w:val="both"/>
      </w:pPr>
      <w:r>
        <w:t>Representação visual da Priorização:</w:t>
      </w:r>
    </w:p>
    <w:p w14:paraId="31256887" w14:textId="2089F531" w:rsidR="00DF4BE4" w:rsidRDefault="006131C2" w:rsidP="00DF4BE4">
      <w:pPr>
        <w:jc w:val="both"/>
      </w:pPr>
      <w:r>
        <w:rPr>
          <w:noProof/>
        </w:rPr>
        <w:drawing>
          <wp:inline distT="0" distB="0" distL="0" distR="0" wp14:anchorId="67901D48" wp14:editId="1EC0541C">
            <wp:extent cx="3230880" cy="2407920"/>
            <wp:effectExtent l="0" t="0" r="0" b="0"/>
            <wp:docPr id="65461441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7D578" w14:textId="304EBC14" w:rsidR="00DF4BE4" w:rsidRDefault="00DF4BE4" w:rsidP="00DF4BE4">
      <w:pPr>
        <w:jc w:val="both"/>
      </w:pPr>
      <w:r>
        <w:t>A seleção dos temas prioritários foi realizada de forma criteriosa e sistemática. A equipe iniciou o processo com uma análise detalhada dos Objetivos de Desenvolvimento Sustentável (ODS) da Organização das Nações Unidas, alinhando-os ao planejamento estratégico de longo prazo da instituição. Em seguida, examinamos os principais públicos de interesse — colaboradores, clientes, fornecedores e órgãos reguladores — bem como os aspectos relativos à governança ambiental, social e de gestão (ASG). Nesse quadro, ponderamos os riscos envolvidos, os valores institucionais e os indicadores internos da BVIX Seguradora.</w:t>
      </w:r>
    </w:p>
    <w:p w14:paraId="2A350894" w14:textId="77777777" w:rsidR="00DF4BE4" w:rsidRDefault="00DF4BE4" w:rsidP="00DF4BE4">
      <w:pPr>
        <w:jc w:val="both"/>
      </w:pPr>
      <w:r>
        <w:lastRenderedPageBreak/>
        <w:t>Finalizada essa fase de análise, os assuntos apontados como prioritários foram encaminhados para aprovação do Diretor responsável pelos Controles Internos.</w:t>
      </w:r>
    </w:p>
    <w:p w14:paraId="4F96E125" w14:textId="77777777" w:rsidR="00DF4BE4" w:rsidRDefault="00DF4BE4" w:rsidP="00DF4BE4">
      <w:pPr>
        <w:jc w:val="both"/>
      </w:pPr>
      <w:r>
        <w:t>A priorização dos impactos fundamentou-se em critérios derivados da matriz de riscos e do planejamento estratégico, considerando, de modo central, as demandas dos clientes e as percepções de colaboradores e parceiros comerciais na tomada de decisão.</w:t>
      </w:r>
    </w:p>
    <w:p w14:paraId="6A482EF1" w14:textId="77777777" w:rsidR="00DF4BE4" w:rsidRDefault="00DF4BE4" w:rsidP="00DF4BE4">
      <w:pPr>
        <w:jc w:val="both"/>
      </w:pPr>
      <w:r>
        <w:t>Reconhecemos que a Agenda 2030 e os ODS configuram desafios globais complexos e interdependentes. Mesmo assim, concentramos nossos esforços nas áreas em que possuímos maior capacidade de gerar mudanças relevantes, articulando essas iniciativas com a estratégia de negócios e com os pilares de sustentabilidade da organização.</w:t>
      </w:r>
    </w:p>
    <w:p w14:paraId="6E3DBFF8" w14:textId="3C510FCF" w:rsidR="00DF4BE4" w:rsidRDefault="00DF4BE4" w:rsidP="00DF4BE4">
      <w:pPr>
        <w:jc w:val="both"/>
      </w:pPr>
      <w:r>
        <w:t>A sustentabilidade ocupa posição de destaque na alta direção da BVIX. Esse comprometimento manifesta-se por meio de políticas e diretrizes internas, mecanismos de controle e auditoria, avaliações socioambientais de fornecedores e parceiros, incentivo a uma cultura orientada à sustentabilidade e monitoramento contínuo do desempenho em questões ambientais, sociais e de governança.</w:t>
      </w:r>
    </w:p>
    <w:p w14:paraId="51FA86ED" w14:textId="5241BC05" w:rsidR="00DF4BE4" w:rsidRPr="000472A0" w:rsidRDefault="000472A0" w:rsidP="000472A0">
      <w:pPr>
        <w:pStyle w:val="Ttulo1"/>
        <w:rPr>
          <w:rFonts w:ascii="Amasis MT Pro Medium" w:hAnsi="Amasis MT Pro Medium"/>
          <w:b/>
          <w:bCs/>
          <w:color w:val="00DD73" w:themeColor="accent6"/>
          <w:lang w:bidi="pt-PT"/>
        </w:rPr>
      </w:pPr>
      <w:bookmarkStart w:id="3" w:name="_Toc227880752"/>
      <w:r>
        <w:rPr>
          <w:rFonts w:ascii="Amasis MT Pro Medium" w:hAnsi="Amasis MT Pro Medium"/>
          <w:b/>
          <w:bCs/>
          <w:color w:val="00DD73" w:themeColor="accent6"/>
          <w:lang w:bidi="pt-PT"/>
        </w:rPr>
        <w:t>Temas Materiais</w:t>
      </w:r>
      <w:bookmarkEnd w:id="3"/>
    </w:p>
    <w:p w14:paraId="0006F021" w14:textId="47532873" w:rsidR="002709C1" w:rsidRDefault="002709C1" w:rsidP="002709C1">
      <w:pPr>
        <w:jc w:val="both"/>
        <w:rPr>
          <w:noProof/>
        </w:rPr>
      </w:pPr>
      <w:r>
        <w:rPr>
          <w:noProof/>
        </w:rPr>
        <w:t>Em 2024, o processo de identificação das questões mais relevantes culminou na seleção dos temas de maior impacto para a organização. No total, foram apontados oito assuntos considerados essenciais.</w:t>
      </w:r>
    </w:p>
    <w:p w14:paraId="78373094" w14:textId="6C7965C2" w:rsidR="00DF4BE4" w:rsidRDefault="00B901FC" w:rsidP="002709C1">
      <w:pPr>
        <w:jc w:val="both"/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FB5B42" wp14:editId="6986021B">
                <wp:simplePos x="0" y="0"/>
                <wp:positionH relativeFrom="column">
                  <wp:posOffset>5589270</wp:posOffset>
                </wp:positionH>
                <wp:positionV relativeFrom="paragraph">
                  <wp:posOffset>203549</wp:posOffset>
                </wp:positionV>
                <wp:extent cx="45719" cy="2466975"/>
                <wp:effectExtent l="57150" t="19050" r="50165" b="47625"/>
                <wp:wrapNone/>
                <wp:docPr id="541089158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466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5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BC0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6" o:spid="_x0000_s1026" type="#_x0000_t32" style="position:absolute;margin-left:440.1pt;margin-top:16.05pt;width:3.6pt;height:194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" strokecolor="#7cca62 [3208]" strokeweight="2.25pt">
                <v:stroke dashstyle="1 1" endarrow="block" joinstyle="miter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3BBB57" wp14:editId="70C8F309">
                <wp:simplePos x="0" y="0"/>
                <wp:positionH relativeFrom="margin">
                  <wp:align>left</wp:align>
                </wp:positionH>
                <wp:positionV relativeFrom="paragraph">
                  <wp:posOffset>157480</wp:posOffset>
                </wp:positionV>
                <wp:extent cx="5514975" cy="28575"/>
                <wp:effectExtent l="19050" t="19050" r="28575" b="28575"/>
                <wp:wrapNone/>
                <wp:docPr id="1961408964" name="Conector re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285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E254F" id="Conector reto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2.4pt" to="434.2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" strokecolor="#7cca62 [3208]" strokeweight="2.25pt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6C2B1A39" wp14:editId="239C12AB">
            <wp:simplePos x="0" y="0"/>
            <wp:positionH relativeFrom="column">
              <wp:posOffset>2044065</wp:posOffset>
            </wp:positionH>
            <wp:positionV relativeFrom="paragraph">
              <wp:posOffset>1040130</wp:posOffset>
            </wp:positionV>
            <wp:extent cx="381000" cy="381000"/>
            <wp:effectExtent l="0" t="0" r="0" b="0"/>
            <wp:wrapNone/>
            <wp:docPr id="1797035532" name="Imagem 18" descr="Ícone  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35532" name="Imagem 18" descr="Ícone  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8A60A6" wp14:editId="5DE4E9F9">
                <wp:simplePos x="0" y="0"/>
                <wp:positionH relativeFrom="column">
                  <wp:posOffset>34290</wp:posOffset>
                </wp:positionH>
                <wp:positionV relativeFrom="paragraph">
                  <wp:posOffset>992505</wp:posOffset>
                </wp:positionV>
                <wp:extent cx="1885950" cy="468000"/>
                <wp:effectExtent l="0" t="0" r="0" b="8255"/>
                <wp:wrapNone/>
                <wp:docPr id="1967761577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6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F7A61" w14:textId="77777777" w:rsidR="002709C1" w:rsidRPr="00B901FC" w:rsidRDefault="002709C1" w:rsidP="002709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MUDANÇAS CLIMÁTICAS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A60A6" id="Retângulo 15" o:spid="_x0000_s1026" style="position:absolute;left:0;text-align:left;margin-left:2.7pt;margin-top:78.15pt;width:148.5pt;height:36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" fillcolor="#51ffab [1945]" stroked="f" strokeweight="1.5pt">
                <v:textbox>
                  <w:txbxContent>
                    <w:p w14:paraId="71CF7A61" w14:textId="77777777" w:rsidR="002709C1" w:rsidRPr="00B901FC" w:rsidRDefault="002709C1" w:rsidP="002709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MUDANÇAS CLIMÁTICAS</w:t>
                      </w:r>
                    </w:p>
                  </w:txbxContent>
                </v:textbox>
              </v:rect>
            </w:pict>
          </mc:Fallback>
        </mc:AlternateContent>
      </w:r>
    </w:p>
    <w:p w14:paraId="784F90A1" w14:textId="1C5088D0" w:rsidR="00DF4BE4" w:rsidRDefault="00B901FC" w:rsidP="00DF4BE4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86EA87" wp14:editId="2038CE85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4791075" cy="485775"/>
                <wp:effectExtent l="0" t="0" r="9525" b="9525"/>
                <wp:wrapNone/>
                <wp:docPr id="623484647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4857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5C9FB" w14:textId="77777777" w:rsidR="002709C1" w:rsidRPr="0035189F" w:rsidRDefault="002709C1" w:rsidP="002709C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TEMAS MATERIAIS</w:t>
                            </w:r>
                          </w:p>
                          <w:p w14:paraId="1FC24DCB" w14:textId="77777777" w:rsidR="002709C1" w:rsidRPr="0035189F" w:rsidRDefault="002709C1" w:rsidP="002709C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(PRIORIZADOS)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6EA87" id="Retângulo 10" o:spid="_x0000_s1027" style="position:absolute;margin-left:0;margin-top:1.45pt;width:377.25pt;height:38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" fillcolor="#00dd73 [3209]" stroked="f" strokeweight="1.5pt">
                <v:textbox>
                  <w:txbxContent>
                    <w:p w14:paraId="1725C9FB" w14:textId="77777777" w:rsidR="002709C1" w:rsidRPr="0035189F" w:rsidRDefault="002709C1" w:rsidP="002709C1">
                      <w:pPr>
                        <w:spacing w:after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TEMAS MATERIAIS</w:t>
                      </w:r>
                    </w:p>
                    <w:p w14:paraId="1FC24DCB" w14:textId="77777777" w:rsidR="002709C1" w:rsidRPr="0035189F" w:rsidRDefault="002709C1" w:rsidP="002709C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(PRIORIZADOS)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E07E7B" w14:textId="367C6906" w:rsidR="009C55B0" w:rsidRDefault="009C55B0"/>
    <w:p w14:paraId="3A8FBFAB" w14:textId="6F0BC2A5" w:rsidR="009C55B0" w:rsidRDefault="00B901FC">
      <w:r>
        <w:rPr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48468276" wp14:editId="31371B3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90525" cy="397510"/>
            <wp:effectExtent l="0" t="0" r="9525" b="2540"/>
            <wp:wrapNone/>
            <wp:docPr id="26956110" name="Imagem 19" descr="Desenho abstrato colorido  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6110" name="Imagem 19" descr="Desenho abstrato colorido  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B993CC" wp14:editId="69AC3676">
                <wp:simplePos x="0" y="0"/>
                <wp:positionH relativeFrom="column">
                  <wp:posOffset>2901315</wp:posOffset>
                </wp:positionH>
                <wp:positionV relativeFrom="paragraph">
                  <wp:posOffset>8890</wp:posOffset>
                </wp:positionV>
                <wp:extent cx="1885950" cy="468000"/>
                <wp:effectExtent l="0" t="0" r="0" b="8255"/>
                <wp:wrapNone/>
                <wp:docPr id="1021638208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6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79447" w14:textId="77777777" w:rsidR="002709C1" w:rsidRPr="00B901FC" w:rsidRDefault="002709C1" w:rsidP="002709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DIREITOS HUMANOS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993CC" id="_x0000_s1028" style="position:absolute;margin-left:228.45pt;margin-top:.7pt;width:148.5pt;height:36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" fillcolor="#51ffab [1945]" stroked="f" strokeweight="1.5pt">
                <v:textbox>
                  <w:txbxContent>
                    <w:p w14:paraId="27179447" w14:textId="77777777" w:rsidR="002709C1" w:rsidRPr="00B901FC" w:rsidRDefault="002709C1" w:rsidP="002709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DIREITOS HUMANOS</w:t>
                      </w:r>
                    </w:p>
                  </w:txbxContent>
                </v:textbox>
              </v:rect>
            </w:pict>
          </mc:Fallback>
        </mc:AlternateContent>
      </w:r>
    </w:p>
    <w:p w14:paraId="4AD091BA" w14:textId="07D15CA4" w:rsidR="009C55B0" w:rsidRDefault="009C55B0"/>
    <w:p w14:paraId="6DA24B00" w14:textId="05DBB980" w:rsidR="009C55B0" w:rsidRDefault="00B901FC">
      <w:r>
        <w:rPr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48720F2D" wp14:editId="596826A2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390525" cy="398145"/>
            <wp:effectExtent l="0" t="0" r="9525" b="0"/>
            <wp:wrapNone/>
            <wp:docPr id="1802521976" name="Imagem 20" descr="Forma  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21976" name="Imagem 20" descr="Forma  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FC999F" wp14:editId="3716F099">
                <wp:simplePos x="0" y="0"/>
                <wp:positionH relativeFrom="column">
                  <wp:posOffset>2910840</wp:posOffset>
                </wp:positionH>
                <wp:positionV relativeFrom="paragraph">
                  <wp:posOffset>109855</wp:posOffset>
                </wp:positionV>
                <wp:extent cx="1885950" cy="466725"/>
                <wp:effectExtent l="0" t="0" r="0" b="9525"/>
                <wp:wrapNone/>
                <wp:docPr id="1557516538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66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F5E97" w14:textId="77777777" w:rsidR="002709C1" w:rsidRPr="00B901FC" w:rsidRDefault="002709C1" w:rsidP="002709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PROMOÇÃO DE RESPONSABILIDADE SOCIAL NA CADEIA DE VALOR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C999F" id="_x0000_s1029" style="position:absolute;margin-left:229.2pt;margin-top:8.65pt;width:148.5pt;height:36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" fillcolor="#51ffab [1945]" stroked="f" strokeweight="1.5pt">
                <v:textbox>
                  <w:txbxContent>
                    <w:p w14:paraId="18FF5E97" w14:textId="77777777" w:rsidR="002709C1" w:rsidRPr="00B901FC" w:rsidRDefault="002709C1" w:rsidP="002709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PROMOÇÃO DE RESPONSABILIDADE SOCIAL NA CADEIA DE VALOR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9557CBB" wp14:editId="5A1C02C7">
                <wp:simplePos x="0" y="0"/>
                <wp:positionH relativeFrom="margin">
                  <wp:posOffset>2064385</wp:posOffset>
                </wp:positionH>
                <wp:positionV relativeFrom="paragraph">
                  <wp:posOffset>223520</wp:posOffset>
                </wp:positionV>
                <wp:extent cx="429770" cy="276225"/>
                <wp:effectExtent l="0" t="0" r="8890" b="9525"/>
                <wp:wrapNone/>
                <wp:docPr id="1090503664" name="Agrupar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70" cy="276225"/>
                          <a:chOff x="0" y="0"/>
                          <a:chExt cx="1322295" cy="786707"/>
                        </a:xfrm>
                      </wpg:grpSpPr>
                      <pic:pic xmlns:pic="http://schemas.openxmlformats.org/drawingml/2006/picture">
                        <pic:nvPicPr>
                          <pic:cNvPr id="826103767" name="Gráfico 31" descr="Balança da justiça estrutura de tópicos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9794" y="78442"/>
                            <a:ext cx="695604" cy="708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057910" name="Gráfico 42" descr="Despertador com preenchimento sólido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18" cy="414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08087" name="Gráfico 50" descr="Homem com preenchimento sólido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0089" y="3"/>
                            <a:ext cx="392206" cy="392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5EC87" id="Agrupar 51" o:spid="_x0000_s1026" style="position:absolute;margin-left:162.55pt;margin-top:17.6pt;width:33.85pt;height:21.75pt;z-index:251684864;mso-position-horizontal-relative:margin;mso-width-relative:margin;mso-height-relative:margin" coordsize="13222,78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31" o:spid="_x0000_s1027" type="#_x0000_t75" alt="Balança da justiça estrutura de tópicos" style="position:absolute;left:3697;top:784;width:6956;height:7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">
                  <v:imagedata r:id="rId26" o:title="Balança da justiça estrutura de tópicos"/>
                </v:shape>
                <v:shape id="Gráfico 42" o:spid="_x0000_s1028" type="#_x0000_t75" alt="Despertador com preenchimento sólido" style="position:absolute;width:4146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">
                  <v:imagedata r:id="rId27" o:title="Despertador com preenchimento sólido"/>
                </v:shape>
                <v:shape id="Gráfico 50" o:spid="_x0000_s1029" type="#_x0000_t75" alt="Homem com preenchimento sólido" style="position:absolute;left:9300;width:3922;height:3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">
                  <v:imagedata r:id="rId28" o:title="Homem com preenchimento sólido"/>
                </v:shape>
                <w10:wrap anchorx="margin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D22413" wp14:editId="502911A5">
                <wp:simplePos x="0" y="0"/>
                <wp:positionH relativeFrom="column">
                  <wp:posOffset>34290</wp:posOffset>
                </wp:positionH>
                <wp:positionV relativeFrom="paragraph">
                  <wp:posOffset>109220</wp:posOffset>
                </wp:positionV>
                <wp:extent cx="1885950" cy="468000"/>
                <wp:effectExtent l="0" t="0" r="0" b="8255"/>
                <wp:wrapNone/>
                <wp:docPr id="1656449894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6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FACB4" w14:textId="77777777" w:rsidR="002709C1" w:rsidRPr="00B901FC" w:rsidRDefault="002709C1" w:rsidP="002709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RELAÇÕES E PRÁTICAS DE TRABLHO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22413" id="_x0000_s1030" style="position:absolute;margin-left:2.7pt;margin-top:8.6pt;width:148.5pt;height:36.8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" fillcolor="#51ffab [1945]" stroked="f" strokeweight="1.5pt">
                <v:textbox>
                  <w:txbxContent>
                    <w:p w14:paraId="7F3FACB4" w14:textId="77777777" w:rsidR="002709C1" w:rsidRPr="00B901FC" w:rsidRDefault="002709C1" w:rsidP="002709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RELAÇÕES E PRÁTICAS DE TRABLHO</w:t>
                      </w:r>
                    </w:p>
                  </w:txbxContent>
                </v:textbox>
              </v:rect>
            </w:pict>
          </mc:Fallback>
        </mc:AlternateContent>
      </w:r>
    </w:p>
    <w:p w14:paraId="37BBFE16" w14:textId="3A68F317" w:rsidR="009C55B0" w:rsidRDefault="009C55B0"/>
    <w:p w14:paraId="63F943F0" w14:textId="3768E081" w:rsidR="009C55B0" w:rsidRDefault="00B901FC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8E5A05D" wp14:editId="2225F421">
                <wp:simplePos x="0" y="0"/>
                <wp:positionH relativeFrom="margin">
                  <wp:posOffset>5047950</wp:posOffset>
                </wp:positionH>
                <wp:positionV relativeFrom="paragraph">
                  <wp:posOffset>257810</wp:posOffset>
                </wp:positionV>
                <wp:extent cx="304800" cy="340995"/>
                <wp:effectExtent l="0" t="19050" r="0" b="0"/>
                <wp:wrapNone/>
                <wp:docPr id="1679076761" name="Agrupar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340995"/>
                          <a:chOff x="0" y="0"/>
                          <a:chExt cx="653521" cy="731552"/>
                        </a:xfrm>
                      </wpg:grpSpPr>
                      <pic:pic xmlns:pic="http://schemas.openxmlformats.org/drawingml/2006/picture">
                        <pic:nvPicPr>
                          <pic:cNvPr id="130813041" name="Gráfico 110" descr="Peças de quebra-cabeça com preenchimento sólido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54222">
                            <a:off x="166138" y="0"/>
                            <a:ext cx="439286" cy="372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675578" name="Gráfico 108" descr="Mão aberta com preenchimento sólido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7371"/>
                            <a:ext cx="653521" cy="5541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4D2BD" id="Agrupar 30" o:spid="_x0000_s1026" style="position:absolute;margin-left:397.5pt;margin-top:20.3pt;width:24pt;height:26.85pt;z-index:251687936;mso-position-horizontal-relative:margin;mso-width-relative:margin;mso-height-relative:margin" coordsize="6535,73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">
                <v:shape id="Gráfico 110" o:spid="_x0000_s1027" type="#_x0000_t75" alt="Peças de quebra-cabeça com preenchimento sólido" style="position:absolute;left:1661;width:4393;height:3724;rotation:605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">
                  <v:imagedata r:id="rId33" o:title="Peças de quebra-cabeça com preenchimento sólido"/>
                </v:shape>
                <v:shape id="Gráfico 108" o:spid="_x0000_s1028" type="#_x0000_t75" alt="Mão aberta com preenchimento sólido" style="position:absolute;top:1773;width:6535;height:5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">
                  <v:imagedata r:id="rId34" o:title="Mão aberta com preenchimento sólido"/>
                </v:shape>
                <w10:wrap anchorx="margin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24B56A" wp14:editId="16E33D00">
                <wp:simplePos x="0" y="0"/>
                <wp:positionH relativeFrom="column">
                  <wp:posOffset>2901315</wp:posOffset>
                </wp:positionH>
                <wp:positionV relativeFrom="paragraph">
                  <wp:posOffset>208915</wp:posOffset>
                </wp:positionV>
                <wp:extent cx="1885950" cy="468000"/>
                <wp:effectExtent l="0" t="0" r="0" b="8255"/>
                <wp:wrapNone/>
                <wp:docPr id="174432607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6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BF461" w14:textId="77777777" w:rsidR="002709C1" w:rsidRPr="00B901FC" w:rsidRDefault="002709C1" w:rsidP="002709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CONDUTA EMPRESARIAL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4B56A" id="_x0000_s1031" style="position:absolute;margin-left:228.45pt;margin-top:16.45pt;width:148.5pt;height:36.8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" fillcolor="#51ffab [1945]" stroked="f" strokeweight="1.5pt">
                <v:textbox>
                  <w:txbxContent>
                    <w:p w14:paraId="5D1BF461" w14:textId="77777777" w:rsidR="002709C1" w:rsidRPr="00B901FC" w:rsidRDefault="002709C1" w:rsidP="002709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CONDUTA EMPRESARIAL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48785C4B" wp14:editId="556D57CD">
            <wp:simplePos x="0" y="0"/>
            <wp:positionH relativeFrom="margin">
              <wp:posOffset>2099310</wp:posOffset>
            </wp:positionH>
            <wp:positionV relativeFrom="paragraph">
              <wp:posOffset>276860</wp:posOffset>
            </wp:positionV>
            <wp:extent cx="321945" cy="361950"/>
            <wp:effectExtent l="0" t="0" r="1905" b="0"/>
            <wp:wrapNone/>
            <wp:docPr id="1164662887" name="Imagem 21" descr="Desenho de corrente  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62887" name="Imagem 21" descr="Desenho de corrente  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2F743F" wp14:editId="0CAFC0AE">
                <wp:simplePos x="0" y="0"/>
                <wp:positionH relativeFrom="margin">
                  <wp:posOffset>47625</wp:posOffset>
                </wp:positionH>
                <wp:positionV relativeFrom="paragraph">
                  <wp:posOffset>208915</wp:posOffset>
                </wp:positionV>
                <wp:extent cx="1885950" cy="468000"/>
                <wp:effectExtent l="0" t="0" r="0" b="8255"/>
                <wp:wrapNone/>
                <wp:docPr id="638267926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6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59C32" w14:textId="77777777" w:rsidR="002709C1" w:rsidRPr="00B901FC" w:rsidRDefault="002709C1" w:rsidP="002709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PRÁTICAS DE CONTROLE E GESTÃO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F743F" id="_x0000_s1032" style="position:absolute;margin-left:3.75pt;margin-top:16.45pt;width:148.5pt;height:36.8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" fillcolor="#51ffab [1945]" stroked="f" strokeweight="1.5pt">
                <v:textbox>
                  <w:txbxContent>
                    <w:p w14:paraId="4EC59C32" w14:textId="77777777" w:rsidR="002709C1" w:rsidRPr="00B901FC" w:rsidRDefault="002709C1" w:rsidP="002709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PRÁTICAS DE CONTROLE E GESTÃO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18A264" w14:textId="2A73433C" w:rsidR="009C55B0" w:rsidRDefault="009C55B0"/>
    <w:p w14:paraId="783E23C5" w14:textId="06C3DC1C" w:rsidR="009C55B0" w:rsidRDefault="009C55B0"/>
    <w:p w14:paraId="2F8ADCD9" w14:textId="22E72A24" w:rsidR="009C55B0" w:rsidRDefault="00B901FC">
      <w:r>
        <w:rPr>
          <w:noProof/>
        </w:rPr>
        <w:drawing>
          <wp:anchor distT="0" distB="0" distL="114300" distR="114300" simplePos="0" relativeHeight="251689984" behindDoc="0" locked="0" layoutInCell="1" allowOverlap="1" wp14:anchorId="5CB6A545" wp14:editId="0627E261">
            <wp:simplePos x="0" y="0"/>
            <wp:positionH relativeFrom="margin">
              <wp:posOffset>4963795</wp:posOffset>
            </wp:positionH>
            <wp:positionV relativeFrom="paragraph">
              <wp:posOffset>3810</wp:posOffset>
            </wp:positionV>
            <wp:extent cx="445770" cy="378460"/>
            <wp:effectExtent l="0" t="0" r="0" b="2540"/>
            <wp:wrapNone/>
            <wp:docPr id="655027883" name="Gráfico 34" descr="Escudo com marca de verificação estrutura de tópicos">
              <a:extLst xmlns:a="http://schemas.openxmlformats.org/drawingml/2006/main">
                <a:ext uri="{FF2B5EF4-FFF2-40B4-BE49-F238E27FC236}">
                  <a16:creationId xmlns:a16="http://schemas.microsoft.com/office/drawing/2014/main" id="{F55191BA-7D31-8726-6D5B-E9F0BA1123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áfico 34" descr="Escudo com marca de verificação estrutura de tópicos">
                      <a:extLst>
                        <a:ext uri="{FF2B5EF4-FFF2-40B4-BE49-F238E27FC236}">
                          <a16:creationId xmlns:a16="http://schemas.microsoft.com/office/drawing/2014/main" id="{F55191BA-7D31-8726-6D5B-E9F0BA1123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F88E48" wp14:editId="3B68CE54">
                <wp:simplePos x="0" y="0"/>
                <wp:positionH relativeFrom="column">
                  <wp:posOffset>2891790</wp:posOffset>
                </wp:positionH>
                <wp:positionV relativeFrom="paragraph">
                  <wp:posOffset>10795</wp:posOffset>
                </wp:positionV>
                <wp:extent cx="1885950" cy="467995"/>
                <wp:effectExtent l="0" t="0" r="0" b="8255"/>
                <wp:wrapNone/>
                <wp:docPr id="901948096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67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258E6" w14:textId="77777777" w:rsidR="002709C1" w:rsidRPr="00B901FC" w:rsidRDefault="002709C1" w:rsidP="002709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GOVERNANÇA CORPORATIVA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88E48" id="_x0000_s1033" style="position:absolute;margin-left:227.7pt;margin-top:.85pt;width:148.5pt;height:36.8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" fillcolor="#51ffab [1945]" stroked="f" strokeweight="1.5pt">
                <v:textbox>
                  <w:txbxContent>
                    <w:p w14:paraId="4BC258E6" w14:textId="77777777" w:rsidR="002709C1" w:rsidRPr="00B901FC" w:rsidRDefault="002709C1" w:rsidP="002709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GOVERNANÇA CORPORATIVA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6CE5B16" wp14:editId="3171FFA3">
                <wp:simplePos x="0" y="0"/>
                <wp:positionH relativeFrom="column">
                  <wp:posOffset>2112010</wp:posOffset>
                </wp:positionH>
                <wp:positionV relativeFrom="paragraph">
                  <wp:posOffset>65405</wp:posOffset>
                </wp:positionV>
                <wp:extent cx="361950" cy="381000"/>
                <wp:effectExtent l="0" t="0" r="0" b="0"/>
                <wp:wrapNone/>
                <wp:docPr id="1154162530" name="Agrupar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81000"/>
                          <a:chOff x="0" y="0"/>
                          <a:chExt cx="898607" cy="762013"/>
                        </a:xfrm>
                      </wpg:grpSpPr>
                      <pic:pic xmlns:pic="http://schemas.openxmlformats.org/drawingml/2006/picture">
                        <pic:nvPicPr>
                          <pic:cNvPr id="833521805" name="Gráfico 52" descr="Lupa com preenchimento sólido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07" cy="762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417769" name="Gráfico 54" descr="Mão aberta com planta estrutura de tópicos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294" y="145676"/>
                            <a:ext cx="317214" cy="268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BA01B6" id="Agrupar 42" o:spid="_x0000_s1026" style="position:absolute;margin-left:166.3pt;margin-top:5.15pt;width:28.5pt;height:30pt;z-index:251688960;mso-width-relative:margin;mso-height-relative:margin" coordsize="8986,76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">
                <v:shape id="Gráfico 52" o:spid="_x0000_s1027" type="#_x0000_t75" alt="Lupa com preenchimento sólido" style="position:absolute;width:8986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">
                  <v:imagedata r:id="rId42" o:title="Lupa com preenchimento sólido"/>
                </v:shape>
                <v:shape id="Gráfico 54" o:spid="_x0000_s1028" type="#_x0000_t75" alt="Mão aberta com planta estrutura de tópicos" style="position:absolute;left:1792;top:1456;width:3173;height:2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">
                  <v:imagedata r:id="rId43" o:title="Mão aberta com planta estrutura de tópicos"/>
                </v:shape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626A7B" wp14:editId="6DDA3A5A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885950" cy="467995"/>
                <wp:effectExtent l="0" t="0" r="0" b="8255"/>
                <wp:wrapNone/>
                <wp:docPr id="1226453332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67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463A4" w14:textId="77777777" w:rsidR="002709C1" w:rsidRPr="00B901FC" w:rsidRDefault="002709C1" w:rsidP="002709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TRANSPARÊNCIA NA GESTÃO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26A7B" id="_x0000_s1034" style="position:absolute;margin-left:0;margin-top:.8pt;width:148.5pt;height:36.85pt;z-index:2516797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" fillcolor="#51ffab [1945]" stroked="f" strokeweight="1.5pt">
                <v:textbox>
                  <w:txbxContent>
                    <w:p w14:paraId="21C463A4" w14:textId="77777777" w:rsidR="002709C1" w:rsidRPr="00B901FC" w:rsidRDefault="002709C1" w:rsidP="002709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TRANSPARÊNCIA NA GESTÃO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E51078" w14:textId="143584F0" w:rsidR="001B6B82" w:rsidRDefault="001B6B82"/>
    <w:p w14:paraId="510AB1AC" w14:textId="00CCF1AA" w:rsidR="002709C1" w:rsidRDefault="00860D9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3E8840D" wp14:editId="515FB3A4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748905" cy="3667125"/>
            <wp:effectExtent l="0" t="0" r="4445" b="9525"/>
            <wp:wrapNone/>
            <wp:docPr id="155288748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DD1D4E" w14:textId="7A3FE8A5" w:rsidR="00B901FC" w:rsidRDefault="00B901FC"/>
    <w:p w14:paraId="7CBC4E06" w14:textId="22B7A26E" w:rsidR="00B901FC" w:rsidRDefault="00B901FC"/>
    <w:p w14:paraId="25F4F659" w14:textId="70FF7D1E" w:rsidR="00B901FC" w:rsidRDefault="00B901FC"/>
    <w:p w14:paraId="064E2F4F" w14:textId="27680282" w:rsidR="00B901FC" w:rsidRDefault="00B901FC"/>
    <w:p w14:paraId="547B79ED" w14:textId="455FBE72" w:rsidR="00B901FC" w:rsidRDefault="00B901FC"/>
    <w:p w14:paraId="6C594F85" w14:textId="298512C6" w:rsidR="00B901FC" w:rsidRDefault="00B901FC"/>
    <w:p w14:paraId="4C3EF8AA" w14:textId="21A3C78B" w:rsidR="00B901FC" w:rsidRDefault="00B901FC"/>
    <w:p w14:paraId="0DE45BFC" w14:textId="0829E9A1" w:rsidR="00B901FC" w:rsidRDefault="00B901FC"/>
    <w:p w14:paraId="35BB2FDB" w14:textId="47B8AF18" w:rsidR="00B901FC" w:rsidRPr="00B901FC" w:rsidRDefault="00B901FC" w:rsidP="00B901FC">
      <w:pPr>
        <w:pStyle w:val="Ttulo1"/>
        <w:rPr>
          <w:rFonts w:ascii="Amasis MT Pro Medium" w:hAnsi="Amasis MT Pro Medium"/>
          <w:b/>
          <w:bCs/>
          <w:color w:val="00DD73" w:themeColor="accent6"/>
          <w:lang w:bidi="pt-PT"/>
        </w:rPr>
      </w:pPr>
      <w:bookmarkStart w:id="4" w:name="_Toc227880753"/>
      <w:r>
        <w:rPr>
          <w:rFonts w:ascii="Amasis MT Pro Medium" w:hAnsi="Amasis MT Pro Medium"/>
          <w:b/>
          <w:bCs/>
          <w:color w:val="00DD73" w:themeColor="accent6"/>
          <w:lang w:bidi="pt-PT"/>
        </w:rPr>
        <w:t>Nossa Empresa</w:t>
      </w:r>
      <w:bookmarkEnd w:id="4"/>
    </w:p>
    <w:p w14:paraId="0AFB04BE" w14:textId="5E739C92" w:rsidR="00B901FC" w:rsidRDefault="00B901FC" w:rsidP="00B901FC">
      <w:pPr>
        <w:jc w:val="both"/>
      </w:pPr>
      <w:r>
        <w:t>A BVIX Seguradora nasceu no primeiro semestre de 2024, fazendo dois anos operação alicerçada na tradição e no compromisso com a proteção da vida.</w:t>
      </w:r>
    </w:p>
    <w:p w14:paraId="6DEA1B4B" w14:textId="782CEC98" w:rsidR="00B901FC" w:rsidRDefault="00B901FC" w:rsidP="00B901FC">
      <w:pPr>
        <w:jc w:val="both"/>
      </w:pPr>
      <w:r>
        <w:t>Somos uma seguradora com proposição diferenciada. Criamos soluções inovadoras, acessíveis e de fácil compreensão, para que todas as pessoas possam contratar seguros personalizados às suas necessidades. Para alcançar esse objetivo, investimos em tecnologia de ponta; nossos processos são integrados e digitalizados, do corretor ao tratamento de sinistros, o que torna tudo mais ágil, simples e transparente.</w:t>
      </w:r>
    </w:p>
    <w:p w14:paraId="039DBF35" w14:textId="497F4E04" w:rsidR="00883DEB" w:rsidRDefault="00883DEB" w:rsidP="00B901FC">
      <w:pPr>
        <w:jc w:val="both"/>
      </w:pPr>
      <w:r>
        <w:t>Uma seguradora que atende tanto o público mais vulnerável quanto os clientes de maior poder aquisitivo, oferecendo microsseguro de vida no segmento de pessoas e produtos de automóveis e P&amp;C (Property &amp; Casualty) no segmento de danos.</w:t>
      </w:r>
    </w:p>
    <w:p w14:paraId="51514025" w14:textId="4FB8E7B4" w:rsidR="00B901FC" w:rsidRDefault="009B6841" w:rsidP="00B901FC">
      <w:pPr>
        <w:jc w:val="both"/>
      </w:pPr>
      <w:r>
        <w:t>Nesses dois anos, a BVIX tem o propósito de oferecer proteção individual para os diversos momentos da vida dos brasileiros. Essa atuação fundamenta-se na busca constante por inovação, no desenvolvimento de produtos personalizados e em uma gestão pautada pela solidez, pela responsabilidade e por uma perspectiva de longo prazo.</w:t>
      </w:r>
    </w:p>
    <w:p w14:paraId="4378CE2E" w14:textId="77777777" w:rsidR="00B901FC" w:rsidRDefault="00B901FC" w:rsidP="00B901FC">
      <w:pPr>
        <w:jc w:val="both"/>
      </w:pPr>
      <w:r>
        <w:t>Desde então, com a seguradora estabilizada e em expansão, a governança passou a adotar as melhores práticas do mercado, sem desconsiderar suas características e especificidades.</w:t>
      </w:r>
    </w:p>
    <w:p w14:paraId="50FBF1E7" w14:textId="77777777" w:rsidR="00883DEB" w:rsidRDefault="00B901FC" w:rsidP="00B901FC">
      <w:pPr>
        <w:jc w:val="both"/>
      </w:pPr>
      <w:r>
        <w:t xml:space="preserve">A postura prudencial da seguradora possibilita a implantação de políticas, processos e estruturas compartilhadas de gestão de riscos e de controles internos, assegurando uniformidade na abordagem de sustentabilidade. </w:t>
      </w:r>
    </w:p>
    <w:p w14:paraId="35753894" w14:textId="33E0C540" w:rsidR="00B901FC" w:rsidRDefault="00B901FC" w:rsidP="00B901FC">
      <w:pPr>
        <w:jc w:val="both"/>
      </w:pPr>
      <w:r>
        <w:lastRenderedPageBreak/>
        <w:t>Ao mesmo tempo, essa configuração preserva as particularidades operacionais, garantindo equilíbrio entre padronização e adequação ao seu modelo de negócio.</w:t>
      </w:r>
    </w:p>
    <w:p w14:paraId="768D605D" w14:textId="35F0AAB3" w:rsidR="00B901FC" w:rsidRDefault="001D6AF8">
      <w:r>
        <w:t>Nossos Números em 2025:</w:t>
      </w:r>
    </w:p>
    <w:tbl>
      <w:tblPr>
        <w:tblStyle w:val="Tabelacomgrade"/>
        <w:tblW w:w="11802" w:type="dxa"/>
        <w:tblInd w:w="-1565" w:type="dxa"/>
        <w:tblLook w:val="04A0" w:firstRow="1" w:lastRow="0" w:firstColumn="1" w:lastColumn="0" w:noHBand="0" w:noVBand="1"/>
      </w:tblPr>
      <w:tblGrid>
        <w:gridCol w:w="5586"/>
        <w:gridCol w:w="6216"/>
      </w:tblGrid>
      <w:tr w:rsidR="00435A20" w14:paraId="37C6FCED" w14:textId="77777777" w:rsidTr="00435A20">
        <w:tc>
          <w:tcPr>
            <w:tcW w:w="5586" w:type="dxa"/>
          </w:tcPr>
          <w:p w14:paraId="76196C7C" w14:textId="68F0B2FE" w:rsidR="00435A20" w:rsidRDefault="00435A20" w:rsidP="00435A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E7432C" wp14:editId="7555444D">
                  <wp:extent cx="3407264" cy="2390775"/>
                  <wp:effectExtent l="0" t="0" r="3175" b="0"/>
                  <wp:docPr id="1212037206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494" cy="240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</w:tcPr>
          <w:p w14:paraId="4863CD47" w14:textId="53EEAC0B" w:rsidR="00435A20" w:rsidRDefault="00435A20">
            <w:r>
              <w:rPr>
                <w:noProof/>
              </w:rPr>
              <w:drawing>
                <wp:inline distT="0" distB="0" distL="0" distR="0" wp14:anchorId="5CA8E3F9" wp14:editId="563EB5E6">
                  <wp:extent cx="3810000" cy="2715566"/>
                  <wp:effectExtent l="0" t="0" r="0" b="8890"/>
                  <wp:docPr id="139293909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092" cy="272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8B5EF1" w14:textId="7538599B" w:rsidR="001D6AF8" w:rsidRPr="00435A20" w:rsidRDefault="00435A20" w:rsidP="00435A20">
      <w:pPr>
        <w:pStyle w:val="Ttulo1"/>
        <w:rPr>
          <w:rFonts w:ascii="Amasis MT Pro Medium" w:hAnsi="Amasis MT Pro Medium"/>
          <w:b/>
          <w:bCs/>
          <w:color w:val="00DD73" w:themeColor="accent6"/>
          <w:lang w:bidi="pt-PT"/>
        </w:rPr>
      </w:pPr>
      <w:bookmarkStart w:id="5" w:name="_Toc227880754"/>
      <w:r>
        <w:rPr>
          <w:rFonts w:ascii="Amasis MT Pro Medium" w:hAnsi="Amasis MT Pro Medium"/>
          <w:b/>
          <w:bCs/>
          <w:color w:val="00DD73" w:themeColor="accent6"/>
          <w:lang w:bidi="pt-PT"/>
        </w:rPr>
        <w:t>Nossa Cultura</w:t>
      </w:r>
      <w:bookmarkEnd w:id="5"/>
    </w:p>
    <w:p w14:paraId="077B787D" w14:textId="6DC3E76D" w:rsidR="00B901FC" w:rsidRPr="00EE2261" w:rsidRDefault="00EE2261" w:rsidP="00EE2261">
      <w:pPr>
        <w:pStyle w:val="PargrafodaLista"/>
        <w:numPr>
          <w:ilvl w:val="0"/>
          <w:numId w:val="3"/>
        </w:numPr>
        <w:ind w:left="426"/>
        <w:rPr>
          <w:b/>
          <w:bCs/>
        </w:rPr>
      </w:pPr>
      <w:r>
        <w:rPr>
          <w:b/>
          <w:bCs/>
        </w:rPr>
        <w:t>MISSÃO</w:t>
      </w:r>
    </w:p>
    <w:p w14:paraId="6A95B8F8" w14:textId="33F8A81B" w:rsidR="00EE2261" w:rsidRDefault="00EE2261" w:rsidP="00EE2261">
      <w:pPr>
        <w:jc w:val="both"/>
      </w:pPr>
      <w:r>
        <w:t>Oferecer soluções em seguros e proteção para nossos clientes e seus bens, entregando a eles seguros inovadores , confiáveis e personalizados, sempre em movimento com as tendências e necessidades. Atuando com ética, honestidade e transparência, construindo relações duradouras e de fidelidade junto aos corretores de seguros, assessorias e parceiros de negócios.</w:t>
      </w:r>
    </w:p>
    <w:p w14:paraId="31628E06" w14:textId="53545D5B" w:rsidR="00B901FC" w:rsidRPr="00EE2261" w:rsidRDefault="00EE2261" w:rsidP="00EE2261">
      <w:pPr>
        <w:pStyle w:val="PargrafodaLista"/>
        <w:numPr>
          <w:ilvl w:val="0"/>
          <w:numId w:val="3"/>
        </w:numPr>
        <w:ind w:left="426"/>
        <w:rPr>
          <w:b/>
          <w:bCs/>
        </w:rPr>
      </w:pPr>
      <w:r>
        <w:rPr>
          <w:b/>
          <w:bCs/>
        </w:rPr>
        <w:t>VISÃO</w:t>
      </w:r>
    </w:p>
    <w:p w14:paraId="729348B4" w14:textId="668E4A17" w:rsidR="00B901FC" w:rsidRDefault="00EE2261">
      <w:r>
        <w:rPr>
          <w:noProof/>
        </w:rPr>
        <w:drawing>
          <wp:anchor distT="0" distB="0" distL="114300" distR="114300" simplePos="0" relativeHeight="251691008" behindDoc="1" locked="0" layoutInCell="1" allowOverlap="1" wp14:anchorId="318BCF4D" wp14:editId="3CFD2434">
            <wp:simplePos x="0" y="0"/>
            <wp:positionH relativeFrom="page">
              <wp:posOffset>3923030</wp:posOffset>
            </wp:positionH>
            <wp:positionV relativeFrom="paragraph">
              <wp:posOffset>67946</wp:posOffset>
            </wp:positionV>
            <wp:extent cx="4102733" cy="3228975"/>
            <wp:effectExtent l="0" t="1588" r="0" b="0"/>
            <wp:wrapNone/>
            <wp:docPr id="212797498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5862" cy="3231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A seguradora presente no seu dia a dia.</w:t>
      </w:r>
    </w:p>
    <w:p w14:paraId="510BBA4F" w14:textId="11134DE4" w:rsidR="00B901FC" w:rsidRPr="00EE2261" w:rsidRDefault="00EE2261" w:rsidP="00EE2261">
      <w:pPr>
        <w:pStyle w:val="PargrafodaLista"/>
        <w:numPr>
          <w:ilvl w:val="0"/>
          <w:numId w:val="3"/>
        </w:numPr>
        <w:ind w:left="426"/>
        <w:rPr>
          <w:b/>
          <w:bCs/>
        </w:rPr>
      </w:pPr>
      <w:r>
        <w:rPr>
          <w:b/>
          <w:bCs/>
        </w:rPr>
        <w:t>VALORES</w:t>
      </w:r>
    </w:p>
    <w:p w14:paraId="09A25CCE" w14:textId="77777777" w:rsidR="00EE2261" w:rsidRDefault="00EE2261" w:rsidP="00EE2261">
      <w:pPr>
        <w:pStyle w:val="PargrafodaLista"/>
        <w:numPr>
          <w:ilvl w:val="0"/>
          <w:numId w:val="4"/>
        </w:numPr>
      </w:pPr>
      <w:r>
        <w:t>Nosso cliente em primeiro lugar.</w:t>
      </w:r>
    </w:p>
    <w:p w14:paraId="34CF06C8" w14:textId="77777777" w:rsidR="00EE2261" w:rsidRDefault="00EE2261" w:rsidP="00EE2261">
      <w:pPr>
        <w:pStyle w:val="PargrafodaLista"/>
        <w:numPr>
          <w:ilvl w:val="0"/>
          <w:numId w:val="4"/>
        </w:numPr>
      </w:pPr>
      <w:r>
        <w:t>Capacidade de se adaptar e resiliência nos desafios.</w:t>
      </w:r>
    </w:p>
    <w:p w14:paraId="0543E620" w14:textId="77777777" w:rsidR="00EE2261" w:rsidRDefault="00EE2261" w:rsidP="00EE2261">
      <w:pPr>
        <w:pStyle w:val="PargrafodaLista"/>
        <w:numPr>
          <w:ilvl w:val="0"/>
          <w:numId w:val="4"/>
        </w:numPr>
      </w:pPr>
      <w:r>
        <w:t>Inovação e Confiança.</w:t>
      </w:r>
    </w:p>
    <w:p w14:paraId="18E00755" w14:textId="77777777" w:rsidR="00EE2261" w:rsidRDefault="00EE2261" w:rsidP="00EE2261">
      <w:pPr>
        <w:pStyle w:val="PargrafodaLista"/>
        <w:numPr>
          <w:ilvl w:val="0"/>
          <w:numId w:val="4"/>
        </w:numPr>
      </w:pPr>
      <w:r>
        <w:t>Desenvolvimento profissional.</w:t>
      </w:r>
    </w:p>
    <w:p w14:paraId="65861A13" w14:textId="77777777" w:rsidR="00EE2261" w:rsidRDefault="00EE2261" w:rsidP="00EE2261">
      <w:pPr>
        <w:pStyle w:val="PargrafodaLista"/>
        <w:numPr>
          <w:ilvl w:val="0"/>
          <w:numId w:val="4"/>
        </w:numPr>
      </w:pPr>
      <w:r>
        <w:t>Ética.</w:t>
      </w:r>
    </w:p>
    <w:p w14:paraId="0AB1E169" w14:textId="64A32EB4" w:rsidR="00EE2261" w:rsidRDefault="00EE2261" w:rsidP="00EE2261">
      <w:pPr>
        <w:pStyle w:val="PargrafodaLista"/>
        <w:numPr>
          <w:ilvl w:val="0"/>
          <w:numId w:val="4"/>
        </w:numPr>
      </w:pPr>
      <w:r>
        <w:t>Responsabilidade Ambiental e Social.</w:t>
      </w:r>
    </w:p>
    <w:p w14:paraId="2D2820A9" w14:textId="77777777" w:rsidR="00B901FC" w:rsidRDefault="00B901FC"/>
    <w:p w14:paraId="6313D752" w14:textId="05333B20" w:rsidR="009C55B0" w:rsidRDefault="009C55B0">
      <w:r>
        <w:br w:type="page"/>
      </w:r>
    </w:p>
    <w:p w14:paraId="196FF6B8" w14:textId="37384F93" w:rsidR="001B6B82" w:rsidRPr="00860D9C" w:rsidRDefault="0064230A" w:rsidP="00860D9C">
      <w:pPr>
        <w:pStyle w:val="Ttulo1"/>
        <w:rPr>
          <w:rFonts w:ascii="Amasis MT Pro Medium" w:hAnsi="Amasis MT Pro Medium"/>
          <w:b/>
          <w:bCs/>
          <w:color w:val="00DD73" w:themeColor="accent6"/>
          <w:lang w:bidi="pt-PT"/>
        </w:rPr>
      </w:pPr>
      <w:bookmarkStart w:id="6" w:name="_Toc227880755"/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6F958FB" wp14:editId="163B66A5">
            <wp:simplePos x="0" y="0"/>
            <wp:positionH relativeFrom="page">
              <wp:posOffset>685800</wp:posOffset>
            </wp:positionH>
            <wp:positionV relativeFrom="paragraph">
              <wp:posOffset>52705</wp:posOffset>
            </wp:positionV>
            <wp:extent cx="3076575" cy="3076575"/>
            <wp:effectExtent l="0" t="0" r="9525" b="9525"/>
            <wp:wrapThrough wrapText="bothSides">
              <wp:wrapPolygon edited="0">
                <wp:start x="9095" y="0"/>
                <wp:lineTo x="7891" y="134"/>
                <wp:lineTo x="3879" y="1739"/>
                <wp:lineTo x="3745" y="2274"/>
                <wp:lineTo x="1872" y="4280"/>
                <wp:lineTo x="535" y="6420"/>
                <wp:lineTo x="0" y="8426"/>
                <wp:lineTo x="0" y="12973"/>
                <wp:lineTo x="535" y="14980"/>
                <wp:lineTo x="1605" y="17120"/>
                <wp:lineTo x="3611" y="19259"/>
                <wp:lineTo x="3745" y="19527"/>
                <wp:lineTo x="7624" y="21399"/>
                <wp:lineTo x="8961" y="21533"/>
                <wp:lineTo x="12706" y="21533"/>
                <wp:lineTo x="14177" y="21399"/>
                <wp:lineTo x="17788" y="19661"/>
                <wp:lineTo x="17922" y="19259"/>
                <wp:lineTo x="19928" y="17120"/>
                <wp:lineTo x="20998" y="14980"/>
                <wp:lineTo x="21533" y="12973"/>
                <wp:lineTo x="21533" y="0"/>
                <wp:lineTo x="9095" y="0"/>
              </wp:wrapPolygon>
            </wp:wrapThrough>
            <wp:docPr id="1260049324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teardrop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masis MT Pro Medium" w:hAnsi="Amasis MT Pro Medium"/>
          <w:b/>
          <w:bCs/>
          <w:color w:val="00DD73" w:themeColor="accent6"/>
          <w:lang w:bidi="pt-PT"/>
        </w:rPr>
        <w:t>Uma Abordagem ASG</w:t>
      </w:r>
      <w:bookmarkEnd w:id="6"/>
    </w:p>
    <w:p w14:paraId="712D0844" w14:textId="0CFBE978" w:rsidR="00860D9C" w:rsidRDefault="00860D9C" w:rsidP="00860D9C">
      <w:pPr>
        <w:jc w:val="both"/>
      </w:pPr>
      <w:r>
        <w:t>A abordagem ASG (Ambiental, Social e Governança) consiste em uma estratégia que incorpora princípios de sustentabilidade nas decisões corporativas e de investimento. Esse modelo visa promover um desenvolvimento responsável e sustentável, integrando os critérios ASG aos processos decisórios empresariais e de aplicação de capital. O objetivo não se restringe ao desempenho financeiro de curto prazo, mas contempla também os efeitos de longo prazo sobre a sociedade e o meio ambiente.</w:t>
      </w:r>
      <w:r>
        <w:rPr>
          <w:noProof/>
        </w:rPr>
        <w:t xml:space="preserve"> </w:t>
      </w:r>
    </w:p>
    <w:p w14:paraId="72EBDCE5" w14:textId="77777777" w:rsidR="00860D9C" w:rsidRDefault="00860D9C" w:rsidP="00860D9C">
      <w:pPr>
        <w:jc w:val="both"/>
      </w:pPr>
      <w:r>
        <w:t>A adoção de práticas ASG pode gerar benefícios concretos, como a redução de riscos jurídicos, reputacionais, legais e financeiros, entre outros. Adicionalmente, organizações atentas às pautas ASG mostram-se mais aptas a enfrentar alterações nos padrões de produção e consumo, empregando os recursos naturais com maior eficiência e diminuindo os impactos adversos de seus produtos e serviços sobre o meio ambiente.</w:t>
      </w:r>
    </w:p>
    <w:p w14:paraId="1DEC9E77" w14:textId="1EE05889" w:rsidR="00860D9C" w:rsidRDefault="00860D9C" w:rsidP="00860D9C">
      <w:pPr>
        <w:jc w:val="both"/>
      </w:pPr>
      <w:r>
        <w:t>A implementação de práticas ASG tornou-se imperativa para empresas que almejam crescimento econômico ao mesmo tempo em que desejam contribuir de forma positiva para a sociedade e o meio ambiente.</w:t>
      </w:r>
    </w:p>
    <w:p w14:paraId="60B941E2" w14:textId="194EB068" w:rsidR="00860D9C" w:rsidRDefault="0064230A">
      <w:r>
        <w:t>Nesse contexto, a BVIX apresenta o seguinte cenário:</w:t>
      </w:r>
    </w:p>
    <w:p w14:paraId="2AB87A5D" w14:textId="77777777" w:rsidR="0064230A" w:rsidRPr="0064230A" w:rsidRDefault="0064230A" w:rsidP="0064230A">
      <w:pPr>
        <w:jc w:val="both"/>
        <w:rPr>
          <w:b/>
          <w:bCs/>
          <w:color w:val="00A555" w:themeColor="accent6" w:themeShade="BF"/>
        </w:rPr>
      </w:pPr>
      <w:r>
        <w:rPr>
          <w:b/>
          <w:bCs/>
          <w:color w:val="00A555" w:themeColor="accent6" w:themeShade="BF"/>
        </w:rPr>
        <w:t>AMBIENTAL (E – ENVIRONMENTAL)</w:t>
      </w:r>
    </w:p>
    <w:p w14:paraId="2D3E61BA" w14:textId="77777777" w:rsidR="0064230A" w:rsidRPr="0064230A" w:rsidRDefault="0064230A" w:rsidP="0064230A">
      <w:pPr>
        <w:jc w:val="both"/>
        <w:rPr>
          <w:b/>
          <w:bCs/>
        </w:rPr>
      </w:pPr>
      <w:r>
        <w:rPr>
          <w:b/>
          <w:bCs/>
        </w:rPr>
        <w:t>Gestão de impactos ambientais</w:t>
      </w:r>
    </w:p>
    <w:p w14:paraId="730F8FB1" w14:textId="116B7B85" w:rsidR="0064230A" w:rsidRDefault="0064230A" w:rsidP="0064230A">
      <w:pPr>
        <w:jc w:val="both"/>
      </w:pPr>
      <w:r>
        <w:t>A BVIX adota medidas para reduzir seus impactos ambientais mediante a implementação de práticas sustentáveis no ambiente de trabalho. A organização incentiva o uso responsável de energia elétrica e de água. Procedimentos operacionais e comerciais são digitalizados para diminuir o consumo de papel, com ampla utilização de plataformas web para interação com corretores e parceiros.</w:t>
      </w:r>
    </w:p>
    <w:p w14:paraId="5B5259CC" w14:textId="2FE5322C" w:rsidR="0064230A" w:rsidRPr="0064230A" w:rsidRDefault="0064230A" w:rsidP="0064230A">
      <w:pPr>
        <w:jc w:val="both"/>
        <w:rPr>
          <w:b/>
          <w:bCs/>
        </w:rPr>
      </w:pPr>
      <w:r>
        <w:rPr>
          <w:b/>
          <w:bCs/>
        </w:rPr>
        <w:t>Iniciativas sustentáveis</w:t>
      </w:r>
    </w:p>
    <w:p w14:paraId="064EE7E7" w14:textId="77777777" w:rsidR="00223266" w:rsidRDefault="0064230A" w:rsidP="0064230A">
      <w:pPr>
        <w:jc w:val="both"/>
      </w:pPr>
      <w:r>
        <w:t xml:space="preserve">Estimula-se a implementação de sistemas digitais e a utilização do sistema ERP para otimizar processos internos, reduzir a necessidade de papel e minimizar deslocamentos relacionados a atividades operacionais. </w:t>
      </w:r>
    </w:p>
    <w:p w14:paraId="560A2FD9" w14:textId="72A385BF" w:rsidR="0064230A" w:rsidRDefault="0064230A" w:rsidP="0064230A">
      <w:pPr>
        <w:jc w:val="both"/>
      </w:pPr>
      <w:r>
        <w:lastRenderedPageBreak/>
        <w:t>Privilegiam-se soluções tecnológicas e comunicação eletrônica sempre que possível, reduzindo a dependência de recursos materiais.</w:t>
      </w:r>
    </w:p>
    <w:p w14:paraId="5C55B8F4" w14:textId="58953C8C" w:rsidR="0064230A" w:rsidRPr="0064230A" w:rsidRDefault="0064230A" w:rsidP="0064230A">
      <w:pPr>
        <w:jc w:val="both"/>
        <w:rPr>
          <w:b/>
          <w:bCs/>
          <w:color w:val="00A555" w:themeColor="accent6" w:themeShade="BF"/>
        </w:rPr>
      </w:pPr>
      <w:r>
        <w:rPr>
          <w:b/>
          <w:bCs/>
          <w:color w:val="00A555" w:themeColor="accent6" w:themeShade="BF"/>
        </w:rPr>
        <w:t>SOCIAL (S – SOCIAL)</w:t>
      </w:r>
    </w:p>
    <w:p w14:paraId="62A67256" w14:textId="1CEC54E9" w:rsidR="0064230A" w:rsidRPr="0064230A" w:rsidRDefault="0064230A" w:rsidP="0064230A">
      <w:pPr>
        <w:jc w:val="both"/>
        <w:rPr>
          <w:b/>
          <w:bCs/>
        </w:rPr>
      </w:pPr>
      <w:r>
        <w:rPr>
          <w:b/>
          <w:bCs/>
        </w:rPr>
        <w:t>Valorização do capital humano</w:t>
      </w:r>
    </w:p>
    <w:p w14:paraId="2C340C93" w14:textId="55E9978D" w:rsidR="0064230A" w:rsidRDefault="0064230A" w:rsidP="0064230A">
      <w:pPr>
        <w:jc w:val="both"/>
      </w:pPr>
      <w:r>
        <w:t>A Companhia orienta-se pelo princípio de agir com respeito e valorizar a equipe, promovendo um ambiente voltado ao desenvolvimento contínuo e à alta performance. Práticas de diversidade e inclusão estão integradas às atividades diárias.</w:t>
      </w:r>
    </w:p>
    <w:p w14:paraId="398B0913" w14:textId="1CE19722" w:rsidR="0064230A" w:rsidRPr="0064230A" w:rsidRDefault="0064230A" w:rsidP="0064230A">
      <w:pPr>
        <w:jc w:val="both"/>
        <w:rPr>
          <w:b/>
          <w:bCs/>
        </w:rPr>
      </w:pPr>
      <w:r>
        <w:rPr>
          <w:b/>
          <w:bCs/>
        </w:rPr>
        <w:t>Relacionamento com clientes e comunidade</w:t>
      </w:r>
    </w:p>
    <w:p w14:paraId="504E77BA" w14:textId="29F49622" w:rsidR="0064230A" w:rsidRDefault="0064230A" w:rsidP="0064230A">
      <w:pPr>
        <w:jc w:val="both"/>
      </w:pPr>
      <w:r>
        <w:t>Dá-se prioridade à transparência e à agilidade no atendimento, disponibilizando canais 24 horas por meio do 0800 e do site, o que fortalece a proximidade com os clientes. Os produtos são concebidos com foco em acessibilidade e inclusão social, como exemplifica o Microsseguro de Vida.</w:t>
      </w:r>
    </w:p>
    <w:p w14:paraId="4B0D5836" w14:textId="6CD11717" w:rsidR="0064230A" w:rsidRPr="0064230A" w:rsidRDefault="0064230A" w:rsidP="0064230A">
      <w:pPr>
        <w:jc w:val="both"/>
        <w:rPr>
          <w:b/>
          <w:bCs/>
          <w:color w:val="00A555" w:themeColor="accent6" w:themeShade="BF"/>
        </w:rPr>
      </w:pPr>
      <w:r>
        <w:rPr>
          <w:b/>
          <w:bCs/>
          <w:color w:val="00A555" w:themeColor="accent6" w:themeShade="BF"/>
        </w:rPr>
        <w:t>GOVERNANÇA (G – GOVERNANCE)</w:t>
      </w:r>
    </w:p>
    <w:p w14:paraId="7B5411CC" w14:textId="5ED92B77" w:rsidR="0064230A" w:rsidRPr="0064230A" w:rsidRDefault="0064230A" w:rsidP="0064230A">
      <w:pPr>
        <w:jc w:val="both"/>
        <w:rPr>
          <w:b/>
          <w:bCs/>
        </w:rPr>
      </w:pPr>
      <w:r>
        <w:rPr>
          <w:b/>
          <w:bCs/>
        </w:rPr>
        <w:t>Estrutura de governança corporativa</w:t>
      </w:r>
    </w:p>
    <w:p w14:paraId="030815C4" w14:textId="0CD29AAD" w:rsidR="0064230A" w:rsidRDefault="0064230A" w:rsidP="0064230A">
      <w:pPr>
        <w:jc w:val="both"/>
      </w:pPr>
      <w:r>
        <w:t>A governança corporativa da BVIX é essencial para garantir o desempenho eficiente da organização, pois promove transparência, integridade e responsabilização. Essa estrutura assegura decisões justas e leva em conta os interesses de todos os stakeholders, contribuindo para a sustentabilidade e a competitividade da empresa no mercado.</w:t>
      </w:r>
    </w:p>
    <w:p w14:paraId="3C25C9B0" w14:textId="06849F37" w:rsidR="0064230A" w:rsidRDefault="00223266" w:rsidP="0064230A">
      <w:pPr>
        <w:jc w:val="both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54C9228" wp14:editId="3629D4CD">
            <wp:simplePos x="0" y="0"/>
            <wp:positionH relativeFrom="column">
              <wp:posOffset>3406140</wp:posOffset>
            </wp:positionH>
            <wp:positionV relativeFrom="paragraph">
              <wp:posOffset>341630</wp:posOffset>
            </wp:positionV>
            <wp:extent cx="2533650" cy="2533650"/>
            <wp:effectExtent l="0" t="0" r="0" b="0"/>
            <wp:wrapThrough wrapText="bothSides">
              <wp:wrapPolygon edited="0">
                <wp:start x="8770" y="0"/>
                <wp:lineTo x="7308" y="487"/>
                <wp:lineTo x="3411" y="2436"/>
                <wp:lineTo x="2598" y="3735"/>
                <wp:lineTo x="1299" y="5359"/>
                <wp:lineTo x="162" y="7958"/>
                <wp:lineTo x="0" y="10069"/>
                <wp:lineTo x="0" y="11531"/>
                <wp:lineTo x="162" y="13155"/>
                <wp:lineTo x="1137" y="15753"/>
                <wp:lineTo x="3086" y="18677"/>
                <wp:lineTo x="6983" y="20950"/>
                <wp:lineTo x="9257" y="21438"/>
                <wp:lineTo x="9744" y="21438"/>
                <wp:lineTo x="11693" y="21438"/>
                <wp:lineTo x="12180" y="21438"/>
                <wp:lineTo x="14454" y="20950"/>
                <wp:lineTo x="18352" y="18677"/>
                <wp:lineTo x="20301" y="15753"/>
                <wp:lineTo x="21275" y="13155"/>
                <wp:lineTo x="21438" y="11531"/>
                <wp:lineTo x="21438" y="10069"/>
                <wp:lineTo x="21275" y="7958"/>
                <wp:lineTo x="20138" y="5359"/>
                <wp:lineTo x="18189" y="2436"/>
                <wp:lineTo x="14129" y="487"/>
                <wp:lineTo x="12668" y="0"/>
                <wp:lineTo x="877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 BVIX preserva um modelo de governança robusto que aprimora a gestão da companhia, eleva a confiança dos acionistas e consolida a reputação no mercado, elementos imprescindíveis para o êxito a longo prazo.</w:t>
      </w:r>
    </w:p>
    <w:p w14:paraId="5F9179BE" w14:textId="77777777" w:rsidR="0064230A" w:rsidRPr="0064230A" w:rsidRDefault="0064230A" w:rsidP="0064230A">
      <w:pPr>
        <w:jc w:val="both"/>
        <w:rPr>
          <w:b/>
          <w:bCs/>
        </w:rPr>
      </w:pPr>
      <w:r>
        <w:rPr>
          <w:b/>
          <w:bCs/>
        </w:rPr>
        <w:t>Riscos e conformidade</w:t>
      </w:r>
    </w:p>
    <w:p w14:paraId="1F8602C4" w14:textId="77777777" w:rsidR="0064230A" w:rsidRDefault="0064230A" w:rsidP="0064230A">
      <w:pPr>
        <w:jc w:val="both"/>
      </w:pPr>
      <w:r>
        <w:t xml:space="preserve">A atuação observa de forma rigorosa as normas da SUSEP, com atenção particular à Circular SUSEP nº 666/2022. Os produtos incorporam cláusulas destinadas a resguardar contra riscos jurídicos. </w:t>
      </w:r>
    </w:p>
    <w:p w14:paraId="6D13D458" w14:textId="7E51B47C" w:rsidR="0064230A" w:rsidRDefault="0064230A" w:rsidP="0064230A">
      <w:pPr>
        <w:jc w:val="both"/>
      </w:pPr>
      <w:r>
        <w:t>A avaliação de riscos e os controles de compliance estão integrados ao processo de aceitação de seguros corporativos.</w:t>
      </w:r>
    </w:p>
    <w:p w14:paraId="3F295CB5" w14:textId="28DCB595" w:rsidR="00223266" w:rsidRDefault="00223266">
      <w:r>
        <w:br w:type="page"/>
      </w:r>
    </w:p>
    <w:p w14:paraId="362EDC3D" w14:textId="623D9D10" w:rsidR="0064230A" w:rsidRPr="00223266" w:rsidRDefault="00223266" w:rsidP="00223266">
      <w:pPr>
        <w:pStyle w:val="Ttulo1"/>
        <w:rPr>
          <w:rFonts w:ascii="Amasis MT Pro Medium" w:hAnsi="Amasis MT Pro Medium"/>
          <w:b/>
          <w:bCs/>
          <w:color w:val="00DD73" w:themeColor="accent6"/>
          <w:lang w:bidi="pt-PT"/>
        </w:rPr>
      </w:pPr>
      <w:bookmarkStart w:id="7" w:name="_Toc227880756"/>
      <w:r>
        <w:rPr>
          <w:rFonts w:ascii="Amasis MT Pro Medium" w:hAnsi="Amasis MT Pro Medium"/>
          <w:b/>
          <w:bCs/>
          <w:color w:val="00DD73" w:themeColor="accent6"/>
          <w:lang w:bidi="pt-PT"/>
        </w:rPr>
        <w:lastRenderedPageBreak/>
        <w:t>Indicadores de Sustentabilidade</w:t>
      </w:r>
      <w:bookmarkEnd w:id="7"/>
    </w:p>
    <w:p w14:paraId="03C1D270" w14:textId="7D88286A" w:rsidR="00223266" w:rsidRPr="00223266" w:rsidRDefault="00223266" w:rsidP="00223266">
      <w:pPr>
        <w:jc w:val="both"/>
        <w:rPr>
          <w:b/>
          <w:bCs/>
        </w:rPr>
      </w:pPr>
      <w:r>
        <w:rPr>
          <w:b/>
          <w:bCs/>
        </w:rPr>
        <w:t xml:space="preserve">Redução resíduos plásticos </w:t>
      </w:r>
    </w:p>
    <w:p w14:paraId="23EE140E" w14:textId="280B4D66" w:rsidR="00223266" w:rsidRDefault="00223266" w:rsidP="00223266">
      <w:pPr>
        <w:jc w:val="both"/>
      </w:pPr>
      <w:r>
        <w:t>Redução do consumo de plásticos descartáveis, promovida pelo fornecimento de garrafas reutilizáveis aos colaboradores e pela oferta de copos de vidro aos visitantes, com a finalidade de reduzir a geração de resíduos plásticos;</w:t>
      </w:r>
    </w:p>
    <w:p w14:paraId="7C90CE9F" w14:textId="5170B9E9" w:rsidR="00223266" w:rsidRPr="00223266" w:rsidRDefault="00223266" w:rsidP="00223266">
      <w:pPr>
        <w:jc w:val="both"/>
        <w:rPr>
          <w:b/>
          <w:bCs/>
        </w:rPr>
      </w:pPr>
      <w:r>
        <w:rPr>
          <w:b/>
          <w:bCs/>
        </w:rPr>
        <w:t>Coleta Seletiva de Resíduos</w:t>
      </w:r>
    </w:p>
    <w:p w14:paraId="09C3E73F" w14:textId="2D2F7A40" w:rsidR="00223266" w:rsidRDefault="00223266" w:rsidP="00223266">
      <w:pPr>
        <w:jc w:val="both"/>
      </w:pPr>
      <w:r>
        <w:t>Gestão responsável de resíduos, mediante a instalação de lixeiras para coleta seletiva nos espaços internos;</w:t>
      </w:r>
    </w:p>
    <w:p w14:paraId="56C9182B" w14:textId="0A3DBC6C" w:rsidR="00223266" w:rsidRPr="00223266" w:rsidRDefault="00223266" w:rsidP="00223266">
      <w:pPr>
        <w:jc w:val="both"/>
        <w:rPr>
          <w:b/>
          <w:bCs/>
        </w:rPr>
      </w:pPr>
      <w:r>
        <w:rPr>
          <w:b/>
          <w:bCs/>
        </w:rPr>
        <w:t>Campanha de Conscientização</w:t>
      </w:r>
    </w:p>
    <w:p w14:paraId="770BD1FF" w14:textId="42CE795B" w:rsidR="00223266" w:rsidRDefault="00223266" w:rsidP="00223266">
      <w:pPr>
        <w:jc w:val="both"/>
      </w:pPr>
      <w:r>
        <w:t>Campanhas de conscientização interna, realizadas por meio de comunicações institucionais periódicas, com orientações sobre uso racional de recursos, descarte correto de resíduos e adoção de boas práticas no ambiente corporativo.</w:t>
      </w:r>
    </w:p>
    <w:p w14:paraId="1DAD6E70" w14:textId="1199843C" w:rsidR="008C4592" w:rsidRPr="008C4592" w:rsidRDefault="008C4592" w:rsidP="008C4592">
      <w:pPr>
        <w:jc w:val="both"/>
        <w:rPr>
          <w:b/>
          <w:bCs/>
        </w:rPr>
      </w:pPr>
      <w:r>
        <w:rPr>
          <w:b/>
          <w:bCs/>
        </w:rPr>
        <w:t>Gestão de Riscos e Oportunidades</w:t>
      </w:r>
    </w:p>
    <w:p w14:paraId="422D3D6B" w14:textId="5FFA02E1" w:rsidR="008C4592" w:rsidRDefault="008C4592" w:rsidP="008C4592">
      <w:pPr>
        <w:pStyle w:val="PargrafodaLista"/>
        <w:numPr>
          <w:ilvl w:val="0"/>
          <w:numId w:val="5"/>
        </w:numPr>
        <w:jc w:val="both"/>
      </w:pPr>
      <w:r>
        <w:t>Compliance e controles internos articulados.</w:t>
      </w:r>
    </w:p>
    <w:p w14:paraId="19E8D783" w14:textId="704A9414" w:rsidR="008C4592" w:rsidRDefault="008C4592" w:rsidP="008C4592">
      <w:pPr>
        <w:pStyle w:val="PargrafodaLista"/>
        <w:numPr>
          <w:ilvl w:val="0"/>
          <w:numId w:val="5"/>
        </w:numPr>
        <w:jc w:val="both"/>
      </w:pPr>
      <w:r>
        <w:t>Plano de continuidade dos negócios.</w:t>
      </w:r>
    </w:p>
    <w:p w14:paraId="6AEC62DA" w14:textId="20DCEFA3" w:rsidR="008C4592" w:rsidRDefault="008C4592" w:rsidP="008C4592">
      <w:pPr>
        <w:pStyle w:val="PargrafodaLista"/>
        <w:numPr>
          <w:ilvl w:val="0"/>
          <w:numId w:val="5"/>
        </w:numPr>
        <w:jc w:val="both"/>
      </w:pPr>
      <w:r>
        <w:t>Avaliação contínua de fornecedores e parceiros (aspectos ASG).</w:t>
      </w:r>
    </w:p>
    <w:p w14:paraId="57365551" w14:textId="6AE05E08" w:rsidR="008C4592" w:rsidRPr="008C4592" w:rsidRDefault="008C4592" w:rsidP="008C4592">
      <w:pPr>
        <w:jc w:val="both"/>
        <w:rPr>
          <w:b/>
          <w:bCs/>
        </w:rPr>
      </w:pPr>
      <w:r>
        <w:rPr>
          <w:b/>
          <w:bCs/>
        </w:rPr>
        <w:t>Compromissos e Perspectivas Futuras</w:t>
      </w:r>
    </w:p>
    <w:p w14:paraId="2B3F3B93" w14:textId="6C74B0EF" w:rsidR="008C4592" w:rsidRDefault="008C4592" w:rsidP="008C4592">
      <w:pPr>
        <w:pStyle w:val="PargrafodaLista"/>
        <w:numPr>
          <w:ilvl w:val="0"/>
          <w:numId w:val="6"/>
        </w:numPr>
        <w:jc w:val="both"/>
      </w:pPr>
      <w:r>
        <w:t>Crescimento sustentável com atuação em todo o território nacional.</w:t>
      </w:r>
    </w:p>
    <w:p w14:paraId="48A4B700" w14:textId="636AF8EF" w:rsidR="008C4592" w:rsidRDefault="008C4592" w:rsidP="008C4592">
      <w:pPr>
        <w:pStyle w:val="PargrafodaLista"/>
        <w:numPr>
          <w:ilvl w:val="0"/>
          <w:numId w:val="6"/>
        </w:numPr>
        <w:jc w:val="both"/>
      </w:pPr>
      <w:r>
        <w:t>Compromisso contínuo com inovação ambientalmente responsável, focada em soluções que protejam o meio ambiente e promovam o bem-estar social.</w:t>
      </w:r>
    </w:p>
    <w:p w14:paraId="33DEE934" w14:textId="19DCDF10" w:rsidR="00223266" w:rsidRDefault="00D17DD7" w:rsidP="008C4592">
      <w:pPr>
        <w:pStyle w:val="PargrafodaLista"/>
        <w:numPr>
          <w:ilvl w:val="0"/>
          <w:numId w:val="6"/>
        </w:numPr>
        <w:jc w:val="both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1F9173E" wp14:editId="398C7CBA">
            <wp:simplePos x="0" y="0"/>
            <wp:positionH relativeFrom="page">
              <wp:align>right</wp:align>
            </wp:positionH>
            <wp:positionV relativeFrom="paragraph">
              <wp:posOffset>301625</wp:posOffset>
            </wp:positionV>
            <wp:extent cx="5400040" cy="3037840"/>
            <wp:effectExtent l="0" t="0" r="0" b="0"/>
            <wp:wrapNone/>
            <wp:docPr id="84397183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Aperfeiçoamento constante das práticas de governança e de transparência.</w:t>
      </w:r>
    </w:p>
    <w:p w14:paraId="50B76AF0" w14:textId="267F5DE4" w:rsidR="00D17DD7" w:rsidRDefault="00D17DD7" w:rsidP="00D17DD7">
      <w:pPr>
        <w:jc w:val="both"/>
      </w:pPr>
    </w:p>
    <w:p w14:paraId="6CCA3AC0" w14:textId="77777777" w:rsidR="00D17DD7" w:rsidRDefault="00D17DD7" w:rsidP="00D17DD7">
      <w:pPr>
        <w:jc w:val="both"/>
      </w:pPr>
    </w:p>
    <w:p w14:paraId="258F72EE" w14:textId="77777777" w:rsidR="00D17DD7" w:rsidRDefault="00D17DD7" w:rsidP="00D17DD7">
      <w:pPr>
        <w:jc w:val="both"/>
      </w:pPr>
    </w:p>
    <w:p w14:paraId="200CC950" w14:textId="77777777" w:rsidR="00D17DD7" w:rsidRDefault="00D17DD7" w:rsidP="00D17DD7">
      <w:pPr>
        <w:jc w:val="both"/>
      </w:pPr>
    </w:p>
    <w:p w14:paraId="325FB600" w14:textId="77777777" w:rsidR="00D17DD7" w:rsidRDefault="00D17DD7" w:rsidP="00D17DD7">
      <w:pPr>
        <w:jc w:val="both"/>
      </w:pPr>
    </w:p>
    <w:p w14:paraId="544D4A69" w14:textId="77777777" w:rsidR="00D17DD7" w:rsidRDefault="00D17DD7" w:rsidP="00D17DD7">
      <w:pPr>
        <w:jc w:val="both"/>
      </w:pPr>
    </w:p>
    <w:p w14:paraId="2A70DFCC" w14:textId="77777777" w:rsidR="00D17DD7" w:rsidRDefault="00D17DD7" w:rsidP="00D17DD7">
      <w:pPr>
        <w:jc w:val="both"/>
      </w:pPr>
    </w:p>
    <w:p w14:paraId="70583D45" w14:textId="77777777" w:rsidR="00D17DD7" w:rsidRDefault="00D17DD7" w:rsidP="00D17DD7">
      <w:pPr>
        <w:jc w:val="both"/>
      </w:pPr>
    </w:p>
    <w:p w14:paraId="46A74A92" w14:textId="77777777" w:rsidR="00D17DD7" w:rsidRDefault="00D17DD7" w:rsidP="00D17DD7">
      <w:pPr>
        <w:jc w:val="both"/>
      </w:pPr>
    </w:p>
    <w:p w14:paraId="4DF06618" w14:textId="6820A497" w:rsidR="00D17DD7" w:rsidRPr="00A072FA" w:rsidRDefault="00AC1D2D" w:rsidP="00A072FA">
      <w:pPr>
        <w:pStyle w:val="Ttulo1"/>
        <w:rPr>
          <w:rFonts w:ascii="Amasis MT Pro Medium" w:hAnsi="Amasis MT Pro Medium"/>
          <w:b/>
          <w:bCs/>
          <w:color w:val="00DD73" w:themeColor="accent6"/>
          <w:lang w:bidi="pt-PT"/>
        </w:rPr>
      </w:pPr>
      <w:bookmarkStart w:id="8" w:name="_Toc227880757"/>
      <w:r>
        <w:rPr>
          <w:rFonts w:ascii="Amasis MT Pro Medium" w:hAnsi="Amasis MT Pro Medium"/>
          <w:b/>
          <w:bCs/>
          <w:color w:val="00DD73" w:themeColor="accent6"/>
          <w:lang w:bidi="pt-PT"/>
        </w:rPr>
        <w:lastRenderedPageBreak/>
        <w:t>Gestão de Riscos de Sustentabilidade</w:t>
      </w:r>
      <w:bookmarkEnd w:id="8"/>
    </w:p>
    <w:p w14:paraId="0A083ECD" w14:textId="77777777" w:rsidR="00A072FA" w:rsidRDefault="00A072FA" w:rsidP="00A072FA">
      <w:pPr>
        <w:jc w:val="both"/>
      </w:pPr>
      <w:r>
        <w:t>Desde o começo de nossa atuação, assumimos uma postura responsável, direcionada à identificação e à mitigação de riscos associados à sustentabilidade, em consonância com os princípios éticos da Companhia.</w:t>
      </w:r>
    </w:p>
    <w:p w14:paraId="4AE1AB23" w14:textId="26553F27" w:rsidR="00A072FA" w:rsidRDefault="00A072FA" w:rsidP="00A072FA">
      <w:pPr>
        <w:jc w:val="both"/>
      </w:pPr>
      <w:r>
        <w:t>Essa visão norteia nossas políticas internas, a escolha e a avaliação de parceiros e fornecedores, bem como os procedimentos de gestão de riscos corporativos.</w:t>
      </w:r>
    </w:p>
    <w:p w14:paraId="5C6AF3F7" w14:textId="77777777" w:rsidR="00AC1D2D" w:rsidRDefault="00AC1D2D" w:rsidP="00AC1D2D">
      <w:pPr>
        <w:jc w:val="both"/>
      </w:pPr>
      <w:r>
        <w:t>Entendemos que atuar de forma sustentável exige disponibilizar soluções que promovam o bem-estar coletivo, preservem o meio ambiente, observem princípios éticos e incentivem uma cultura de responsabilidade. Esse compromisso traduz-se em iniciativas concretas, incorporadas ao planejamento estratégico e orientadas para a geração de valor no longo prazo.</w:t>
      </w:r>
    </w:p>
    <w:p w14:paraId="353A090A" w14:textId="77777777" w:rsidR="00AC1D2D" w:rsidRDefault="00AC1D2D" w:rsidP="00AC1D2D">
      <w:pPr>
        <w:jc w:val="both"/>
      </w:pPr>
      <w:r>
        <w:t>A BVIX Seguradora admite que riscos relacionados à sustentabilidade podem ocasionar perdas financeiras e comprometer a reputação institucional, em razão dos impactos sociais e ambientais decorrentes de suas atividades. Esses riscos surgem quando as ações da empresa afetam, de modo positivo ou negativo, pessoas ou o meio ambiente, em horizontes temporais curtos, médios ou longos.</w:t>
      </w:r>
    </w:p>
    <w:p w14:paraId="6A4E5ECD" w14:textId="77777777" w:rsidR="00AC1D2D" w:rsidRDefault="00AC1D2D" w:rsidP="00AC1D2D">
      <w:pPr>
        <w:jc w:val="both"/>
      </w:pPr>
      <w:r>
        <w:t>Esses efeitos podem decorrer das operações internas da própria companhia, da cadeia de fornecedores, dos produtos e serviços disponibilizados ou das parcerias comerciais mantidas.</w:t>
      </w:r>
    </w:p>
    <w:p w14:paraId="1DB59D1C" w14:textId="53E95975" w:rsidR="00A072FA" w:rsidRDefault="00AC1D2D" w:rsidP="00AC1D2D">
      <w:pPr>
        <w:jc w:val="both"/>
      </w:pPr>
      <w:r>
        <w:t>Os riscos de sustentabilidade não configuram uma categoria isolada; eles podem integrar quaisquer outras classes de risco já mapeadas. Por esse motivo, a BVIX Seguradora incorpora as dimensões de sustentabilidade ao seu sistema de gestão de riscos corporativos, em consonância com as diretrizes da Circular SUSEP nº 666/2022.</w:t>
      </w:r>
    </w:p>
    <w:p w14:paraId="48CE41AD" w14:textId="77777777" w:rsidR="00AC1D2D" w:rsidRDefault="00AC1D2D" w:rsidP="00AC1D2D">
      <w:pPr>
        <w:jc w:val="both"/>
      </w:pPr>
      <w:r>
        <w:t>São classificados como riscos de sustentabilidade:</w:t>
      </w:r>
    </w:p>
    <w:p w14:paraId="29AE9BAE" w14:textId="77777777" w:rsidR="00AC1D2D" w:rsidRDefault="00AC1D2D" w:rsidP="00AC1D2D">
      <w:pPr>
        <w:jc w:val="both"/>
      </w:pPr>
      <w:r>
        <w:rPr>
          <w:b/>
          <w:bCs/>
          <w:color w:val="00A555" w:themeColor="accent6" w:themeShade="BF"/>
        </w:rPr>
        <w:t>Riscos climáticos físicos</w:t>
      </w:r>
      <w:r>
        <w:t>: possibilidade de perdas decorrentes de eventos ligados a intempéries frequentes e intensas ou a alterações ambientais de longo prazo, que possam estar associadas a mudanças nos padrões climáticos;</w:t>
      </w:r>
    </w:p>
    <w:p w14:paraId="02920251" w14:textId="47572CAA" w:rsidR="00AC1D2D" w:rsidRDefault="00AC1D2D" w:rsidP="00AC1D2D">
      <w:pPr>
        <w:jc w:val="both"/>
      </w:pPr>
      <w:r>
        <w:rPr>
          <w:b/>
          <w:bCs/>
          <w:color w:val="00A555" w:themeColor="accent6" w:themeShade="BF"/>
        </w:rPr>
        <w:t>Riscos climáticos de transição</w:t>
      </w:r>
      <w:r>
        <w:t>: risco de perdas originadas por eventos relacionados ao processo de adaptação para uma economia com baixa emissão de carbono;</w:t>
      </w:r>
    </w:p>
    <w:p w14:paraId="73B1A196" w14:textId="77777777" w:rsidR="00AC1D2D" w:rsidRDefault="00AC1D2D" w:rsidP="00AC1D2D">
      <w:pPr>
        <w:jc w:val="both"/>
      </w:pPr>
      <w:r>
        <w:rPr>
          <w:b/>
          <w:bCs/>
          <w:color w:val="00A555" w:themeColor="accent6" w:themeShade="BF"/>
        </w:rPr>
        <w:t>Riscos climáticos de litígio</w:t>
      </w:r>
      <w:r>
        <w:t>: possibilidade de perdas resultantes de sinistros em seguros de responsabilidade ou de ações judiciais diretas contra a seguradora, ambos decorrentes de deficiências na gestão dos riscos climáticos físicos ou de transição;</w:t>
      </w:r>
    </w:p>
    <w:p w14:paraId="528FAF73" w14:textId="55E467AF" w:rsidR="00AC1D2D" w:rsidRDefault="00AC1D2D" w:rsidP="00AC1D2D">
      <w:pPr>
        <w:jc w:val="both"/>
      </w:pPr>
      <w:r>
        <w:rPr>
          <w:b/>
          <w:bCs/>
          <w:color w:val="00A555" w:themeColor="accent6" w:themeShade="BF"/>
        </w:rPr>
        <w:lastRenderedPageBreak/>
        <w:t>Riscos ambientais</w:t>
      </w:r>
      <w:r>
        <w:t>: possibilidade de perdas provocadas por episódios de degradação ambiental, inclusive pelo uso excessivo de recursos naturais;</w:t>
      </w:r>
    </w:p>
    <w:p w14:paraId="339812C5" w14:textId="14FC4B18" w:rsidR="00AC1D2D" w:rsidRDefault="00AC1D2D" w:rsidP="00AC1D2D">
      <w:pPr>
        <w:jc w:val="both"/>
      </w:pPr>
      <w:r>
        <w:rPr>
          <w:b/>
          <w:bCs/>
          <w:color w:val="00A555" w:themeColor="accent6" w:themeShade="BF"/>
        </w:rPr>
        <w:t>Riscos sociais</w:t>
      </w:r>
      <w:r>
        <w:t>: possibilidade de perdas geradas por eventos relativos à violação de direitos e garantias fundamentais ou por atos que prejudiquem o interesse coletivo.</w:t>
      </w:r>
    </w:p>
    <w:p w14:paraId="724054CD" w14:textId="385E7D2A" w:rsidR="00AC1D2D" w:rsidRPr="00E968DB" w:rsidRDefault="00E968DB" w:rsidP="004B67C6">
      <w:pPr>
        <w:pStyle w:val="Ttulo1"/>
        <w:rPr>
          <w:rFonts w:ascii="Amasis MT Pro Medium" w:hAnsi="Amasis MT Pro Medium"/>
          <w:b/>
          <w:bCs/>
          <w:color w:val="00DD73" w:themeColor="accent6"/>
          <w:lang w:bidi="pt-PT"/>
        </w:rPr>
      </w:pPr>
      <w:bookmarkStart w:id="9" w:name="_Toc227880758"/>
      <w:r>
        <w:rPr>
          <w:rFonts w:ascii="Amasis MT Pro Medium" w:hAnsi="Amasis MT Pro Medium"/>
          <w:b/>
          <w:bCs/>
          <w:color w:val="00DD73" w:themeColor="accent6"/>
          <w:lang w:bidi="pt-PT"/>
        </w:rPr>
        <w:t>Segurança da Informação</w:t>
      </w:r>
      <w:bookmarkEnd w:id="9"/>
    </w:p>
    <w:p w14:paraId="0B818D74" w14:textId="77F2540C" w:rsidR="00E968DB" w:rsidRDefault="00E968DB" w:rsidP="00E968DB">
      <w:pPr>
        <w:jc w:val="both"/>
      </w:pPr>
      <w:r>
        <w:t>Entendemos que, em um cenário cada vez mais digital e conectado, a segurança da informação assume caráter estratégico. Por essa razão, a BVIX realiza monitoramento permanente do gerenciamento de riscos, da cibersegurança e da proteção de dados. Essas iniciativas têm por objetivo prevenir incidentes — como o vazamento de dados de clientes, colaboradores e parceiros — e resguardar a organização contra vulnerabilidades, ataques cibernéticos e eventuais violações de informações.</w:t>
      </w:r>
    </w:p>
    <w:p w14:paraId="4F06494B" w14:textId="6A11E51D" w:rsidR="00E968DB" w:rsidRDefault="00E968DB" w:rsidP="00E968DB">
      <w:pPr>
        <w:jc w:val="both"/>
      </w:pPr>
      <w:r>
        <w:t>Contamos com políticas estabelecidas para orientar esse tema, entre as quais a Política de Segurança Cibernética e a Política Corporativa de Privacidade — LGPD. Essas normas são revisadas anualmente e submetidas à apreciação da alta administração. Além disso, elaboramos o Relatório de Segurança Cibernética, atualizado anualmente e encaminhado à Auditoria Interna. O referido relatório fundamenta-se na estratégia corporativa, na avaliação dos riscos cibernéticos, nas exigências regulatórias aplicáveis, no nível de maturidade organizacional e nos potenciais cenários de ameaça.</w:t>
      </w:r>
    </w:p>
    <w:p w14:paraId="62576C18" w14:textId="40FAA9B3" w:rsidR="00E968DB" w:rsidRDefault="000C56C7" w:rsidP="00E968DB">
      <w:pPr>
        <w:jc w:val="both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EA43D52" wp14:editId="7E0B9AD0">
            <wp:simplePos x="0" y="0"/>
            <wp:positionH relativeFrom="margin">
              <wp:align>left</wp:align>
            </wp:positionH>
            <wp:positionV relativeFrom="paragraph">
              <wp:posOffset>935990</wp:posOffset>
            </wp:positionV>
            <wp:extent cx="5429250" cy="2615202"/>
            <wp:effectExtent l="0" t="0" r="0" b="0"/>
            <wp:wrapNone/>
            <wp:docPr id="66034792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15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 BVIX observa integralmente as disposições da Lei Geral de Proteção de Dados Pessoais (LGPD) e disponibiliza um canal específico para que clientes e colaboradores possam exercer o direito de oposição ao tratamento de seus dados pessoais.</w:t>
      </w:r>
    </w:p>
    <w:p w14:paraId="39A6303F" w14:textId="6D3DA301" w:rsidR="00E968DB" w:rsidRDefault="00E968DB" w:rsidP="00AC1D2D">
      <w:pPr>
        <w:jc w:val="both"/>
      </w:pPr>
    </w:p>
    <w:p w14:paraId="6DC469C1" w14:textId="1CD5560B" w:rsidR="000C56C7" w:rsidRDefault="000C56C7" w:rsidP="00AC1D2D">
      <w:pPr>
        <w:jc w:val="both"/>
      </w:pPr>
    </w:p>
    <w:p w14:paraId="4B3C2F97" w14:textId="77777777" w:rsidR="000C56C7" w:rsidRDefault="000C56C7" w:rsidP="00AC1D2D">
      <w:pPr>
        <w:jc w:val="both"/>
      </w:pPr>
    </w:p>
    <w:p w14:paraId="4EC14453" w14:textId="77777777" w:rsidR="000C56C7" w:rsidRDefault="000C56C7" w:rsidP="00AC1D2D">
      <w:pPr>
        <w:jc w:val="both"/>
      </w:pPr>
    </w:p>
    <w:p w14:paraId="764D1DE1" w14:textId="77777777" w:rsidR="000C56C7" w:rsidRDefault="000C56C7" w:rsidP="00AC1D2D">
      <w:pPr>
        <w:jc w:val="both"/>
      </w:pPr>
    </w:p>
    <w:p w14:paraId="5F144630" w14:textId="77777777" w:rsidR="000C56C7" w:rsidRDefault="000C56C7" w:rsidP="00AC1D2D">
      <w:pPr>
        <w:jc w:val="both"/>
      </w:pPr>
    </w:p>
    <w:p w14:paraId="47C4DA7C" w14:textId="77777777" w:rsidR="000C56C7" w:rsidRDefault="000C56C7" w:rsidP="00AC1D2D">
      <w:pPr>
        <w:jc w:val="both"/>
      </w:pPr>
    </w:p>
    <w:p w14:paraId="75354D36" w14:textId="77777777" w:rsidR="000C56C7" w:rsidRDefault="000C56C7" w:rsidP="00AC1D2D">
      <w:pPr>
        <w:jc w:val="both"/>
      </w:pPr>
    </w:p>
    <w:p w14:paraId="6482562C" w14:textId="77777777" w:rsidR="000C56C7" w:rsidRDefault="000C56C7" w:rsidP="00AC1D2D">
      <w:pPr>
        <w:jc w:val="both"/>
      </w:pPr>
    </w:p>
    <w:p w14:paraId="25A4777C" w14:textId="236C48F9" w:rsidR="000C56C7" w:rsidRPr="004967FC" w:rsidRDefault="004967FC" w:rsidP="004B67C6">
      <w:pPr>
        <w:pStyle w:val="Ttulo1"/>
        <w:rPr>
          <w:rFonts w:ascii="Amasis MT Pro Medium" w:hAnsi="Amasis MT Pro Medium"/>
          <w:b/>
          <w:bCs/>
          <w:color w:val="00DD73" w:themeColor="accent6"/>
          <w:lang w:bidi="pt-PT"/>
        </w:rPr>
      </w:pPr>
      <w:bookmarkStart w:id="10" w:name="_Toc227880759"/>
      <w:r>
        <w:rPr>
          <w:rFonts w:ascii="Amasis MT Pro Medium" w:hAnsi="Amasis MT Pro Medium"/>
          <w:b/>
          <w:bCs/>
          <w:color w:val="00DD73" w:themeColor="accent6"/>
          <w:lang w:bidi="pt-PT"/>
        </w:rPr>
        <w:lastRenderedPageBreak/>
        <w:t>Relação com Stakeholders</w:t>
      </w:r>
      <w:bookmarkEnd w:id="10"/>
    </w:p>
    <w:p w14:paraId="58D0CD48" w14:textId="00F9848E" w:rsidR="004967FC" w:rsidRPr="004967FC" w:rsidRDefault="004967FC" w:rsidP="004967FC">
      <w:pPr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9200" behindDoc="0" locked="0" layoutInCell="1" allowOverlap="1" wp14:anchorId="39C30841" wp14:editId="3D57C1DF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76225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451" y="21480"/>
                <wp:lineTo x="21451" y="0"/>
                <wp:lineTo x="0" y="0"/>
              </wp:wrapPolygon>
            </wp:wrapThrough>
            <wp:docPr id="539067178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</w:rPr>
        <w:t>Relacionamento com Clientes</w:t>
      </w:r>
    </w:p>
    <w:p w14:paraId="4F1C4814" w14:textId="77777777" w:rsidR="004967FC" w:rsidRDefault="004967FC" w:rsidP="004967FC">
      <w:pPr>
        <w:jc w:val="both"/>
      </w:pPr>
      <w:r>
        <w:t>O perfil do consumidor sofreu transformações relevantes nas últimas décadas, exigindo que as organizações se adaptem a essas alterações para assegurar a satisfação de sua clientela.</w:t>
      </w:r>
    </w:p>
    <w:p w14:paraId="01D529EE" w14:textId="77777777" w:rsidR="004967FC" w:rsidRDefault="004967FC" w:rsidP="004967FC">
      <w:pPr>
        <w:jc w:val="both"/>
      </w:pPr>
      <w:r>
        <w:t>Atualmente, há um aumento na preocupação dos compradores com questões ambientais, que passam a orientar suas compras por critérios éticos e sustentáveis. Pesquisas indicam que os consumidores tendem a favorecer marcas que implementam práticas sustentáveis, como o uso de materiais recicláveis, a diminuição das emissões de carbono e o compromisso com a responsabilidade social. Assim, a sustentabilidade deixou de ser mero diferencial e tornou-se um fator decisivo na escolha do consumidor.</w:t>
      </w:r>
    </w:p>
    <w:p w14:paraId="11917316" w14:textId="77777777" w:rsidR="004967FC" w:rsidRDefault="004967FC" w:rsidP="004967FC">
      <w:pPr>
        <w:jc w:val="both"/>
      </w:pPr>
      <w:r>
        <w:t>Esse comportamento impacta diretamente a fidelização, pois clientes cujos valores se alinham aos da empresa mostram maior propensão a permanecer. Em um mercado competitivo e com ampla oferta de produtos e serviços, o reconhecimento por práticas sustentáveis pode ser determinante para atrair e reter a base de clientes.</w:t>
      </w:r>
    </w:p>
    <w:p w14:paraId="4CA8BB52" w14:textId="77777777" w:rsidR="004967FC" w:rsidRDefault="004967FC" w:rsidP="004967FC">
      <w:pPr>
        <w:jc w:val="both"/>
      </w:pPr>
      <w:r>
        <w:t>A BVIX dispõe de uma Política Corporativa Institucional de Conduta que estabelece princípios de ética, transparência e responsabilidade no relacionamento com os clientes. Em nosso site, oferecemos acesso aos produtos e serviços e disponibilizamos um formulário para registro de sinistros, com a finalidade de agilizar processos e prestar suporte a clientes e beneficiários. Além dos canais tradicionais de atendimento, a seguradora também mantém um número de WhatsApp para simplificar e acelerar o suporte.</w:t>
      </w:r>
    </w:p>
    <w:p w14:paraId="78A03E06" w14:textId="77777777" w:rsidR="004967FC" w:rsidRDefault="004967FC" w:rsidP="004967FC">
      <w:pPr>
        <w:jc w:val="both"/>
      </w:pPr>
      <w:r>
        <w:t>Essas iniciativas integram uma estratégia de gerenciamento de riscos relacionada ao aumento das exigências legais e regulatórias, a práticas comerciais enganosas, à migração de clientes para concorrentes, à perda de confiança por falta de transparência, à insatisfação por ausência de clareza, ao crescimento de reclamações, a ações judiciais, ao suporte inadequado nos canais de atendimento e a deficiências na qualificação dos serviços prestados.</w:t>
      </w:r>
    </w:p>
    <w:p w14:paraId="44A66E60" w14:textId="77777777" w:rsidR="004967FC" w:rsidRPr="004967FC" w:rsidRDefault="004967FC" w:rsidP="004967FC">
      <w:pPr>
        <w:jc w:val="both"/>
        <w:rPr>
          <w:b/>
          <w:bCs/>
        </w:rPr>
      </w:pPr>
      <w:r>
        <w:rPr>
          <w:b/>
          <w:bCs/>
        </w:rPr>
        <w:lastRenderedPageBreak/>
        <w:t>Relação com os Colaboradores</w:t>
      </w:r>
    </w:p>
    <w:p w14:paraId="5786C043" w14:textId="77777777" w:rsidR="004967FC" w:rsidRDefault="004967FC" w:rsidP="004967FC">
      <w:pPr>
        <w:jc w:val="both"/>
      </w:pPr>
      <w:r>
        <w:t>O departamento de Recursos Humanos influencia diretamente o comportamento e o engajamento dos colaboradores, uma vez que o capital humano sustenta qualquer política ou meta organizacional. Ao incorporar os Objetivos de Desenvolvimento Sustentável (ODS) em suas ações, o RH pode promover campanhas de sensibilização, iniciativas de educação ambiental, incentivar a reciclagem e a adoção da economia circular, além de fortalecer uma gestão de pessoas orientada pela diversidade e inclusão. Projetos voltados ao bem-estar físico e mental, programas de qualidade de vida, estímulo ao voluntariado e capacitações sobre responsabilidade socioambiental ilustram como o setor pode mobilizar equipes e gerar impactos positivos relevantes.</w:t>
      </w:r>
    </w:p>
    <w:p w14:paraId="4F4A4D8B" w14:textId="77777777" w:rsidR="004967FC" w:rsidRDefault="004967FC" w:rsidP="004967FC">
      <w:pPr>
        <w:jc w:val="both"/>
      </w:pPr>
      <w:r>
        <w:t>Outra atribuição estratégica do RH é servir de interlocutor entre a alta direção e os colaboradores, assegurando que as políticas de sustentabilidade se convertam em práticas cotidianas. Para isso, é imprescindível traduzir a visão institucional em metas objetivas, indicadores de desempenho (KPIs) e resultados mensuráveis. Esse reconhecimento fortalece o engajamento e amplia o efeito multiplicador em toda a organização.</w:t>
      </w:r>
    </w:p>
    <w:p w14:paraId="058A3DB8" w14:textId="77777777" w:rsidR="004967FC" w:rsidRDefault="004967FC" w:rsidP="004967FC">
      <w:pPr>
        <w:jc w:val="both"/>
      </w:pPr>
      <w:r>
        <w:t>Adicionalmente, o RH pode direcionar os processos de recrutamento e seleção, privilegiando candidatos que compartilhem os princípios éticos e sustentáveis da empresa.</w:t>
      </w:r>
    </w:p>
    <w:p w14:paraId="5FA2E399" w14:textId="77777777" w:rsidR="004967FC" w:rsidRPr="004967FC" w:rsidRDefault="004967FC" w:rsidP="004967FC">
      <w:pPr>
        <w:jc w:val="both"/>
        <w:rPr>
          <w:b/>
          <w:bCs/>
        </w:rPr>
      </w:pPr>
      <w:r>
        <w:rPr>
          <w:b/>
          <w:bCs/>
        </w:rPr>
        <w:t>Relação com Prestadores de Serviço e Fornecedores</w:t>
      </w:r>
    </w:p>
    <w:p w14:paraId="7BEDC93B" w14:textId="77777777" w:rsidR="004967FC" w:rsidRDefault="004967FC" w:rsidP="004967FC">
      <w:pPr>
        <w:jc w:val="both"/>
      </w:pPr>
      <w:r>
        <w:t>A interação entre a BVIX e seus fornecedores baseia-se na convergência de valores e no comprometimento com metas de sustentabilidade, governança eficiente e responsabilidade social. Essa relação é construída a partir do respeito mútuo, da transparência e da valorização das especificidades de cada parceiro, buscando constantemente o alinhamento de propósitos.</w:t>
      </w:r>
    </w:p>
    <w:p w14:paraId="01A33024" w14:textId="77777777" w:rsidR="004967FC" w:rsidRDefault="004967FC" w:rsidP="004967FC">
      <w:pPr>
        <w:jc w:val="both"/>
      </w:pPr>
      <w:r>
        <w:t>A carteira de fornecedores da organização contempla diversas áreas, tais como Comercial, Auditoria, Atuária, Tecnologia da Informação, Riscos, Recursos Humanos, Governança e Contabilidade, incluindo empresas de âmbito local e nacional. Antes da homologação formal, todos os fornecedores submetem-se a um processo rigoroso de avaliação, que avalia o cumprimento de normas ambientais e regulatórias, a regularidade socioambiental e o atendimento às obrigações trabalhistas e fiscais.</w:t>
      </w:r>
    </w:p>
    <w:p w14:paraId="63AACF21" w14:textId="30C7A470" w:rsidR="000C56C7" w:rsidRDefault="004967FC" w:rsidP="004967FC">
      <w:pPr>
        <w:jc w:val="both"/>
      </w:pPr>
      <w:r>
        <w:t>Dá-se preferência à formação de parcerias com entidades que adotem políticas sustentáveis e condutas responsáveis.</w:t>
      </w:r>
    </w:p>
    <w:p w14:paraId="6366E928" w14:textId="77777777" w:rsidR="000C56C7" w:rsidRDefault="000C56C7" w:rsidP="00AC1D2D">
      <w:pPr>
        <w:jc w:val="both"/>
      </w:pPr>
    </w:p>
    <w:p w14:paraId="283F206A" w14:textId="77777777" w:rsidR="004967FC" w:rsidRDefault="004967FC" w:rsidP="00AC1D2D">
      <w:pPr>
        <w:jc w:val="both"/>
      </w:pPr>
    </w:p>
    <w:p w14:paraId="48A0622C" w14:textId="202351A9" w:rsidR="004967FC" w:rsidRPr="00B717C8" w:rsidRDefault="00B717C8" w:rsidP="004B67C6">
      <w:pPr>
        <w:pStyle w:val="Ttulo1"/>
        <w:rPr>
          <w:rFonts w:ascii="Amasis MT Pro Medium" w:hAnsi="Amasis MT Pro Medium"/>
          <w:b/>
          <w:bCs/>
          <w:color w:val="00DD73" w:themeColor="accent6"/>
          <w:lang w:bidi="pt-PT"/>
        </w:rPr>
      </w:pPr>
      <w:bookmarkStart w:id="11" w:name="_Toc227880760"/>
      <w:r>
        <w:rPr>
          <w:rFonts w:ascii="Amasis MT Pro Medium" w:hAnsi="Amasis MT Pro Medium"/>
          <w:b/>
          <w:bCs/>
          <w:color w:val="00DD73" w:themeColor="accent6"/>
          <w:lang w:bidi="pt-PT"/>
        </w:rPr>
        <w:lastRenderedPageBreak/>
        <w:t>Tabelas de Sustentabilidade</w:t>
      </w:r>
      <w:bookmarkEnd w:id="11"/>
    </w:p>
    <w:tbl>
      <w:tblPr>
        <w:tblStyle w:val="TabeladeGrade4-nfase6"/>
        <w:tblW w:w="9209" w:type="dxa"/>
        <w:tblLook w:val="04A0" w:firstRow="1" w:lastRow="0" w:firstColumn="1" w:lastColumn="0" w:noHBand="0" w:noVBand="1"/>
      </w:tblPr>
      <w:tblGrid>
        <w:gridCol w:w="2547"/>
        <w:gridCol w:w="6662"/>
      </w:tblGrid>
      <w:tr w:rsidR="00B717C8" w:rsidRPr="00B717C8" w14:paraId="5A69C266" w14:textId="77777777" w:rsidTr="00E4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4237F85" w14:textId="0A1835A9" w:rsidR="00B717C8" w:rsidRPr="00B717C8" w:rsidRDefault="00B717C8" w:rsidP="00AC1D2D">
            <w:pPr>
              <w:jc w:val="both"/>
            </w:pPr>
            <w:r>
              <w:t>Tabela GVR</w:t>
            </w:r>
          </w:p>
        </w:tc>
        <w:tc>
          <w:tcPr>
            <w:tcW w:w="6662" w:type="dxa"/>
          </w:tcPr>
          <w:p w14:paraId="70DFF292" w14:textId="2FF18850" w:rsidR="00B717C8" w:rsidRPr="00B717C8" w:rsidRDefault="00B717C8" w:rsidP="00AC1D2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Governança dos riscos de sustentabilidade</w:t>
            </w:r>
          </w:p>
        </w:tc>
      </w:tr>
      <w:tr w:rsidR="00B717C8" w14:paraId="163A15C7" w14:textId="77777777" w:rsidTr="00095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6FEF1"/>
          </w:tcPr>
          <w:p w14:paraId="2653AA88" w14:textId="2C509BE9" w:rsidR="00B717C8" w:rsidRDefault="00B717C8" w:rsidP="00B717C8">
            <w:pPr>
              <w:jc w:val="both"/>
            </w:pPr>
            <w:r>
              <w:t>Objetivo</w:t>
            </w:r>
          </w:p>
        </w:tc>
        <w:tc>
          <w:tcPr>
            <w:tcW w:w="6662" w:type="dxa"/>
            <w:shd w:val="clear" w:color="auto" w:fill="E6FEF1"/>
          </w:tcPr>
          <w:p w14:paraId="72C1F753" w14:textId="3750AADE" w:rsidR="00B717C8" w:rsidRPr="00E4540C" w:rsidRDefault="00B717C8" w:rsidP="00B717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Descrição da governança da gestão dos riscos de sustentabilidade</w:t>
            </w:r>
          </w:p>
        </w:tc>
      </w:tr>
      <w:tr w:rsidR="00B717C8" w14:paraId="6F9C5BDE" w14:textId="77777777" w:rsidTr="00E45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D62390D" w14:textId="63939958" w:rsidR="00B717C8" w:rsidRDefault="00B717C8" w:rsidP="00B717C8">
            <w:pPr>
              <w:jc w:val="both"/>
            </w:pPr>
            <w:r>
              <w:t>Conteúdo</w:t>
            </w:r>
          </w:p>
        </w:tc>
        <w:tc>
          <w:tcPr>
            <w:tcW w:w="6662" w:type="dxa"/>
          </w:tcPr>
          <w:p w14:paraId="4C3385AF" w14:textId="44FD606E" w:rsidR="00B717C8" w:rsidRPr="00E4540C" w:rsidRDefault="00B717C8" w:rsidP="00B717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Informações qualitativas</w:t>
            </w:r>
          </w:p>
        </w:tc>
      </w:tr>
      <w:tr w:rsidR="00B717C8" w14:paraId="76104A8D" w14:textId="77777777" w:rsidTr="00AD3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6FEF1"/>
          </w:tcPr>
          <w:p w14:paraId="5C7D56EC" w14:textId="37BB3CFF" w:rsidR="00B717C8" w:rsidRDefault="00B717C8" w:rsidP="00B717C8">
            <w:pPr>
              <w:jc w:val="both"/>
            </w:pPr>
            <w:r>
              <w:t>Frequência</w:t>
            </w:r>
          </w:p>
        </w:tc>
        <w:tc>
          <w:tcPr>
            <w:tcW w:w="6662" w:type="dxa"/>
            <w:shd w:val="clear" w:color="auto" w:fill="E6FEF1"/>
          </w:tcPr>
          <w:p w14:paraId="4F7C7E90" w14:textId="2C137632" w:rsidR="00B717C8" w:rsidRPr="00E4540C" w:rsidRDefault="00B717C8" w:rsidP="00B717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Anual</w:t>
            </w:r>
          </w:p>
        </w:tc>
      </w:tr>
      <w:tr w:rsidR="00B717C8" w14:paraId="778644DB" w14:textId="77777777" w:rsidTr="00E45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A09072B" w14:textId="77777777" w:rsidR="00B717C8" w:rsidRDefault="00B717C8" w:rsidP="00B717C8">
            <w:pPr>
              <w:jc w:val="both"/>
            </w:pPr>
          </w:p>
        </w:tc>
        <w:tc>
          <w:tcPr>
            <w:tcW w:w="6662" w:type="dxa"/>
          </w:tcPr>
          <w:p w14:paraId="7764F7E0" w14:textId="79218D6B" w:rsidR="00B717C8" w:rsidRPr="00E4540C" w:rsidRDefault="00B717C8" w:rsidP="00B717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Deve ser descrito o papel da diretoria, diretor responsável pelos controles internos e gestão de riscos no processo de governança dos riscos de sustentabilidade, conforme disposto na Circular Susep nº 666, de 27 de junho de 2022 e na Resolução CNSP 416 de 20 de julho de 2021.</w:t>
            </w:r>
          </w:p>
        </w:tc>
      </w:tr>
      <w:tr w:rsidR="00B717C8" w14:paraId="51EAF58D" w14:textId="77777777" w:rsidTr="00AD3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6FEF1"/>
          </w:tcPr>
          <w:p w14:paraId="750C88C1" w14:textId="54B87B49" w:rsidR="00B717C8" w:rsidRDefault="00B717C8" w:rsidP="00B717C8">
            <w:pPr>
              <w:jc w:val="both"/>
            </w:pPr>
            <w:r>
              <w:t>Detalhamento das Informações</w:t>
            </w:r>
          </w:p>
        </w:tc>
        <w:tc>
          <w:tcPr>
            <w:tcW w:w="6662" w:type="dxa"/>
            <w:shd w:val="clear" w:color="auto" w:fill="E6FEF1"/>
          </w:tcPr>
          <w:p w14:paraId="112B2CED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equipe de Governança, Gestão de Riscos, Controles Internos e Compliance atua como segunda linha de defesa. Compete a esse grupo monitorar e avaliar os riscos, propor aperfeiçoamentos nos processos e assegurar que a governança esteja em conformidade com a legislação, regulamentações e as melhores práticas do setor.</w:t>
            </w:r>
          </w:p>
          <w:p w14:paraId="406744E2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4CA6233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Por sua vez, a Diretoria Executiva acompanha de maneira próxima os riscos vinculados à sustentabilidade, avaliando tendências, potenciais impactos e eventos adversos que possam ocorrer. Essa supervisão contribui para decisões ágeis e eficientes, com o objetivo de mitigar riscos e aproveitar oportunidades.</w:t>
            </w:r>
          </w:p>
          <w:p w14:paraId="73261F08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BF9E75A" w14:textId="77777777" w:rsidR="00B717C8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 essa estrutura de governança, a BVIX assegura monitoramento contínuo, revisão e aprimoramento das estratégias de sustentabilidade. Dessa forma, a companhia busca crescer de maneira responsável e em consonância com as melhores práticas de mercado.</w:t>
            </w:r>
          </w:p>
          <w:p w14:paraId="2EA3A680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EA323DF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supervisão dos riscos de sustentabilidade na BVIX é realizada de maneira integrada pelo mais alto órgão de governança, composto pelos Diretores Executivos, com destaque para o Diretor responsável pelos Controles Internos. Complementarmente, existe uma equipe de governança formada pelas áreas de Gestão de Riscos, Controles Internos e Compliance, em conjunto com gestores executivos. Essa equipe desempenha papel essencial na análise e na tomada de decisões referentes à gestão dos riscos de sustentabilidade. Ela responde por acompanhar, debater e propor estratégias para identificar e mitigar riscos socioambientais, buscando, dessa forma, preservar o alinhamento com os objetivos estratégicos da companhia.</w:t>
            </w:r>
          </w:p>
          <w:p w14:paraId="03A415A1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CE75669" w14:textId="48DE7F74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Os membros da diretoria têm a incumbência de definir diretrizes estratégicas e aprovar as políticas de sustentabilidade. O diretor responsável pelos controles internos, por sua vez, assegura a implementação eficaz dessas políticas, supervisionando os processos internos. A equipe de Riscos é encarregada de operacionalizar medidas de mitigação, monitorar a evolução dessas questões e garantir conformidade com a legislação e com os valores institucionais. Além disso, o comitê realiza revisões periódicas para avaliar a eficácia das ações e propor aprimoramentos, mantendo postura responsável e coerente com os princípios de sustentabilidade.</w:t>
            </w:r>
          </w:p>
        </w:tc>
      </w:tr>
    </w:tbl>
    <w:p w14:paraId="5A9241DF" w14:textId="77777777" w:rsidR="00B717C8" w:rsidRDefault="00B717C8" w:rsidP="00AC1D2D">
      <w:pPr>
        <w:jc w:val="both"/>
      </w:pPr>
    </w:p>
    <w:tbl>
      <w:tblPr>
        <w:tblStyle w:val="TabeladeGrade4-nfase6"/>
        <w:tblW w:w="9209" w:type="dxa"/>
        <w:tblLook w:val="04A0" w:firstRow="1" w:lastRow="0" w:firstColumn="1" w:lastColumn="0" w:noHBand="0" w:noVBand="1"/>
      </w:tblPr>
      <w:tblGrid>
        <w:gridCol w:w="2547"/>
        <w:gridCol w:w="6662"/>
      </w:tblGrid>
      <w:tr w:rsidR="00E4540C" w14:paraId="3DF2045E" w14:textId="77777777" w:rsidTr="00E4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D1C3AF7" w14:textId="312CB937" w:rsidR="00E4540C" w:rsidRDefault="00E4540C" w:rsidP="00AC1D2D">
            <w:pPr>
              <w:jc w:val="both"/>
            </w:pPr>
            <w:r>
              <w:t>Tabela EST</w:t>
            </w:r>
          </w:p>
        </w:tc>
        <w:tc>
          <w:tcPr>
            <w:tcW w:w="6662" w:type="dxa"/>
          </w:tcPr>
          <w:p w14:paraId="3F0F02FA" w14:textId="7464A637" w:rsidR="00E4540C" w:rsidRDefault="00E4540C" w:rsidP="00AC1D2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Estratégias associadas aos riscos de sustentabilidade</w:t>
            </w:r>
          </w:p>
        </w:tc>
      </w:tr>
      <w:tr w:rsidR="00E4540C" w14:paraId="447C27DE" w14:textId="77777777" w:rsidTr="00AD3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6FEF1"/>
          </w:tcPr>
          <w:p w14:paraId="089E51EF" w14:textId="2C81F1F4" w:rsidR="00E4540C" w:rsidRDefault="00E4540C" w:rsidP="00AC1D2D">
            <w:pPr>
              <w:jc w:val="both"/>
            </w:pPr>
            <w:r>
              <w:t>Objetivo</w:t>
            </w:r>
          </w:p>
        </w:tc>
        <w:tc>
          <w:tcPr>
            <w:tcW w:w="6662" w:type="dxa"/>
            <w:shd w:val="clear" w:color="auto" w:fill="E6FEF1"/>
          </w:tcPr>
          <w:p w14:paraId="3CB9F1C0" w14:textId="6DF695E4" w:rsidR="00E4540C" w:rsidRPr="00E4540C" w:rsidRDefault="00E4540C" w:rsidP="00AC1D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Identificação e descrição dos impactos reais e potenciais dos riscos de sustentabilidade sobre os negócios, as estratégias e a gestão de riscos da instituição.</w:t>
            </w:r>
          </w:p>
        </w:tc>
      </w:tr>
      <w:tr w:rsidR="00E4540C" w14:paraId="341D55C7" w14:textId="77777777" w:rsidTr="00E45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A1256AC" w14:textId="24149DDD" w:rsidR="00E4540C" w:rsidRDefault="00E4540C" w:rsidP="00AC1D2D">
            <w:pPr>
              <w:jc w:val="both"/>
            </w:pPr>
            <w:r>
              <w:t>Conteúdo</w:t>
            </w:r>
          </w:p>
        </w:tc>
        <w:tc>
          <w:tcPr>
            <w:tcW w:w="6662" w:type="dxa"/>
          </w:tcPr>
          <w:p w14:paraId="5C93FB52" w14:textId="2DDBC3FB" w:rsidR="00E4540C" w:rsidRPr="00E4540C" w:rsidRDefault="00E4540C" w:rsidP="00AC1D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Informações qualitativas</w:t>
            </w:r>
          </w:p>
        </w:tc>
      </w:tr>
      <w:tr w:rsidR="00E4540C" w14:paraId="7485C942" w14:textId="77777777" w:rsidTr="00AD3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6FEF1"/>
          </w:tcPr>
          <w:p w14:paraId="647076BA" w14:textId="0F1E591B" w:rsidR="00E4540C" w:rsidRDefault="00E4540C" w:rsidP="00AC1D2D">
            <w:pPr>
              <w:jc w:val="both"/>
            </w:pPr>
            <w:r>
              <w:t>Frequência</w:t>
            </w:r>
          </w:p>
        </w:tc>
        <w:tc>
          <w:tcPr>
            <w:tcW w:w="6662" w:type="dxa"/>
            <w:shd w:val="clear" w:color="auto" w:fill="E6FEF1"/>
          </w:tcPr>
          <w:p w14:paraId="4987A9B1" w14:textId="04E24A6C" w:rsidR="00E4540C" w:rsidRPr="00E4540C" w:rsidRDefault="00E4540C" w:rsidP="00AC1D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Anual</w:t>
            </w:r>
          </w:p>
        </w:tc>
      </w:tr>
      <w:tr w:rsidR="00E4540C" w14:paraId="00E25055" w14:textId="77777777" w:rsidTr="00E45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B86E0A3" w14:textId="77777777" w:rsidR="00E4540C" w:rsidRDefault="00E4540C" w:rsidP="00AC1D2D">
            <w:pPr>
              <w:jc w:val="both"/>
            </w:pPr>
          </w:p>
        </w:tc>
        <w:tc>
          <w:tcPr>
            <w:tcW w:w="6662" w:type="dxa"/>
          </w:tcPr>
          <w:p w14:paraId="1064AA34" w14:textId="227567A8" w:rsidR="00E4540C" w:rsidRPr="00E4540C" w:rsidRDefault="00E4540C" w:rsidP="00AC1D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Devem ser descritos aspectos dos riscos de sustentabilidade com potenciais impactos nos negócios, nas estratégias e na gestão de riscos, conforme disposto na Circular nº 666, de 27 de junho de 2022</w:t>
            </w:r>
          </w:p>
        </w:tc>
      </w:tr>
      <w:tr w:rsidR="00E4540C" w14:paraId="50DAB41F" w14:textId="77777777" w:rsidTr="00AD3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6FEF1"/>
          </w:tcPr>
          <w:p w14:paraId="05306C47" w14:textId="529144F1" w:rsidR="00E4540C" w:rsidRDefault="00E4540C" w:rsidP="00AC1D2D">
            <w:pPr>
              <w:jc w:val="both"/>
            </w:pPr>
            <w:r>
              <w:t>Detalhamento das Informações</w:t>
            </w:r>
          </w:p>
        </w:tc>
        <w:tc>
          <w:tcPr>
            <w:tcW w:w="6662" w:type="dxa"/>
            <w:shd w:val="clear" w:color="auto" w:fill="E6FEF1"/>
          </w:tcPr>
          <w:p w14:paraId="5562AF85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(a) Identificação dos riscos de sustentabilidade capazes de ocasionar perdas relevantes em distintos horizontes temporais — curto, médio e longo prazo. Essa seção pode ser organizada em duas categorias:</w:t>
            </w:r>
          </w:p>
          <w:p w14:paraId="45F46CC3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CFD60D0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(i) riscos de natureza climática; e</w:t>
            </w:r>
          </w:p>
          <w:p w14:paraId="242FE309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(ii) demais riscos relacionados à sustentabilidade.</w:t>
            </w:r>
          </w:p>
          <w:p w14:paraId="5C258611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695240D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Como alternativa, a classificação pode contemplar três categorias:</w:t>
            </w:r>
          </w:p>
          <w:p w14:paraId="4294D373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280BC9D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(i) riscos climáticos;</w:t>
            </w:r>
          </w:p>
          <w:p w14:paraId="080B4AEF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(ii) riscos ambientais; e</w:t>
            </w:r>
          </w:p>
          <w:p w14:paraId="0A14BD90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(iii) riscos sociais.</w:t>
            </w:r>
          </w:p>
          <w:p w14:paraId="58B9052B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D0823E1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Também é fundamental explicitar os critérios temporais adotados para caracterizar cada horizonte de risco (curto, médio e longo prazo).</w:t>
            </w:r>
          </w:p>
          <w:p w14:paraId="4C553FBC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AA8B740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24A2995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1CAB569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15A4EA4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Esses dados devem constar de forma detalhada na tabela referida na alínea “d”, inciso II, do artigo 15.</w:t>
            </w:r>
          </w:p>
          <w:p w14:paraId="133F01EE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(b) Descrição da metodologia</w:t>
            </w:r>
          </w:p>
          <w:p w14:paraId="7339BEAE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empregada para avaliar a potencial ocorrência de perdas decorrentes dos riscos de sustentabilidade.</w:t>
            </w:r>
          </w:p>
          <w:p w14:paraId="09551466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FFC31D9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metodologia adotada pela BVIX para estimar a possibilidade de perdas relacionadas aos riscos de sustentabilidade apoia-se</w:t>
            </w:r>
          </w:p>
          <w:p w14:paraId="29110C6D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E168D17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em uma abordagem sistemática que abrange a identificação, a análise e o tratamento desses riscos. Esse procedimento é</w:t>
            </w:r>
          </w:p>
          <w:p w14:paraId="122F5684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32771E9" w14:textId="77777777" w:rsidR="00E4540C" w:rsidRDefault="00E4540C" w:rsidP="00E454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executado pela equipe de Governança composta pelas áreas de Gestão de Riscos, Controles Internos e Compliance, pela área de Subscrição e Precificação (responsável pelo monitoramento dos índices de sinistralidade) e pelos diretores executivos, que utilizam uma combinação de instrumentos qualitativos e quantitativos.</w:t>
            </w:r>
          </w:p>
          <w:p w14:paraId="2BFA08FC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(b) Descrição da metodologia empregada para avaliar a possibilidade de perdas decorrentes dos riscos de sustentabilidade.</w:t>
            </w:r>
          </w:p>
          <w:p w14:paraId="32378756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74FB547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metodologia adotada pela BVIX para estimar a probabilidade de perdas associadas aos riscos de sustentabilidade fundamenta-se em uma abordagem sistematizada que contempla a identificação, a análise e o tratamento dos riscos. Esse procedimento é executado pela equipe de Governança — composta por Gestão de Riscos, Controles Internos e Compliance — em conjunto com as áreas de Subscrição e Precificação (responsável pelo controle dos índices de sinistralidade) e os diretores-executivos, utilizando-se de ferramentas qualitativas e quantitativas combinadas.</w:t>
            </w:r>
          </w:p>
          <w:p w14:paraId="67EA1FC2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BD153CF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(c) Descrição das classificações dos riscos segundo sua probabilidade de ocorrência e impacto potencial, com uso de matriz de riscos para priorizar aqueles que demandam maior atenção</w:t>
            </w:r>
          </w:p>
          <w:p w14:paraId="4888E91E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763F139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Inicialmente, os riscos de sustentabilidade são mapeados com base em fatores internos e externos, considerando aspectos ambientais, sociais e de governança que possam afetar as operações, a reputação e os resultados financeiros da companhia.</w:t>
            </w:r>
          </w:p>
          <w:p w14:paraId="602A02EE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49BF909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0127CAD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6BF3B87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Adicionalmente, são conduzidas análises de cenários para mensurar as perdas financeiras potenciais vinculadas a esses riscos. O monitoramento contínuo e a revisão periódica da metodologia asseguram a atualização dos critérios adotados, possibilitando uma resposta ágil e eficiente diante de novos desafios e de alterações no ambiente regulatório ou operacional.</w:t>
            </w:r>
          </w:p>
          <w:p w14:paraId="315B866E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F410261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BVIX integra os impactos desses riscos em suas estratégias e na gestão, com foco na mitigação de efeitos adversos e na adaptação do negócio ao longo do tempo. A empresa emprega uma abordagem estruturada para avaliar os riscos, considerando horizontes temporais pertinentes e a magnitude de seus efeitos sobre as operações, a situação financeira e a conformidade regulatória.</w:t>
            </w:r>
          </w:p>
          <w:p w14:paraId="1C05039B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76805E9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Os riscos de curto prazo recebem monitoramento prioritário, por representarem potenciais impactos imediatos, como elevação da sinistralidade, aumento dos custos operacionais ou prejuízo à imagem institucional. Para mitigar esses riscos, a BVIX realiza ajustes rápidos na precificação, aprimora os processos de análise de sinistros e reforça as medidas de conformidade ambiental e sanitária.</w:t>
            </w:r>
          </w:p>
          <w:p w14:paraId="3CB782C1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71FE80C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Por sua vez, os riscos de médio prazo são incorporados ao planejamento estratégico, já que podem afetar a eficiência operacional e provocar custos crescentes. A companhia avalia esses elementos ao definir seu plano de crescimento, adotando iniciativas como diversificação de prestadores de serviços, otimização de processos e alinhamento às melhores práticas ambientais.</w:t>
            </w:r>
          </w:p>
          <w:p w14:paraId="4E160E91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F39B455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priorização dos riscos considera a severidade de seus impactos e a velocidade com que podem comprometer a continuidade e o desenvolvimento da empresa.</w:t>
            </w:r>
          </w:p>
          <w:p w14:paraId="23C7EAAF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7831231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BVIX estrutura sua estratégia com a finalidade de aumentar a resiliência frente às mudanças climáticas e à transição para uma economia mais sustentável e de baixa emissão de carbono.</w:t>
            </w:r>
          </w:p>
          <w:p w14:paraId="0A5DBABF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8D1D5CD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Nesse sentido, mantém uma postura adaptável, ajustando continuamente seus procedimentos de gestão de riscos para minimizar os efeitos de alterações climáticas e de disfunções operacionais.</w:t>
            </w:r>
          </w:p>
          <w:p w14:paraId="3503FDF4" w14:textId="77777777" w:rsidR="0028230A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DB69764" w14:textId="7532435E" w:rsidR="00E4540C" w:rsidRDefault="0028230A" w:rsidP="00282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A empresa também procura incorporar práticas compatíveis com os critérios ASG, promovendo maior eficiência e estímulo à inovação em suas atividades. Além disso, acompanha atentamente as alterações regulatórias e as dinâmicas de mercado, a fim de antecipar desafios e aproveitar oportunidades, garantindo uma posição sólida, sustentável e competitiva no longo prazo.</w:t>
            </w:r>
          </w:p>
        </w:tc>
      </w:tr>
    </w:tbl>
    <w:p w14:paraId="7C441A3B" w14:textId="77777777" w:rsidR="00E4540C" w:rsidRDefault="00E4540C" w:rsidP="00AC1D2D">
      <w:pPr>
        <w:jc w:val="both"/>
      </w:pPr>
    </w:p>
    <w:tbl>
      <w:tblPr>
        <w:tblStyle w:val="TabeladeGrade4-nfase6"/>
        <w:tblW w:w="9209" w:type="dxa"/>
        <w:tblLook w:val="04A0" w:firstRow="1" w:lastRow="0" w:firstColumn="1" w:lastColumn="0" w:noHBand="0" w:noVBand="1"/>
      </w:tblPr>
      <w:tblGrid>
        <w:gridCol w:w="2547"/>
        <w:gridCol w:w="6662"/>
      </w:tblGrid>
      <w:tr w:rsidR="001179EC" w:rsidRPr="001179EC" w14:paraId="30DA8016" w14:textId="77777777" w:rsidTr="001179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5BA93EA" w14:textId="52760FA2" w:rsidR="001179EC" w:rsidRPr="001179EC" w:rsidRDefault="001179EC" w:rsidP="001179EC">
            <w:pPr>
              <w:jc w:val="both"/>
            </w:pPr>
            <w:r>
              <w:t>Tabela GER</w:t>
            </w:r>
          </w:p>
        </w:tc>
        <w:tc>
          <w:tcPr>
            <w:tcW w:w="6662" w:type="dxa"/>
          </w:tcPr>
          <w:p w14:paraId="51C94149" w14:textId="16563A60" w:rsidR="001179EC" w:rsidRPr="001179EC" w:rsidRDefault="001179EC" w:rsidP="001179E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Estratégias associadas aos riscos de sustentabilidade</w:t>
            </w:r>
          </w:p>
        </w:tc>
      </w:tr>
      <w:tr w:rsidR="001179EC" w14:paraId="2C648350" w14:textId="77777777" w:rsidTr="00AD3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6FEF1"/>
          </w:tcPr>
          <w:p w14:paraId="49709B6A" w14:textId="5172A9C6" w:rsidR="001179EC" w:rsidRDefault="001179EC" w:rsidP="001179EC">
            <w:pPr>
              <w:jc w:val="both"/>
            </w:pPr>
            <w:r>
              <w:t>Objetivo</w:t>
            </w:r>
          </w:p>
        </w:tc>
        <w:tc>
          <w:tcPr>
            <w:tcW w:w="6662" w:type="dxa"/>
            <w:shd w:val="clear" w:color="auto" w:fill="E6FEF1"/>
          </w:tcPr>
          <w:p w14:paraId="00072008" w14:textId="053C453D" w:rsidR="001179EC" w:rsidRP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Descrição da forma pela qual são gerenciados os riscos de sustentabilidade</w:t>
            </w:r>
          </w:p>
        </w:tc>
      </w:tr>
      <w:tr w:rsidR="001179EC" w14:paraId="12B8BBAB" w14:textId="77777777" w:rsidTr="001179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70E5494" w14:textId="44B1A499" w:rsidR="001179EC" w:rsidRDefault="001179EC" w:rsidP="001179EC">
            <w:pPr>
              <w:jc w:val="both"/>
            </w:pPr>
            <w:r>
              <w:t>Conteúdo</w:t>
            </w:r>
          </w:p>
        </w:tc>
        <w:tc>
          <w:tcPr>
            <w:tcW w:w="6662" w:type="dxa"/>
          </w:tcPr>
          <w:p w14:paraId="6BCF81F0" w14:textId="5484ED7F" w:rsidR="001179EC" w:rsidRPr="001179EC" w:rsidRDefault="001179EC" w:rsidP="001179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Informações qualitativas</w:t>
            </w:r>
          </w:p>
        </w:tc>
      </w:tr>
      <w:tr w:rsidR="001179EC" w14:paraId="060A8889" w14:textId="77777777" w:rsidTr="00AD3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6FEF1"/>
          </w:tcPr>
          <w:p w14:paraId="54043CC0" w14:textId="7B7BDA70" w:rsidR="001179EC" w:rsidRDefault="001179EC" w:rsidP="001179EC">
            <w:pPr>
              <w:jc w:val="both"/>
            </w:pPr>
            <w:r>
              <w:t>Frequência</w:t>
            </w:r>
          </w:p>
        </w:tc>
        <w:tc>
          <w:tcPr>
            <w:tcW w:w="6662" w:type="dxa"/>
            <w:shd w:val="clear" w:color="auto" w:fill="E6FEF1"/>
          </w:tcPr>
          <w:p w14:paraId="419B8357" w14:textId="398C0639" w:rsidR="001179EC" w:rsidRP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Anual</w:t>
            </w:r>
          </w:p>
        </w:tc>
      </w:tr>
      <w:tr w:rsidR="001179EC" w14:paraId="540B95F2" w14:textId="77777777" w:rsidTr="001179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D24A0C5" w14:textId="77777777" w:rsidR="001179EC" w:rsidRDefault="001179EC" w:rsidP="001179EC">
            <w:pPr>
              <w:jc w:val="both"/>
            </w:pPr>
          </w:p>
        </w:tc>
        <w:tc>
          <w:tcPr>
            <w:tcW w:w="6662" w:type="dxa"/>
          </w:tcPr>
          <w:p w14:paraId="61389DD3" w14:textId="22939BD9" w:rsidR="001179EC" w:rsidRPr="001179EC" w:rsidRDefault="001179EC" w:rsidP="001179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Devem ser descritos os processos para identificação, avaliação, classificação, mensuração, tratamento, monitoramento e reporte dos riscos de sustentabilidade, conforme disposto na Circular nº 666, de 27 de junho de 2022 e Resolução CNSP nº 416, de 20 de julho de 2021.</w:t>
            </w:r>
          </w:p>
        </w:tc>
      </w:tr>
      <w:tr w:rsidR="001179EC" w14:paraId="1ECCBA6B" w14:textId="77777777" w:rsidTr="00AD3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6FEF1"/>
          </w:tcPr>
          <w:p w14:paraId="5B844D23" w14:textId="5D1B44BA" w:rsidR="001179EC" w:rsidRDefault="001179EC" w:rsidP="001179EC">
            <w:pPr>
              <w:jc w:val="both"/>
            </w:pPr>
            <w:r>
              <w:t>Detalhamento das Informações</w:t>
            </w:r>
          </w:p>
        </w:tc>
        <w:tc>
          <w:tcPr>
            <w:tcW w:w="6662" w:type="dxa"/>
            <w:shd w:val="clear" w:color="auto" w:fill="E6FEF1"/>
          </w:tcPr>
          <w:p w14:paraId="1BC4277E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Vamos abordar brevemente como identificamos, avaliamos, classificamos e mensuramos os riscos relacionados à sustentabilidade.</w:t>
            </w:r>
          </w:p>
          <w:p w14:paraId="4F2BCA37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DF977B8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 etapa inicial de identificação, examinamos fatores internos — como operações, produtos e serviços — e fatores externos, incluindo mercado, legislação e mudanças climáticas. Também levamos em consideração tendências globais e ouvimos colaboradores, parceiros e demais partes interessadas. Para tanto, realizamos avaliações detalhadas e comparações com organizações similares, com o objetivo de destacar os riscos mais relevantes.</w:t>
            </w:r>
          </w:p>
          <w:p w14:paraId="4672C295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B9FA7D2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Em seguida, na fase de avaliação e classificação, examinamos cada risco considerando sua probabilidade de ocorrência e o impacto potencial. Avaliamos dimensões financeiras, de reputação, regulatórias e operacionais. Utilizamos uma matriz para categorizar os riscos em níveis baixo, médio ou alto, permitindo priorizar aqueles que demandam maior atenção. Essa classificação é determinada pela liderança da área responsável, com base em sua avaliação técnica.</w:t>
            </w:r>
          </w:p>
          <w:p w14:paraId="76F5E705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2ACB2CF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Os riscos identificados como críticos ou de alta prioridade são objeto de análises mais aprofundadas, de natureza quantitativa e qualitativa. Essas análises nos possibilitam estimar potenciais perdas e ajustar controles e planos de ação para mitigar os impactos.</w:t>
            </w:r>
          </w:p>
          <w:p w14:paraId="4654A31D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802694D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Esse processo é dinâmico; revisamos periodicamente para assegurar sua eficácia. Além disso, realizamos monitoramento contínuo e adaptamos nossas estratégias conforme surgem novos dados ou mudanças no ambiente de negócios. Dessa forma, gerenciamos os riscos de sustentabilidade de maneira preventiva e consistente.</w:t>
            </w:r>
          </w:p>
          <w:p w14:paraId="4F8E79AD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7DEBF5C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coordenação da gestão dos riscos de sustentabilidade é responsabilidade da equipe de Governança, composta por Gestão de Riscos, Controles Internos e Compliance. O propósito desse processo é reduzir impactos adversos e garantir o cumprimento dos compromissos da organização em temas ambientais, sociais e de governança (ASG).</w:t>
            </w:r>
          </w:p>
          <w:p w14:paraId="275FFA46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8111EB5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Para o tratamento desses riscos, iniciamos pela identificação e classificação. Em seguida, elaboramos planos de ação para mitigar, transferir, aceitar ou eliminar os riscos, conforme sua severidade. Essas medidas podem envolver o fortalecimento de controles internos, elaboração de políticas específicas, capacitação de colaboradores e engajamento dos stakeholders. Os riscos mais críticos recebem atenção diferenciada, com ações intensificadas e acompanhamento direto do Comitê de Riscos.</w:t>
            </w:r>
          </w:p>
          <w:p w14:paraId="33D3BFF9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D789277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 monitoramento é permanente e realizado por meio de revisões periódicas que acompanham alterações nos ambientes interno e externo, possibilitando ajustes rápidos quando necessário.</w:t>
            </w:r>
          </w:p>
          <w:p w14:paraId="7597C55B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A7B2400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Os relatórios sobre riscos são submetidos à Diretoria Executiva e ao Diretor-Presidente (CEO), responsável pela supervisão dos controles internos. Essas apresentações trazem informações sobre o andamento dos riscos, resultados do monitoramento e a eficácia das ações implementadas. Informações relevantes também são compartilhadas com stakeholders externos, evidenciando o compromisso da BVIX com transparência e sustentabilidade.</w:t>
            </w:r>
          </w:p>
          <w:p w14:paraId="4120FC3A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97909F3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Esse procedimento assegura uma abordagem integrada e proativa para a identificação e gestão dos riscos de sustentabilidade, reforçando a governança da organização e seu alinhamento às melhores práticas ASG.</w:t>
            </w:r>
          </w:p>
          <w:p w14:paraId="237F70B1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B12FFBA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empresa adota mecanismos específicos para estabelecer limites relacionados a setores econômicos, regiões, produtos ou serviços mais suscetíveis a causar ou sofrer impactos na sustentabilidade.</w:t>
            </w:r>
          </w:p>
          <w:p w14:paraId="63563728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Inicialmente, são realizados estudos periódicos para identificar regiões e produtos com maior vulnerabilidade social, ambiental ou climática. Esses estudos consideram histórico, indicadores socioambientais e riscos climáticos.</w:t>
            </w:r>
          </w:p>
          <w:p w14:paraId="7D8EEFC4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F91242B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 base nessas informações, a organização define limites de exposição e diretrizes para evitar investimentos ou parcerias em setores ou áreas de alto risco. A finalidade é reduzir impactos negativos — ambientais ou sociais — proteger a reputação e mitigar potenciais prejuízos financeiros.</w:t>
            </w:r>
          </w:p>
          <w:p w14:paraId="2E256A1A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C64313F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Para assegurar o cumprimento dessas diretrizes, são utilizadas ferramentas de monitoramento e relatórios que acompanham a situação em tempo real. Caso sejam detectados desvios ou alterações nos riscos associados a determinado setor, região ou produto, a equipe avalia a necessidade de revisar os limites previamente estabelecidos.</w:t>
            </w:r>
          </w:p>
          <w:p w14:paraId="5AC23ADE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8592F96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Esses mecanismos auxiliam a BVIX na tomada de decisões estratégicas alinhadas à sustentabilidade, mantendo controle sobre os riscos e garantindo que as operações estejam em conformidade com seus compromissos ambientais e sociais.</w:t>
            </w:r>
          </w:p>
          <w:p w14:paraId="40837EA2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F9DF155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integração dos processos de identificação, avaliação, classificação, tratamento, monitoramento e reporte dos riscos de sustentabilidade à gestão dos demais riscos da empresa é essencial para uma abordagem abrangente. Esses processos integram a rotina da gestão de riscos da BVIX, junto aos riscos de subscrição, crédito, mercado, liquidez e operacional. A integração assegura que todas as áreas atuem de maneira coordenada, alinhadas aos objetivos estratégicos e às boas práticas de governança.</w:t>
            </w:r>
          </w:p>
          <w:p w14:paraId="3940139C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A3D1752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Ao identificar e avaliar riscos de sustentabilidade, fazemos isso de forma articulada com os demais riscos. A BVIX realiza análises que contemplam impactos financeiros, sociais e ambientais. Por exemplo, ao tratar riscos de subscrição, avaliamos critérios de sustentabilidade relacionados a produtos, clientes e regiões; no risco de crédito, verificamos a exposição a setores ou empresas com elevado impacto ambiental.</w:t>
            </w:r>
          </w:p>
          <w:p w14:paraId="44B481DA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4F44B4E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 classificação e o tratamento seguem uma lógica unificada. Os riscos de sustentabilidade são categorizados conforme sua criticidade e impacto potencial, utilizando a mesma matriz aplicada aos demais riscos. </w:t>
            </w:r>
          </w:p>
          <w:p w14:paraId="5BE65299" w14:textId="4A777C9C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As estratégias de enfrentamento consideram a interação com outros riscos; por exemplo, diante de possíveis alterações regulatórias ambientais que possam afetar o mercado, promovemos a diversificação do portfólio e avaliações contínuas de conformidade.</w:t>
            </w:r>
          </w:p>
          <w:p w14:paraId="2DFB9F95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925F577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 monitoramento e o reporte são centralizados e integrados. Todos os riscos, incluindo os de sustentabilidade, são acompanhados rotineiramente por meio do monitoramento de eventos relevantes. Os resultados são encaminhados à equipe de Riscos e às instâncias superiores de governança, permitindo uma visão consolidada e decisões fundamentadas em informações confiáveis. Ademais, o reporte dos riscos ambientais avalia impactos cruzados com outros riscos, como liquidez e operacionais, favorecendo ações coordenadas e ágeis.</w:t>
            </w:r>
          </w:p>
          <w:p w14:paraId="3046A402" w14:textId="77777777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D902AF3" w14:textId="210EA909" w:rsidR="001179EC" w:rsidRDefault="001179EC" w:rsidP="001179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Dessa forma, a BVIX incorpora os riscos de sustentabilidade aos seus processos corporativos, reforçando o compromisso com uma gestão responsável e sustentável. Assim, protegemos nossas operações e buscamos gerar valor de longo prazo para todas as partes interessadas.</w:t>
            </w:r>
          </w:p>
        </w:tc>
      </w:tr>
    </w:tbl>
    <w:p w14:paraId="0CAB956C" w14:textId="3B160123" w:rsidR="001179EC" w:rsidRDefault="001179EC" w:rsidP="00AC1D2D">
      <w:pPr>
        <w:jc w:val="both"/>
      </w:pPr>
    </w:p>
    <w:p w14:paraId="56366C43" w14:textId="77777777" w:rsidR="001179EC" w:rsidRDefault="001179EC">
      <w:r>
        <w:br w:type="page"/>
      </w:r>
    </w:p>
    <w:p w14:paraId="2E0619BC" w14:textId="6B39C9F0" w:rsidR="0028230A" w:rsidRDefault="004B67C6" w:rsidP="004B67C6">
      <w:pPr>
        <w:pStyle w:val="Ttulo1"/>
      </w:pPr>
      <w:bookmarkStart w:id="12" w:name="_Toc227880761"/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3D295F24" wp14:editId="08CA73A6">
            <wp:simplePos x="0" y="0"/>
            <wp:positionH relativeFrom="margin">
              <wp:posOffset>-737235</wp:posOffset>
            </wp:positionH>
            <wp:positionV relativeFrom="paragraph">
              <wp:posOffset>-414020</wp:posOffset>
            </wp:positionV>
            <wp:extent cx="6955155" cy="6524625"/>
            <wp:effectExtent l="0" t="0" r="0" b="9525"/>
            <wp:wrapNone/>
            <wp:docPr id="1788385228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masis MT Pro Medium" w:hAnsi="Amasis MT Pro Medium"/>
          <w:b/>
          <w:bCs/>
          <w:color w:val="00DD73" w:themeColor="accent6"/>
          <w:lang w:bidi="pt-PT"/>
        </w:rPr>
        <w:t>Mensagem Final</w:t>
      </w:r>
      <w:bookmarkEnd w:id="12"/>
    </w:p>
    <w:p w14:paraId="50AD691B" w14:textId="5C20A3D3" w:rsidR="001179EC" w:rsidRDefault="001179EC" w:rsidP="001179EC">
      <w:pPr>
        <w:jc w:val="both"/>
      </w:pPr>
      <w:r>
        <w:t>A BVIX reafirma seu compromisso de observar com rigor os normativos vigentes, reconhecendo que a conformidade é essencial à credibilidade e à continuidade de suas operações. Mais do que atender às obrigações legais, assumimos com dedicação o papel de agente transformador — incorporando a sustentabilidade como princípio estratégico, elemento da cultura organizacional e forma de atuação nas relações com a sociedade.</w:t>
      </w:r>
    </w:p>
    <w:p w14:paraId="2B68AC25" w14:textId="21D31408" w:rsidR="001179EC" w:rsidRDefault="001179EC" w:rsidP="001179EC">
      <w:pPr>
        <w:jc w:val="both"/>
      </w:pPr>
      <w:r>
        <w:t>Entendemos que a construção de um futuro sustentável depende de escolhas conscientes no presente. Por essa razão, atuamos para promover mudança de comportamento — internamente e externamente — envolvendo colaboradores, parceiros, comunidade e demais partes interessadas na busca por um modelo de desenvolvimento mais justo, responsável e resiliente.</w:t>
      </w:r>
    </w:p>
    <w:p w14:paraId="35F49496" w14:textId="76474935" w:rsidR="001179EC" w:rsidRDefault="001179EC" w:rsidP="001179EC">
      <w:pPr>
        <w:jc w:val="both"/>
      </w:pPr>
      <w:r>
        <w:t>Seguiremos em aprimoramento, orientados pelo propósito de gerar valor compartilhado e deixar um legado positivo para os negócios, para as pessoas e para o planeta.</w:t>
      </w:r>
    </w:p>
    <w:p w14:paraId="0FE7043A" w14:textId="0BC6DB23" w:rsidR="001179EC" w:rsidRDefault="001179EC" w:rsidP="00AC1D2D">
      <w:pPr>
        <w:jc w:val="both"/>
      </w:pPr>
    </w:p>
    <w:p w14:paraId="30233E34" w14:textId="7C0E3A34" w:rsidR="002F15A6" w:rsidRDefault="002F15A6" w:rsidP="00AC1D2D">
      <w:pPr>
        <w:jc w:val="both"/>
      </w:pPr>
    </w:p>
    <w:p w14:paraId="149D37AB" w14:textId="7FF51A62" w:rsidR="002F15A6" w:rsidRDefault="002F15A6" w:rsidP="00AC1D2D">
      <w:pPr>
        <w:jc w:val="both"/>
      </w:pPr>
    </w:p>
    <w:p w14:paraId="7497DC4B" w14:textId="7D012A61" w:rsidR="002F15A6" w:rsidRDefault="002F15A6" w:rsidP="00AC1D2D">
      <w:pPr>
        <w:jc w:val="both"/>
      </w:pPr>
    </w:p>
    <w:p w14:paraId="6CD536E0" w14:textId="05591279" w:rsidR="009651F7" w:rsidRDefault="009651F7" w:rsidP="00AC1D2D">
      <w:pPr>
        <w:jc w:val="both"/>
      </w:pPr>
    </w:p>
    <w:p w14:paraId="0B7FCB04" w14:textId="1493CE1F" w:rsidR="009651F7" w:rsidRDefault="009651F7" w:rsidP="00AC1D2D">
      <w:pPr>
        <w:jc w:val="both"/>
      </w:pPr>
    </w:p>
    <w:sectPr w:rsidR="009651F7" w:rsidSect="009C55B0"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BF12E" w14:textId="77777777" w:rsidR="00D913BC" w:rsidRDefault="00D913BC" w:rsidP="009C55B0">
      <w:pPr>
        <w:spacing w:after="0" w:line="240" w:lineRule="auto"/>
      </w:pPr>
      <w:r>
        <w:separator/>
      </w:r>
    </w:p>
  </w:endnote>
  <w:endnote w:type="continuationSeparator" w:id="0">
    <w:p w14:paraId="1F77EC77" w14:textId="77777777" w:rsidR="00D913BC" w:rsidRDefault="00D913BC" w:rsidP="009C5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0941158"/>
      <w:docPartObj>
        <w:docPartGallery w:val="Page Numbers (Bottom of Page)"/>
        <w:docPartUnique/>
      </w:docPartObj>
    </w:sdtPr>
    <w:sdtEndPr/>
    <w:sdtContent>
      <w:p w14:paraId="714F5336" w14:textId="0B714EA7" w:rsidR="009C55B0" w:rsidRDefault="00DF4BE4">
        <w:pPr>
          <w:pStyle w:val="Rodap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14E30DD3" wp14:editId="0971D12B">
              <wp:simplePos x="0" y="0"/>
              <wp:positionH relativeFrom="leftMargin">
                <wp:align>right</wp:align>
              </wp:positionH>
              <wp:positionV relativeFrom="paragraph">
                <wp:posOffset>-112396</wp:posOffset>
              </wp:positionV>
              <wp:extent cx="423545" cy="473031"/>
              <wp:effectExtent l="0" t="0" r="0" b="3810"/>
              <wp:wrapNone/>
              <wp:docPr id="2068285611" name="Imagem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3545" cy="47303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C55B0"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7983EB9" wp14:editId="7D27380C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455539718" name="Agrupar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660666209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5956285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AB39F1" w14:textId="77777777" w:rsidR="009C55B0" w:rsidRPr="009C55B0" w:rsidRDefault="009C55B0">
                                <w:pPr>
                                  <w:pStyle w:val="Rodap"/>
                                  <w:jc w:val="center"/>
                                  <w:rPr>
                                    <w:color w:val="00DD73" w:themeColor="accent6"/>
                                    <w:sz w:val="16"/>
                                    <w:szCs w:val="16"/>
                                  </w:rPr>
                                </w:pPr>
                                <w:r w:rsidRPr="009C55B0">
                                  <w:rPr>
                                    <w:color w:val="00DD73" w:themeColor="accent6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Pr="009C55B0">
                                  <w:rPr>
                                    <w:color w:val="00DD73" w:themeColor="accent6"/>
                                  </w:rPr>
                                  <w:instrText>PAGE    \* MERGEFORMAT</w:instrText>
                                </w:r>
                                <w:r w:rsidRPr="009C55B0">
                                  <w:rPr>
                                    <w:color w:val="00DD73" w:themeColor="accent6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Pr="009C55B0">
                                  <w:rPr>
                                    <w:color w:val="00DD73" w:themeColor="accent6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9C55B0">
                                  <w:rPr>
                                    <w:color w:val="00DD73" w:themeColor="accent6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7983EB9" id="Agrupar 8" o:spid="_x0000_s1035" style="position:absolute;margin-left:0;margin-top:0;width:34.4pt;height:56.45pt;z-index:25165926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6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" strokecolor="#7f7f7f"/>
                  <v:rect id="Rectangle 78" o:spid="_x0000_s1037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" strokecolor="#00a555 [2409]">
                    <v:textbox>
                      <w:txbxContent>
                        <w:p w14:paraId="26AB39F1" w14:textId="77777777" w:rsidR="009C55B0" w:rsidRPr="009C55B0" w:rsidRDefault="009C55B0">
                          <w:pPr>
                            <w:pStyle w:val="Rodap"/>
                            <w:jc w:val="center"/>
                            <w:rPr>
                              <w:color w:val="00DD73" w:themeColor="accent6"/>
                              <w:sz w:val="16"/>
                              <w:szCs w:val="16"/>
                            </w:rPr>
                          </w:pPr>
                          <w:r w:rsidRPr="009C55B0">
                            <w:rPr>
                              <w:color w:val="00DD73" w:themeColor="accent6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9C55B0">
                            <w:rPr>
                              <w:color w:val="00DD73" w:themeColor="accent6"/>
                            </w:rPr>
                            <w:instrText>PAGE    \* MERGEFORMAT</w:instrText>
                          </w:r>
                          <w:r w:rsidRPr="009C55B0">
                            <w:rPr>
                              <w:color w:val="00DD73" w:themeColor="accent6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9C55B0">
                            <w:rPr>
                              <w:color w:val="00DD73" w:themeColor="accent6"/>
                              <w:sz w:val="16"/>
                              <w:szCs w:val="16"/>
                            </w:rPr>
                            <w:t>2</w:t>
                          </w:r>
                          <w:r w:rsidRPr="009C55B0">
                            <w:rPr>
                              <w:color w:val="00DD73" w:themeColor="accent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2FD0A" w14:textId="77777777" w:rsidR="00D913BC" w:rsidRDefault="00D913BC" w:rsidP="009C55B0">
      <w:pPr>
        <w:spacing w:after="0" w:line="240" w:lineRule="auto"/>
      </w:pPr>
      <w:r>
        <w:separator/>
      </w:r>
    </w:p>
  </w:footnote>
  <w:footnote w:type="continuationSeparator" w:id="0">
    <w:p w14:paraId="0A5E2CDB" w14:textId="77777777" w:rsidR="00D913BC" w:rsidRDefault="00D913BC" w:rsidP="009C5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03B85"/>
    <w:multiLevelType w:val="hybridMultilevel"/>
    <w:tmpl w:val="92F8A2D4"/>
    <w:lvl w:ilvl="0" w:tplc="07A24A08">
      <w:start w:val="1"/>
      <w:numFmt w:val="bullet"/>
      <w:lvlText w:val="►"/>
      <w:lvlJc w:val="left"/>
      <w:pPr>
        <w:ind w:left="720" w:hanging="360"/>
      </w:pPr>
      <w:rPr>
        <w:rFonts w:ascii="Franklin Gothic Medium Cond" w:hAnsi="Franklin Gothic Medium Cond" w:hint="default"/>
        <w:color w:val="00DD73" w:themeColor="accent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45018"/>
    <w:multiLevelType w:val="hybridMultilevel"/>
    <w:tmpl w:val="EAECE50C"/>
    <w:lvl w:ilvl="0" w:tplc="D500F8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DD73" w:themeColor="accent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97929"/>
    <w:multiLevelType w:val="hybridMultilevel"/>
    <w:tmpl w:val="0A9AF5F8"/>
    <w:lvl w:ilvl="0" w:tplc="B0949BD2">
      <w:start w:val="1"/>
      <w:numFmt w:val="bullet"/>
      <w:lvlText w:val="►"/>
      <w:lvlJc w:val="left"/>
      <w:pPr>
        <w:ind w:left="720" w:hanging="360"/>
      </w:pPr>
      <w:rPr>
        <w:rFonts w:ascii="Franklin Gothic Medium Cond" w:hAnsi="Franklin Gothic Medium Cond" w:hint="default"/>
        <w:color w:val="51FFAB" w:themeColor="accent6" w:themeTint="99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615CF"/>
    <w:multiLevelType w:val="hybridMultilevel"/>
    <w:tmpl w:val="92BA8A1A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226574"/>
    <w:multiLevelType w:val="hybridMultilevel"/>
    <w:tmpl w:val="CCA46800"/>
    <w:lvl w:ilvl="0" w:tplc="D500F8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DD73" w:themeColor="accent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012AA9"/>
    <w:multiLevelType w:val="hybridMultilevel"/>
    <w:tmpl w:val="C436DC6C"/>
    <w:lvl w:ilvl="0" w:tplc="D500F8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DD73" w:themeColor="accent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0535502">
    <w:abstractNumId w:val="2"/>
  </w:num>
  <w:num w:numId="2" w16cid:durableId="215895032">
    <w:abstractNumId w:val="3"/>
  </w:num>
  <w:num w:numId="3" w16cid:durableId="1624573722">
    <w:abstractNumId w:val="0"/>
  </w:num>
  <w:num w:numId="4" w16cid:durableId="1972663558">
    <w:abstractNumId w:val="4"/>
  </w:num>
  <w:num w:numId="5" w16cid:durableId="488524633">
    <w:abstractNumId w:val="5"/>
  </w:num>
  <w:num w:numId="6" w16cid:durableId="1917322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82"/>
    <w:rsid w:val="00000E0A"/>
    <w:rsid w:val="000472A0"/>
    <w:rsid w:val="00095946"/>
    <w:rsid w:val="000C56C7"/>
    <w:rsid w:val="001179EC"/>
    <w:rsid w:val="001623B3"/>
    <w:rsid w:val="00194194"/>
    <w:rsid w:val="001B6B82"/>
    <w:rsid w:val="001B7CC6"/>
    <w:rsid w:val="001D6AF8"/>
    <w:rsid w:val="00223266"/>
    <w:rsid w:val="002422AD"/>
    <w:rsid w:val="002709C1"/>
    <w:rsid w:val="0028230A"/>
    <w:rsid w:val="002E4B30"/>
    <w:rsid w:val="002F15A6"/>
    <w:rsid w:val="003656D8"/>
    <w:rsid w:val="0041258A"/>
    <w:rsid w:val="00435A20"/>
    <w:rsid w:val="004967FC"/>
    <w:rsid w:val="004B67C6"/>
    <w:rsid w:val="00507125"/>
    <w:rsid w:val="005525F3"/>
    <w:rsid w:val="00571FBD"/>
    <w:rsid w:val="006131C2"/>
    <w:rsid w:val="0064230A"/>
    <w:rsid w:val="00711EFA"/>
    <w:rsid w:val="007915F9"/>
    <w:rsid w:val="00860D9C"/>
    <w:rsid w:val="00883DEB"/>
    <w:rsid w:val="008C4592"/>
    <w:rsid w:val="009651F7"/>
    <w:rsid w:val="009B6841"/>
    <w:rsid w:val="009C55B0"/>
    <w:rsid w:val="009F4D22"/>
    <w:rsid w:val="00A072FA"/>
    <w:rsid w:val="00AA454D"/>
    <w:rsid w:val="00AC1D2D"/>
    <w:rsid w:val="00AD38B1"/>
    <w:rsid w:val="00AE7D06"/>
    <w:rsid w:val="00B717C8"/>
    <w:rsid w:val="00B901FC"/>
    <w:rsid w:val="00C13662"/>
    <w:rsid w:val="00CA54CC"/>
    <w:rsid w:val="00D17DD7"/>
    <w:rsid w:val="00D86CCC"/>
    <w:rsid w:val="00D913BC"/>
    <w:rsid w:val="00DF110A"/>
    <w:rsid w:val="00DF4BE4"/>
    <w:rsid w:val="00DF798E"/>
    <w:rsid w:val="00E4540C"/>
    <w:rsid w:val="00E968DB"/>
    <w:rsid w:val="00EE2261"/>
    <w:rsid w:val="00F6679B"/>
    <w:rsid w:val="00F7049D"/>
    <w:rsid w:val="00FA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569684"/>
  <w15:chartTrackingRefBased/>
  <w15:docId w15:val="{9B3AADA1-4C14-44FC-B31D-1327923AE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B6B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53F79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6B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53F79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6B82"/>
    <w:pPr>
      <w:keepNext/>
      <w:keepLines/>
      <w:spacing w:before="160" w:after="80"/>
      <w:outlineLvl w:val="2"/>
    </w:pPr>
    <w:rPr>
      <w:rFonts w:eastAsiaTheme="majorEastAsia" w:cstheme="majorBidi"/>
      <w:color w:val="253F79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6B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53F79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6B82"/>
    <w:pPr>
      <w:keepNext/>
      <w:keepLines/>
      <w:spacing w:before="80" w:after="40"/>
      <w:outlineLvl w:val="4"/>
    </w:pPr>
    <w:rPr>
      <w:rFonts w:eastAsiaTheme="majorEastAsia" w:cstheme="majorBidi"/>
      <w:color w:val="253F79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B6B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6B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6B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6B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6B82"/>
    <w:rPr>
      <w:rFonts w:asciiTheme="majorHAnsi" w:eastAsiaTheme="majorEastAsia" w:hAnsiTheme="majorHAnsi" w:cstheme="majorBidi"/>
      <w:color w:val="253F79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6B82"/>
    <w:rPr>
      <w:rFonts w:asciiTheme="majorHAnsi" w:eastAsiaTheme="majorEastAsia" w:hAnsiTheme="majorHAnsi" w:cstheme="majorBidi"/>
      <w:color w:val="253F79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6B82"/>
    <w:rPr>
      <w:rFonts w:eastAsiaTheme="majorEastAsia" w:cstheme="majorBidi"/>
      <w:color w:val="253F79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6B82"/>
    <w:rPr>
      <w:rFonts w:eastAsiaTheme="majorEastAsia" w:cstheme="majorBidi"/>
      <w:i/>
      <w:iCs/>
      <w:color w:val="253F79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6B82"/>
    <w:rPr>
      <w:rFonts w:eastAsiaTheme="majorEastAsia" w:cstheme="majorBidi"/>
      <w:color w:val="253F79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B6B8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6B8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6B8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6B8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B6B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B6B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B6B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B6B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B6B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B6B8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B6B8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B6B82"/>
    <w:rPr>
      <w:i/>
      <w:iCs/>
      <w:color w:val="253F79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B6B82"/>
    <w:pPr>
      <w:pBdr>
        <w:top w:val="single" w:sz="4" w:space="10" w:color="253F79" w:themeColor="accent1" w:themeShade="BF"/>
        <w:bottom w:val="single" w:sz="4" w:space="10" w:color="253F79" w:themeColor="accent1" w:themeShade="BF"/>
      </w:pBdr>
      <w:spacing w:before="360" w:after="360"/>
      <w:ind w:left="864" w:right="864"/>
      <w:jc w:val="center"/>
    </w:pPr>
    <w:rPr>
      <w:i/>
      <w:iCs/>
      <w:color w:val="253F79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B6B82"/>
    <w:rPr>
      <w:i/>
      <w:iCs/>
      <w:color w:val="253F79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B6B82"/>
    <w:rPr>
      <w:b/>
      <w:bCs/>
      <w:smallCaps/>
      <w:color w:val="253F79" w:themeColor="accent1" w:themeShade="BF"/>
      <w:spacing w:val="5"/>
    </w:rPr>
  </w:style>
  <w:style w:type="paragraph" w:styleId="CabealhodoSumrio">
    <w:name w:val="TOC Heading"/>
    <w:basedOn w:val="Ttulo1"/>
    <w:next w:val="Normal"/>
    <w:uiPriority w:val="39"/>
    <w:unhideWhenUsed/>
    <w:qFormat/>
    <w:rsid w:val="009C55B0"/>
    <w:pPr>
      <w:spacing w:before="240" w:after="0" w:line="259" w:lineRule="auto"/>
      <w:outlineLvl w:val="9"/>
    </w:pPr>
    <w:rPr>
      <w:kern w:val="0"/>
      <w:sz w:val="32"/>
      <w:szCs w:val="32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9C5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55B0"/>
  </w:style>
  <w:style w:type="paragraph" w:styleId="Rodap">
    <w:name w:val="footer"/>
    <w:basedOn w:val="Normal"/>
    <w:link w:val="RodapChar"/>
    <w:uiPriority w:val="99"/>
    <w:unhideWhenUsed/>
    <w:rsid w:val="009C5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55B0"/>
  </w:style>
  <w:style w:type="table" w:styleId="Tabelacomgrade">
    <w:name w:val="Table Grid"/>
    <w:basedOn w:val="Tabelanormal"/>
    <w:uiPriority w:val="39"/>
    <w:rsid w:val="00435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autoRedefine/>
    <w:uiPriority w:val="39"/>
    <w:unhideWhenUsed/>
    <w:rsid w:val="00860D9C"/>
    <w:pPr>
      <w:spacing w:after="100"/>
    </w:pPr>
  </w:style>
  <w:style w:type="character" w:styleId="Hyperlink">
    <w:name w:val="Hyperlink"/>
    <w:basedOn w:val="Fontepargpadro"/>
    <w:uiPriority w:val="99"/>
    <w:unhideWhenUsed/>
    <w:rsid w:val="00860D9C"/>
    <w:rPr>
      <w:color w:val="F49100" w:themeColor="hyperlink"/>
      <w:u w:val="single"/>
    </w:rPr>
  </w:style>
  <w:style w:type="table" w:styleId="TabeladeGrade4-nfase6">
    <w:name w:val="Grid Table 4 Accent 6"/>
    <w:basedOn w:val="Tabelanormal"/>
    <w:uiPriority w:val="49"/>
    <w:rsid w:val="00B717C8"/>
    <w:pPr>
      <w:spacing w:after="0" w:line="240" w:lineRule="auto"/>
    </w:pPr>
    <w:tblPr>
      <w:tblStyleRowBandSize w:val="1"/>
      <w:tblStyleColBandSize w:val="1"/>
      <w:tblBorders>
        <w:top w:val="single" w:sz="4" w:space="0" w:color="51FFAB" w:themeColor="accent6" w:themeTint="99"/>
        <w:left w:val="single" w:sz="4" w:space="0" w:color="51FFAB" w:themeColor="accent6" w:themeTint="99"/>
        <w:bottom w:val="single" w:sz="4" w:space="0" w:color="51FFAB" w:themeColor="accent6" w:themeTint="99"/>
        <w:right w:val="single" w:sz="4" w:space="0" w:color="51FFAB" w:themeColor="accent6" w:themeTint="99"/>
        <w:insideH w:val="single" w:sz="4" w:space="0" w:color="51FFAB" w:themeColor="accent6" w:themeTint="99"/>
        <w:insideV w:val="single" w:sz="4" w:space="0" w:color="51FFA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DD73" w:themeColor="accent6"/>
          <w:left w:val="single" w:sz="4" w:space="0" w:color="00DD73" w:themeColor="accent6"/>
          <w:bottom w:val="single" w:sz="4" w:space="0" w:color="00DD73" w:themeColor="accent6"/>
          <w:right w:val="single" w:sz="4" w:space="0" w:color="00DD73" w:themeColor="accent6"/>
          <w:insideH w:val="nil"/>
          <w:insideV w:val="nil"/>
        </w:tcBorders>
        <w:shd w:val="clear" w:color="auto" w:fill="00DD73" w:themeFill="accent6"/>
      </w:tcPr>
    </w:tblStylePr>
    <w:tblStylePr w:type="lastRow">
      <w:rPr>
        <w:b/>
        <w:bCs/>
      </w:rPr>
      <w:tblPr/>
      <w:tcPr>
        <w:tcBorders>
          <w:top w:val="double" w:sz="4" w:space="0" w:color="00DD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FE3" w:themeFill="accent6" w:themeFillTint="33"/>
      </w:tcPr>
    </w:tblStylePr>
    <w:tblStylePr w:type="band1Horz">
      <w:tblPr/>
      <w:tcPr>
        <w:shd w:val="clear" w:color="auto" w:fill="C5FFE3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svg"/><Relationship Id="rId21" Type="http://schemas.openxmlformats.org/officeDocument/2006/relationships/image" Target="media/image14.sv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svg"/><Relationship Id="rId37" Type="http://schemas.openxmlformats.org/officeDocument/2006/relationships/image" Target="media/image30.svg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sv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sv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20" Type="http://schemas.openxmlformats.org/officeDocument/2006/relationships/image" Target="media/image13.png"/><Relationship Id="rId41" Type="http://schemas.openxmlformats.org/officeDocument/2006/relationships/image" Target="media/image34.sv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Azul">
      <a:dk1>
        <a:sysClr val="windowText" lastClr="000000"/>
      </a:dk1>
      <a:lt1>
        <a:sysClr val="window" lastClr="FFFFFF"/>
      </a:lt1>
      <a:dk2>
        <a:srgbClr val="1A3570"/>
      </a:dk2>
      <a:lt2>
        <a:srgbClr val="E0E8F5"/>
      </a:lt2>
      <a:accent1>
        <a:srgbClr val="3255A2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00DD73"/>
      </a:accent6>
      <a:hlink>
        <a:srgbClr val="F49100"/>
      </a:hlink>
      <a:folHlink>
        <a:srgbClr val="85DFD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1DD86-7739-459F-B142-9F0C0D113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5880</Words>
  <Characters>31754</Characters>
  <Application>Microsoft Office Word</Application>
  <DocSecurity>0</DocSecurity>
  <Lines>264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Rocha</dc:creator>
  <cp:keywords/>
  <dc:description/>
  <cp:lastModifiedBy>Pedro Ricardo de Souza Furtado</cp:lastModifiedBy>
  <cp:revision>2</cp:revision>
  <dcterms:created xsi:type="dcterms:W3CDTF">2026-06-02T19:09:00Z</dcterms:created>
  <dcterms:modified xsi:type="dcterms:W3CDTF">2026-06-02T19:09:00Z</dcterms:modified>
</cp:coreProperties>
</file>