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11/relationships/webextensiontaskpanes" Target="word/webextensions/taskpanes.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3146F431" w14:textId="7F8435CF" w:rsidR="0063727F" w:rsidRDefault="0063727F" w:rsidP="00A937C6">
      <w:pPr>
        <w:pStyle w:val="Subtitle"/>
        <w:spacing w:line="240" w:lineRule="auto"/>
        <w:rPr>
          <w:rFonts w:eastAsiaTheme="minorHAnsi" w:cstheme="minorBidi"/>
          <w:noProof w:val="0"/>
          <w:color w:val="221F1F"/>
          <w:spacing w:val="-4"/>
          <w:sz w:val="24"/>
          <w:szCs w:val="24"/>
        </w:rPr>
      </w:pPr>
    </w:p>
    <w:sdt>
      <w:sdtPr>
        <w:rPr>
          <w:rFonts w:eastAsiaTheme="minorHAnsi" w:cstheme="minorBidi"/>
          <w:noProof w:val="0"/>
          <w:color w:val="221F1F"/>
          <w:spacing w:val="-4"/>
          <w:sz w:val="24"/>
          <w:szCs w:val="24"/>
        </w:rPr>
        <w:id w:val="-1490010402"/>
        <w:docPartObj>
          <w:docPartGallery w:val="Cover Pages"/>
          <w:docPartUnique/>
        </w:docPartObj>
      </w:sdtPr>
      <w:sdtEndPr/>
      <w:sdtContent>
        <w:p w14:paraId="2F619305" w14:textId="77777777" w:rsidR="00582135" w:rsidRDefault="0063727F" w:rsidP="00A937C6">
          <w:pPr>
            <w:pStyle w:val="Subtitle"/>
            <w:spacing w:line="240" w:lineRule="auto"/>
            <w:rPr>
              <w:noProof w:val="0"/>
            </w:rPr>
          </w:pPr>
          <w:r w:rsidRPr="0063727F">
            <w:rPr>
              <w:rFonts w:eastAsiaTheme="minorHAnsi" w:cstheme="minorBidi"/>
              <w:color w:val="221F1F"/>
              <w:spacing w:val="-4"/>
              <w:sz w:val="24"/>
              <w:szCs w:val="24"/>
              <w:lang w:eastAsia="en-GB"/>
            </w:rPr>
            <mc:AlternateContent>
              <mc:Choice Requires="wps">
                <w:drawing>
                  <wp:anchor distT="45720" distB="45720" distL="114300" distR="114300" simplePos="0" relativeHeight="251741184" behindDoc="0" locked="0" layoutInCell="1" allowOverlap="1" wp14:anchorId="27653003" wp14:editId="459BE833">
                    <wp:simplePos x="0" y="0"/>
                    <wp:positionH relativeFrom="margin">
                      <wp:align>left</wp:align>
                    </wp:positionH>
                    <wp:positionV relativeFrom="paragraph">
                      <wp:posOffset>1654043</wp:posOffset>
                    </wp:positionV>
                    <wp:extent cx="6471920" cy="2077720"/>
                    <wp:effectExtent l="0" t="0" r="24130" b="17780"/>
                    <wp:wrapSquare wrapText="bothSides"/>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1920" cy="2077720"/>
                            </a:xfrm>
                            <a:prstGeom prst="rect">
                              <a:avLst/>
                            </a:prstGeom>
                            <a:solidFill>
                              <a:schemeClr val="bg1"/>
                            </a:solidFill>
                            <a:ln w="9525">
                              <a:solidFill>
                                <a:schemeClr val="bg1"/>
                              </a:solidFill>
                              <a:miter lim="800000"/>
                              <a:headEnd/>
                              <a:tailEnd/>
                            </a:ln>
                          </wps:spPr>
                          <wps:txbx>
                            <w:txbxContent>
                              <w:p w14:paraId="0F1EAE2E" w14:textId="77777777" w:rsidR="00286D1C" w:rsidRDefault="00286D1C" w:rsidP="001314D8">
                                <w:pPr>
                                  <w:pStyle w:val="Subtitle"/>
                                  <w:rPr>
                                    <w:rFonts w:ascii="Avenir Next" w:hAnsi="Avenir Next"/>
                                    <w:color w:val="221F1F"/>
                                    <w:spacing w:val="-10"/>
                                    <w:kern w:val="28"/>
                                    <w:sz w:val="56"/>
                                    <w:szCs w:val="56"/>
                                  </w:rPr>
                                </w:pPr>
                                <w:r w:rsidRPr="00BD209F">
                                  <w:rPr>
                                    <w:rFonts w:ascii="Avenir Next" w:hAnsi="Avenir Next"/>
                                    <w:color w:val="221F1F"/>
                                    <w:spacing w:val="-10"/>
                                    <w:kern w:val="28"/>
                                    <w:sz w:val="56"/>
                                    <w:szCs w:val="56"/>
                                  </w:rPr>
                                  <w:t xml:space="preserve">COLOURS </w:t>
                                </w:r>
                              </w:p>
                              <w:p w14:paraId="77BF356B" w14:textId="0C70D697" w:rsidR="00286D1C" w:rsidRPr="00BD209F" w:rsidRDefault="00286D1C" w:rsidP="00286D1C">
                                <w:pPr>
                                  <w:pStyle w:val="Subtitle"/>
                                  <w:rPr>
                                    <w:rFonts w:ascii="Avenir Next" w:hAnsi="Avenir Next"/>
                                    <w:color w:val="221F1F"/>
                                    <w:spacing w:val="-10"/>
                                    <w:kern w:val="28"/>
                                    <w:sz w:val="56"/>
                                    <w:szCs w:val="56"/>
                                  </w:rPr>
                                </w:pPr>
                                <w:r w:rsidRPr="00BD209F">
                                  <w:rPr>
                                    <w:rFonts w:ascii="Avenir Next" w:hAnsi="Avenir Next"/>
                                    <w:color w:val="221F1F"/>
                                    <w:spacing w:val="-10"/>
                                    <w:kern w:val="28"/>
                                    <w:sz w:val="56"/>
                                    <w:szCs w:val="56"/>
                                  </w:rPr>
                                  <w:t>E</w:t>
                                </w:r>
                                <w:r w:rsidR="00B74870">
                                  <w:rPr>
                                    <w:rFonts w:ascii="Avenir Next" w:hAnsi="Avenir Next"/>
                                    <w:color w:val="221F1F"/>
                                    <w:spacing w:val="-10"/>
                                    <w:kern w:val="28"/>
                                    <w:sz w:val="56"/>
                                    <w:szCs w:val="56"/>
                                  </w:rPr>
                                  <w:t xml:space="preserve">quality, </w:t>
                                </w:r>
                                <w:r w:rsidRPr="00BD209F">
                                  <w:rPr>
                                    <w:rFonts w:ascii="Avenir Next" w:hAnsi="Avenir Next"/>
                                    <w:color w:val="221F1F"/>
                                    <w:spacing w:val="-10"/>
                                    <w:kern w:val="28"/>
                                    <w:sz w:val="56"/>
                                    <w:szCs w:val="56"/>
                                  </w:rPr>
                                  <w:t>D</w:t>
                                </w:r>
                                <w:r w:rsidR="00B74870">
                                  <w:rPr>
                                    <w:rFonts w:ascii="Avenir Next" w:hAnsi="Avenir Next"/>
                                    <w:color w:val="221F1F"/>
                                    <w:spacing w:val="-10"/>
                                    <w:kern w:val="28"/>
                                    <w:sz w:val="56"/>
                                    <w:szCs w:val="56"/>
                                  </w:rPr>
                                  <w:t>iversity and Inclusion (EDI)</w:t>
                                </w:r>
                                <w:r w:rsidRPr="00BD209F">
                                  <w:rPr>
                                    <w:rFonts w:ascii="Avenir Next" w:hAnsi="Avenir Next"/>
                                    <w:color w:val="221F1F"/>
                                    <w:spacing w:val="-10"/>
                                    <w:kern w:val="28"/>
                                    <w:sz w:val="56"/>
                                    <w:szCs w:val="56"/>
                                  </w:rPr>
                                  <w:t xml:space="preserve"> </w:t>
                                </w:r>
                                <w:r w:rsidR="00B74870">
                                  <w:rPr>
                                    <w:rFonts w:ascii="Avenir Next" w:hAnsi="Avenir Next"/>
                                    <w:color w:val="221F1F"/>
                                    <w:spacing w:val="-10"/>
                                    <w:kern w:val="28"/>
                                    <w:sz w:val="56"/>
                                    <w:szCs w:val="56"/>
                                  </w:rPr>
                                  <w:br/>
                                </w:r>
                                <w:r>
                                  <w:rPr>
                                    <w:rFonts w:ascii="Avenir Next" w:hAnsi="Avenir Next"/>
                                    <w:color w:val="221F1F"/>
                                    <w:spacing w:val="-10"/>
                                    <w:kern w:val="28"/>
                                    <w:sz w:val="56"/>
                                    <w:szCs w:val="56"/>
                                  </w:rPr>
                                  <w:t>Policy Report</w:t>
                                </w:r>
                              </w:p>
                              <w:p w14:paraId="53C36740" w14:textId="77777777" w:rsidR="0063727F" w:rsidRPr="00DA2128" w:rsidRDefault="0063727F" w:rsidP="0063727F">
                                <w:pPr>
                                  <w:pStyle w:val="Subtitle"/>
                                  <w:spacing w:line="240" w:lineRule="auto"/>
                                  <w:rPr>
                                    <w:noProof w:val="0"/>
                                  </w:rPr>
                                </w:pPr>
                                <w:r w:rsidRPr="00DA2128">
                                  <w:rPr>
                                    <w:noProof w:val="0"/>
                                  </w:rPr>
                                  <w:t>DELIVERABLE 5.2</w:t>
                                </w:r>
                              </w:p>
                              <w:p w14:paraId="6D18255F" w14:textId="59736482" w:rsidR="0063727F" w:rsidRDefault="0063727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7653003" id="_x0000_t202" coordsize="21600,21600" o:spt="202" path="m,l,21600r21600,l21600,xe">
                    <v:stroke joinstyle="miter"/>
                    <v:path gradientshapeok="t" o:connecttype="rect"/>
                  </v:shapetype>
                  <v:shape id="Textruta 2" o:spid="_x0000_s1026" type="#_x0000_t202" style="position:absolute;margin-left:0;margin-top:130.25pt;width:509.6pt;height:163.6pt;z-index:2517411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" fillcolor="white [3212]" strokecolor="white [3212]">
                    <v:textbox>
                      <w:txbxContent>
                        <w:p w14:paraId="0F1EAE2E" w14:textId="77777777" w:rsidR="00286D1C" w:rsidRDefault="00286D1C" w:rsidP="001314D8">
                          <w:pPr>
                            <w:pStyle w:val="Underrubrik"/>
                            <w:rPr>
                              <w:rFonts w:ascii="Avenir Next" w:hAnsi="Avenir Next"/>
                              <w:color w:val="221F1F"/>
                              <w:spacing w:val="-10"/>
                              <w:kern w:val="28"/>
                              <w:sz w:val="56"/>
                              <w:szCs w:val="56"/>
                            </w:rPr>
                          </w:pPr>
                          <w:r w:rsidRPr="00BD209F">
                            <w:rPr>
                              <w:rFonts w:ascii="Avenir Next" w:hAnsi="Avenir Next"/>
                              <w:color w:val="221F1F"/>
                              <w:spacing w:val="-10"/>
                              <w:kern w:val="28"/>
                              <w:sz w:val="56"/>
                              <w:szCs w:val="56"/>
                            </w:rPr>
                            <w:t xml:space="preserve">COLOURS </w:t>
                          </w:r>
                        </w:p>
                        <w:p w14:paraId="77BF356B" w14:textId="0C70D697" w:rsidR="00286D1C" w:rsidRPr="00BD209F" w:rsidRDefault="00286D1C" w:rsidP="00286D1C">
                          <w:pPr>
                            <w:pStyle w:val="Underrubrik"/>
                            <w:rPr>
                              <w:rFonts w:ascii="Avenir Next" w:hAnsi="Avenir Next"/>
                              <w:color w:val="221F1F"/>
                              <w:spacing w:val="-10"/>
                              <w:kern w:val="28"/>
                              <w:sz w:val="56"/>
                              <w:szCs w:val="56"/>
                            </w:rPr>
                          </w:pPr>
                          <w:r w:rsidRPr="00BD209F">
                            <w:rPr>
                              <w:rFonts w:ascii="Avenir Next" w:hAnsi="Avenir Next"/>
                              <w:color w:val="221F1F"/>
                              <w:spacing w:val="-10"/>
                              <w:kern w:val="28"/>
                              <w:sz w:val="56"/>
                              <w:szCs w:val="56"/>
                            </w:rPr>
                            <w:t>E</w:t>
                          </w:r>
                          <w:r w:rsidR="00B74870">
                            <w:rPr>
                              <w:rFonts w:ascii="Avenir Next" w:hAnsi="Avenir Next"/>
                              <w:color w:val="221F1F"/>
                              <w:spacing w:val="-10"/>
                              <w:kern w:val="28"/>
                              <w:sz w:val="56"/>
                              <w:szCs w:val="56"/>
                            </w:rPr>
                            <w:t xml:space="preserve">quality, </w:t>
                          </w:r>
                          <w:r w:rsidRPr="00BD209F">
                            <w:rPr>
                              <w:rFonts w:ascii="Avenir Next" w:hAnsi="Avenir Next"/>
                              <w:color w:val="221F1F"/>
                              <w:spacing w:val="-10"/>
                              <w:kern w:val="28"/>
                              <w:sz w:val="56"/>
                              <w:szCs w:val="56"/>
                            </w:rPr>
                            <w:t>D</w:t>
                          </w:r>
                          <w:r w:rsidR="00B74870">
                            <w:rPr>
                              <w:rFonts w:ascii="Avenir Next" w:hAnsi="Avenir Next"/>
                              <w:color w:val="221F1F"/>
                              <w:spacing w:val="-10"/>
                              <w:kern w:val="28"/>
                              <w:sz w:val="56"/>
                              <w:szCs w:val="56"/>
                            </w:rPr>
                            <w:t>iversity and Inclusion (EDI)</w:t>
                          </w:r>
                          <w:r w:rsidRPr="00BD209F">
                            <w:rPr>
                              <w:rFonts w:ascii="Avenir Next" w:hAnsi="Avenir Next"/>
                              <w:color w:val="221F1F"/>
                              <w:spacing w:val="-10"/>
                              <w:kern w:val="28"/>
                              <w:sz w:val="56"/>
                              <w:szCs w:val="56"/>
                            </w:rPr>
                            <w:t xml:space="preserve"> </w:t>
                          </w:r>
                          <w:r w:rsidR="00B74870">
                            <w:rPr>
                              <w:rFonts w:ascii="Avenir Next" w:hAnsi="Avenir Next"/>
                              <w:color w:val="221F1F"/>
                              <w:spacing w:val="-10"/>
                              <w:kern w:val="28"/>
                              <w:sz w:val="56"/>
                              <w:szCs w:val="56"/>
                            </w:rPr>
                            <w:br/>
                          </w:r>
                          <w:r>
                            <w:rPr>
                              <w:rFonts w:ascii="Avenir Next" w:hAnsi="Avenir Next"/>
                              <w:color w:val="221F1F"/>
                              <w:spacing w:val="-10"/>
                              <w:kern w:val="28"/>
                              <w:sz w:val="56"/>
                              <w:szCs w:val="56"/>
                            </w:rPr>
                            <w:t>Policy Report</w:t>
                          </w:r>
                        </w:p>
                        <w:p w14:paraId="53C36740" w14:textId="77777777" w:rsidR="0063727F" w:rsidRPr="00DA2128" w:rsidRDefault="0063727F" w:rsidP="0063727F">
                          <w:pPr>
                            <w:pStyle w:val="Underrubrik"/>
                            <w:spacing w:line="240" w:lineRule="auto"/>
                            <w:rPr>
                              <w:noProof w:val="0"/>
                            </w:rPr>
                          </w:pPr>
                          <w:r w:rsidRPr="00DA2128">
                            <w:rPr>
                              <w:noProof w:val="0"/>
                            </w:rPr>
                            <w:t>DELIVERABLE 5.2</w:t>
                          </w:r>
                        </w:p>
                        <w:p w14:paraId="6D18255F" w14:textId="59736482" w:rsidR="0063727F" w:rsidRDefault="0063727F"/>
                      </w:txbxContent>
                    </v:textbox>
                    <w10:wrap type="square" anchorx="margin"/>
                  </v:shape>
                </w:pict>
              </mc:Fallback>
            </mc:AlternateContent>
          </w:r>
        </w:p>
        <w:p w14:paraId="5DB6814A" w14:textId="77777777" w:rsidR="00674374" w:rsidRDefault="00674374" w:rsidP="00674374"/>
        <w:p w14:paraId="11CC3AD4" w14:textId="77777777" w:rsidR="00674374" w:rsidRDefault="00674374" w:rsidP="00674374"/>
        <w:p w14:paraId="1CF4B669" w14:textId="77777777" w:rsidR="00674374" w:rsidRDefault="00674374" w:rsidP="00674374"/>
        <w:p w14:paraId="4AB54422" w14:textId="3D91692D" w:rsidR="00674374" w:rsidRPr="00674374" w:rsidRDefault="00674374" w:rsidP="00674374">
          <w:pPr>
            <w:sectPr w:rsidR="00674374" w:rsidRPr="00674374" w:rsidSect="00B606AC">
              <w:headerReference w:type="even" r:id="rId9"/>
              <w:headerReference w:type="default" r:id="rId10"/>
              <w:footerReference w:type="even" r:id="rId11"/>
              <w:footerReference w:type="default" r:id="rId12"/>
              <w:headerReference w:type="first" r:id="rId13"/>
              <w:footerReference w:type="first" r:id="rId14"/>
              <w:type w:val="continuous"/>
              <w:pgSz w:w="11909" w:h="16834" w:code="9"/>
              <w:pgMar w:top="1526" w:right="1440" w:bottom="1440" w:left="1440" w:header="1354" w:footer="720" w:gutter="0"/>
              <w:pgNumType w:start="0"/>
              <w:cols w:space="720"/>
              <w:titlePg/>
              <w:docGrid w:linePitch="360"/>
            </w:sectPr>
          </w:pPr>
        </w:p>
        <w:p w14:paraId="4E32EAE6" w14:textId="77777777" w:rsidR="0003637C" w:rsidRPr="00DA2128" w:rsidRDefault="0003637C" w:rsidP="00A937C6">
          <w:pPr>
            <w:pStyle w:val="1stpageheading"/>
            <w:rPr>
              <w:b/>
              <w:noProof w:val="0"/>
              <w:sz w:val="24"/>
              <w:szCs w:val="24"/>
            </w:rPr>
          </w:pPr>
        </w:p>
        <w:p w14:paraId="27262018" w14:textId="7F57FCE3" w:rsidR="00A47F18" w:rsidRPr="00BD209F" w:rsidRDefault="00A47F18" w:rsidP="00A47F18">
          <w:pPr>
            <w:spacing w:line="278" w:lineRule="auto"/>
            <w:rPr>
              <w:rFonts w:ascii="Avenir Next" w:eastAsiaTheme="majorEastAsia" w:hAnsi="Avenir Next"/>
              <w:noProof/>
              <w:color w:val="595959" w:themeColor="text1" w:themeTint="A6"/>
              <w:spacing w:val="15"/>
              <w:sz w:val="22"/>
              <w:szCs w:val="22"/>
            </w:rPr>
          </w:pPr>
          <w:r w:rsidRPr="00BD209F">
            <w:rPr>
              <w:rFonts w:ascii="Avenir Next" w:eastAsiaTheme="majorEastAsia" w:hAnsi="Avenir Next"/>
              <w:noProof/>
              <w:color w:val="595959" w:themeColor="text1" w:themeTint="A6"/>
              <w:spacing w:val="15"/>
              <w:sz w:val="22"/>
              <w:szCs w:val="22"/>
            </w:rPr>
            <w:t xml:space="preserve">This document is a COLOURS publication released on </w:t>
          </w:r>
          <w:r w:rsidRPr="00BD209F">
            <w:rPr>
              <w:rFonts w:ascii="Avenir Next" w:eastAsiaTheme="majorEastAsia" w:hAnsi="Avenir Next"/>
              <w:noProof/>
              <w:color w:val="000000" w:themeColor="text1"/>
              <w:spacing w:val="15"/>
              <w:sz w:val="22"/>
              <w:szCs w:val="22"/>
            </w:rPr>
            <w:t>30 June 2025</w:t>
          </w:r>
          <w:r w:rsidRPr="00BD209F">
            <w:rPr>
              <w:rFonts w:ascii="Avenir Next" w:eastAsiaTheme="majorEastAsia" w:hAnsi="Avenir Next"/>
              <w:noProof/>
              <w:color w:val="595959" w:themeColor="text1" w:themeTint="A6"/>
              <w:spacing w:val="15"/>
              <w:sz w:val="22"/>
              <w:szCs w:val="22"/>
            </w:rPr>
            <w:t>. It was developed as part of the COLOURS European University Alliance.</w:t>
          </w:r>
        </w:p>
        <w:p w14:paraId="1E1648FE" w14:textId="0E5A8F8D" w:rsidR="00A47F18" w:rsidRPr="00BD209F" w:rsidRDefault="00A47F18" w:rsidP="00A47F18">
          <w:pPr>
            <w:spacing w:line="278" w:lineRule="auto"/>
            <w:rPr>
              <w:rFonts w:ascii="Avenir Next" w:eastAsiaTheme="majorEastAsia" w:hAnsi="Avenir Next"/>
              <w:noProof/>
              <w:color w:val="595959" w:themeColor="text1" w:themeTint="A6"/>
              <w:spacing w:val="15"/>
              <w:sz w:val="22"/>
              <w:szCs w:val="22"/>
            </w:rPr>
          </w:pPr>
          <w:r w:rsidRPr="00BD209F">
            <w:rPr>
              <w:rFonts w:ascii="Avenir Next" w:eastAsiaTheme="majorEastAsia" w:hAnsi="Avenir Next"/>
              <w:noProof/>
              <w:color w:val="595959" w:themeColor="text1" w:themeTint="A6"/>
              <w:spacing w:val="15"/>
              <w:sz w:val="22"/>
              <w:szCs w:val="22"/>
            </w:rPr>
            <w:t>The COLOURS European University Alliance is co-funded by the European Union under grant number 101124491 — COLOURS — ERASMUS-EDU-2023-EUR-UNIV.</w:t>
          </w:r>
        </w:p>
        <w:p w14:paraId="53CACD09" w14:textId="63F496B9" w:rsidR="00A47F18" w:rsidRPr="00BD209F" w:rsidRDefault="00A47F18" w:rsidP="00A47F18">
          <w:pPr>
            <w:spacing w:line="278" w:lineRule="auto"/>
            <w:rPr>
              <w:rFonts w:ascii="Avenir Next" w:eastAsiaTheme="majorEastAsia" w:hAnsi="Avenir Next"/>
              <w:noProof/>
              <w:color w:val="595959" w:themeColor="text1" w:themeTint="A6"/>
              <w:spacing w:val="15"/>
              <w:sz w:val="22"/>
              <w:szCs w:val="22"/>
            </w:rPr>
          </w:pPr>
          <w:r w:rsidRPr="00BD209F">
            <w:rPr>
              <w:rFonts w:ascii="Avenir Next" w:eastAsiaTheme="majorEastAsia" w:hAnsi="Avenir Next"/>
              <w:noProof/>
              <w:color w:val="595959" w:themeColor="text1" w:themeTint="A6"/>
              <w:spacing w:val="15"/>
              <w:sz w:val="22"/>
              <w:szCs w:val="22"/>
            </w:rPr>
            <w:t>For any questions or comments regarding this publication, please contact:</w:t>
          </w:r>
        </w:p>
        <w:p w14:paraId="2628C3A3" w14:textId="77777777" w:rsidR="00A47F18" w:rsidRPr="00BD209F" w:rsidRDefault="00A47F18" w:rsidP="00A47F18">
          <w:pPr>
            <w:spacing w:line="278" w:lineRule="auto"/>
            <w:rPr>
              <w:rFonts w:ascii="Avenir Next" w:eastAsiaTheme="majorEastAsia" w:hAnsi="Avenir Next"/>
              <w:noProof/>
              <w:color w:val="595959" w:themeColor="text1" w:themeTint="A6"/>
              <w:spacing w:val="15"/>
              <w:sz w:val="22"/>
              <w:szCs w:val="22"/>
            </w:rPr>
          </w:pPr>
          <w:r w:rsidRPr="00BD209F">
            <w:rPr>
              <w:rFonts w:ascii="Avenir Next" w:eastAsiaTheme="majorEastAsia" w:hAnsi="Avenir Next"/>
              <w:noProof/>
              <w:color w:val="595959" w:themeColor="text1" w:themeTint="A6"/>
              <w:spacing w:val="15"/>
              <w:sz w:val="22"/>
              <w:szCs w:val="22"/>
            </w:rPr>
            <w:t>COLOURS Work package</w:t>
          </w:r>
          <w:r w:rsidRPr="00BD209F">
            <w:rPr>
              <w:rFonts w:ascii="Avenir Next" w:eastAsiaTheme="majorEastAsia" w:hAnsi="Avenir Next"/>
              <w:noProof/>
              <w:color w:val="000000" w:themeColor="text1"/>
              <w:spacing w:val="15"/>
              <w:sz w:val="22"/>
              <w:szCs w:val="22"/>
            </w:rPr>
            <w:t xml:space="preserve"> 5</w:t>
          </w:r>
        </w:p>
        <w:p w14:paraId="04E6173D" w14:textId="39471DB6" w:rsidR="00A47F18" w:rsidRPr="00BD209F" w:rsidRDefault="00A47F18" w:rsidP="00A47F18">
          <w:pPr>
            <w:spacing w:line="278" w:lineRule="auto"/>
            <w:rPr>
              <w:rFonts w:ascii="Avenir Next" w:eastAsiaTheme="majorEastAsia" w:hAnsi="Avenir Next"/>
              <w:noProof/>
              <w:color w:val="595959" w:themeColor="text1" w:themeTint="A6"/>
              <w:spacing w:val="15"/>
              <w:sz w:val="22"/>
              <w:szCs w:val="22"/>
            </w:rPr>
          </w:pPr>
        </w:p>
        <w:p w14:paraId="0A163C88" w14:textId="77777777" w:rsidR="00A47F18" w:rsidRPr="00BD209F" w:rsidRDefault="00A47F18" w:rsidP="00A47F18">
          <w:pPr>
            <w:spacing w:line="278" w:lineRule="auto"/>
            <w:rPr>
              <w:rFonts w:ascii="Avenir Next" w:eastAsiaTheme="majorEastAsia" w:hAnsi="Avenir Next"/>
              <w:noProof/>
              <w:color w:val="000000" w:themeColor="text1"/>
              <w:spacing w:val="15"/>
              <w:sz w:val="22"/>
              <w:szCs w:val="22"/>
            </w:rPr>
          </w:pPr>
          <w:r w:rsidRPr="00BD209F">
            <w:rPr>
              <w:rFonts w:ascii="Avenir Next" w:eastAsiaTheme="majorEastAsia" w:hAnsi="Avenir Next"/>
              <w:noProof/>
              <w:color w:val="000000" w:themeColor="text1"/>
              <w:spacing w:val="15"/>
              <w:sz w:val="22"/>
              <w:szCs w:val="22"/>
            </w:rPr>
            <w:t xml:space="preserve">Professor Martin Persson </w:t>
          </w:r>
        </w:p>
        <w:p w14:paraId="121CD7D2" w14:textId="77777777" w:rsidR="00A47F18" w:rsidRPr="00BD209F" w:rsidRDefault="00A47F18" w:rsidP="00A47F18">
          <w:pPr>
            <w:spacing w:line="278" w:lineRule="auto"/>
            <w:rPr>
              <w:rFonts w:ascii="Avenir Next" w:eastAsiaTheme="majorEastAsia" w:hAnsi="Avenir Next"/>
              <w:noProof/>
              <w:color w:val="000000" w:themeColor="text1"/>
              <w:spacing w:val="15"/>
              <w:sz w:val="22"/>
              <w:szCs w:val="22"/>
              <w:lang w:val="sv-SE"/>
            </w:rPr>
          </w:pPr>
          <w:r w:rsidRPr="00BD209F">
            <w:rPr>
              <w:rFonts w:ascii="Avenir Next" w:eastAsiaTheme="majorEastAsia" w:hAnsi="Avenir Next"/>
              <w:noProof/>
              <w:color w:val="000000" w:themeColor="text1"/>
              <w:spacing w:val="15"/>
              <w:sz w:val="22"/>
              <w:szCs w:val="22"/>
              <w:lang w:val="sv-SE"/>
            </w:rPr>
            <w:t>Högskolan Kristianstad</w:t>
          </w:r>
        </w:p>
        <w:p w14:paraId="77903F6B" w14:textId="77777777" w:rsidR="00A47F18" w:rsidRPr="00BD209F" w:rsidRDefault="00A47F18" w:rsidP="00A47F18">
          <w:pPr>
            <w:spacing w:line="278" w:lineRule="auto"/>
            <w:rPr>
              <w:rFonts w:ascii="Avenir Next" w:eastAsiaTheme="majorEastAsia" w:hAnsi="Avenir Next"/>
              <w:noProof/>
              <w:color w:val="000000" w:themeColor="text1"/>
              <w:spacing w:val="15"/>
              <w:sz w:val="22"/>
              <w:szCs w:val="22"/>
              <w:lang w:val="sv-SE"/>
            </w:rPr>
          </w:pPr>
          <w:r w:rsidRPr="00BD209F">
            <w:rPr>
              <w:rFonts w:ascii="Avenir Next" w:eastAsiaTheme="majorEastAsia" w:hAnsi="Avenir Next"/>
              <w:noProof/>
              <w:color w:val="000000" w:themeColor="text1"/>
              <w:spacing w:val="15"/>
              <w:sz w:val="22"/>
              <w:szCs w:val="22"/>
              <w:lang w:val="sv-SE"/>
            </w:rPr>
            <w:t>Email: martin.j.persson@hkr.se</w:t>
          </w:r>
        </w:p>
        <w:p w14:paraId="3328D759" w14:textId="457E8F77" w:rsidR="0003637C" w:rsidRPr="00A47F18" w:rsidRDefault="00A1604A" w:rsidP="00A47F18">
          <w:pPr>
            <w:spacing w:line="240" w:lineRule="auto"/>
            <w:rPr>
              <w:sz w:val="40"/>
              <w:szCs w:val="40"/>
            </w:rPr>
          </w:pPr>
        </w:p>
      </w:sdtContent>
    </w:sdt>
    <w:p w14:paraId="572E6696" w14:textId="40DA306C" w:rsidR="0003637C" w:rsidRPr="00DA2128" w:rsidRDefault="00F72179" w:rsidP="00A937C6">
      <w:pPr>
        <w:spacing w:after="0" w:line="240" w:lineRule="auto"/>
        <w:rPr>
          <w:rFonts w:eastAsiaTheme="majorEastAsia" w:cs="Times New Roman"/>
          <w:color w:val="595959" w:themeColor="text1" w:themeTint="A6"/>
          <w:spacing w:val="15"/>
          <w:sz w:val="22"/>
          <w:szCs w:val="22"/>
        </w:rPr>
      </w:pPr>
      <w:r w:rsidRPr="00DA2128">
        <w:rPr>
          <w:rFonts w:eastAsiaTheme="majorEastAsia" w:cs="Times New Roman"/>
          <w:color w:val="595959" w:themeColor="text1" w:themeTint="A6"/>
          <w:spacing w:val="15"/>
          <w:sz w:val="22"/>
          <w:szCs w:val="22"/>
        </w:rPr>
        <w:t xml:space="preserve"> </w:t>
      </w:r>
    </w:p>
    <w:p w14:paraId="12812F97" w14:textId="53D2C966" w:rsidR="00F72179" w:rsidRPr="00DA2128" w:rsidRDefault="00F72179" w:rsidP="00A937C6">
      <w:pPr>
        <w:spacing w:after="0" w:line="240" w:lineRule="auto"/>
        <w:rPr>
          <w:rFonts w:eastAsiaTheme="majorEastAsia" w:cstheme="majorBidi"/>
          <w:color w:val="595959" w:themeColor="text1" w:themeTint="A6"/>
          <w:spacing w:val="15"/>
          <w:sz w:val="22"/>
          <w:szCs w:val="14"/>
        </w:rPr>
      </w:pPr>
      <w:r w:rsidRPr="00DA2128">
        <w:rPr>
          <w:rFonts w:eastAsiaTheme="majorEastAsia" w:cs="Times New Roman"/>
          <w:color w:val="595959" w:themeColor="text1" w:themeTint="A6"/>
          <w:spacing w:val="15"/>
          <w:sz w:val="22"/>
          <w:szCs w:val="22"/>
        </w:rPr>
        <w:br w:type="page"/>
      </w:r>
    </w:p>
    <w:p w14:paraId="31C57C3B" w14:textId="63DA0293" w:rsidR="00E91FDC" w:rsidRPr="00DA2128" w:rsidRDefault="00E91FDC" w:rsidP="00A937C6">
      <w:pPr>
        <w:pStyle w:val="Heading1"/>
        <w:spacing w:line="240" w:lineRule="auto"/>
      </w:pPr>
      <w:bookmarkStart w:id="0" w:name="_Toc211351784"/>
      <w:r w:rsidRPr="00DA2128">
        <w:lastRenderedPageBreak/>
        <w:t>Executive Summary</w:t>
      </w:r>
      <w:bookmarkEnd w:id="0"/>
    </w:p>
    <w:p w14:paraId="41665833" w14:textId="77777777" w:rsidR="00F20F0C" w:rsidRPr="00F20F0C" w:rsidRDefault="00F20F0C" w:rsidP="00F20F0C">
      <w:pPr>
        <w:spacing w:line="240" w:lineRule="auto"/>
        <w:rPr>
          <w:sz w:val="22"/>
          <w:szCs w:val="22"/>
        </w:rPr>
      </w:pPr>
      <w:r w:rsidRPr="00F20F0C">
        <w:rPr>
          <w:sz w:val="22"/>
          <w:szCs w:val="22"/>
        </w:rPr>
        <w:t>This report synthesises the findings of a comprehensive, multi-method investigation into how Equity, Diversity, and Inclusion (EDI) can be systematically advanced across the COLOURS European University Alliance. Drawing on institutional evidence reports, participatory Group Concept Mapping (GCM) with 348 staff members, and Imagine/IDEATE workshops involving 392 students across ten universities, the report provides a robust foundation for the formulation of the COLOURS Alliance EDI Policy.</w:t>
      </w:r>
    </w:p>
    <w:p w14:paraId="0E5281D5" w14:textId="77777777" w:rsidR="00F20F0C" w:rsidRPr="00F20F0C" w:rsidRDefault="00F20F0C" w:rsidP="00F20F0C">
      <w:pPr>
        <w:spacing w:line="240" w:lineRule="auto"/>
        <w:rPr>
          <w:sz w:val="22"/>
          <w:szCs w:val="22"/>
        </w:rPr>
      </w:pPr>
      <w:r w:rsidRPr="00F20F0C">
        <w:rPr>
          <w:sz w:val="22"/>
          <w:szCs w:val="22"/>
        </w:rPr>
        <w:t>The Imagine/IDEATE initiative, grounded in Applied Design Thinking, enabled students to articulate lived experiences of exclusion, identify structural and cultural barriers, and co-create innovative solutions. Through iterative, collaborative processes, students proposed a wide range of actions, including enhanced accessibility, experiential learning activities, digital tools to reduce barriers, and initiatives to foster empathy and intercultural dialogue. A consistent outcome across all institutions was the deepening of students’ understanding of equity, equality, and intersectionality—often representing their first substantial engagement with EDI concepts in higher education. The workshops demonstrated the transformative potential of human-centred, participatory learning in cultivating inclusive cultures and empowering students to drive institutional change.</w:t>
      </w:r>
    </w:p>
    <w:p w14:paraId="0E4B9209" w14:textId="77777777" w:rsidR="00F20F0C" w:rsidRPr="00F20F0C" w:rsidRDefault="00F20F0C" w:rsidP="00F20F0C">
      <w:pPr>
        <w:spacing w:line="240" w:lineRule="auto"/>
        <w:rPr>
          <w:sz w:val="22"/>
          <w:szCs w:val="22"/>
        </w:rPr>
      </w:pPr>
      <w:r w:rsidRPr="00F20F0C">
        <w:rPr>
          <w:sz w:val="22"/>
          <w:szCs w:val="22"/>
        </w:rPr>
        <w:t>The GCM process complemented these insights by capturing staff perspectives on institutional priorities for improving EDI. The analysis identified six thematic clusters, with “Providing Training and Education” consistently rated as both highly important and feasible across all nine universities. Staff emphasised the need for mandatory EDI training, inclusive teaching strategies, and awareness-raising measures embedded at all levels of academic and professional practice. Other clusters—such as inclusive leadership, decision-making, and cultural transformation—were recognised as critical but perceived as less feasible, signalling enduring structural challenges and the necessity of leadership commitment and resource allocation.</w:t>
      </w:r>
    </w:p>
    <w:p w14:paraId="0C6221C5" w14:textId="77777777" w:rsidR="00F20F0C" w:rsidRPr="00F20F0C" w:rsidRDefault="00F20F0C" w:rsidP="00F20F0C">
      <w:pPr>
        <w:spacing w:line="240" w:lineRule="auto"/>
        <w:rPr>
          <w:sz w:val="22"/>
          <w:szCs w:val="22"/>
        </w:rPr>
      </w:pPr>
      <w:r w:rsidRPr="00F20F0C">
        <w:rPr>
          <w:sz w:val="22"/>
          <w:szCs w:val="22"/>
        </w:rPr>
        <w:t xml:space="preserve">Taken together, the student- and staff-driven findings converge on a clear message: EDI must be embedded as a core strategic priority through pedagogical innovation, structural reform, and cultural change. </w:t>
      </w:r>
    </w:p>
    <w:p w14:paraId="1BF9DC9D" w14:textId="72D5BA89" w:rsidR="00F20F0C" w:rsidRPr="00F20F0C" w:rsidRDefault="00F20F0C" w:rsidP="00F20F0C">
      <w:pPr>
        <w:spacing w:line="240" w:lineRule="auto"/>
        <w:rPr>
          <w:sz w:val="22"/>
          <w:szCs w:val="22"/>
        </w:rPr>
      </w:pPr>
      <w:r w:rsidRPr="00F20F0C">
        <w:rPr>
          <w:sz w:val="22"/>
          <w:szCs w:val="22"/>
        </w:rPr>
        <w:t>The culmination of this work is the C</w:t>
      </w:r>
      <w:r w:rsidRPr="00F20F0C">
        <w:rPr>
          <w:i/>
          <w:iCs/>
          <w:sz w:val="22"/>
          <w:szCs w:val="22"/>
        </w:rPr>
        <w:t>OLOURS Alliance Equality, Diversity, and Inclusion (EDI) Policy,</w:t>
      </w:r>
      <w:r w:rsidRPr="00F20F0C">
        <w:rPr>
          <w:sz w:val="22"/>
          <w:szCs w:val="22"/>
        </w:rPr>
        <w:t xml:space="preserve"> which positions education on EDI as a central driver of cultural transformation. By aligning institutional practices with European frameworks and embedding equity as the foundation for diversity and inclusion, the policy provides a strategic framework for lasting change.</w:t>
      </w:r>
    </w:p>
    <w:p w14:paraId="5B912550" w14:textId="77777777" w:rsidR="00F20F0C" w:rsidRDefault="00F20F0C" w:rsidP="00F20F0C">
      <w:pPr>
        <w:spacing w:line="240" w:lineRule="auto"/>
        <w:rPr>
          <w:sz w:val="22"/>
          <w:szCs w:val="22"/>
        </w:rPr>
      </w:pPr>
      <w:r w:rsidRPr="00F20F0C">
        <w:rPr>
          <w:sz w:val="22"/>
          <w:szCs w:val="22"/>
        </w:rPr>
        <w:t>In conclusion, the COLOURS Alliance has established an evidence-informed, participatory roadmap for advancing EDI in higher education. The alliance-wide endorsement of the principle “Treat everyone with kindness and respect, valuing individuals for who they are”—the highest-rated statement across all nine universities—affirms a shared commitment to embed EDI at the heart of academic life and to foster inclusive excellence within and beyond the alliance.</w:t>
      </w:r>
    </w:p>
    <w:p w14:paraId="36D21F12" w14:textId="77777777" w:rsidR="00F20F0C" w:rsidRDefault="00F20F0C" w:rsidP="00F20F0C">
      <w:pPr>
        <w:spacing w:line="240" w:lineRule="auto"/>
        <w:rPr>
          <w:sz w:val="22"/>
          <w:szCs w:val="22"/>
        </w:rPr>
      </w:pPr>
    </w:p>
    <w:p w14:paraId="0B1EB126" w14:textId="77777777" w:rsidR="00F20F0C" w:rsidRDefault="00F20F0C" w:rsidP="00F20F0C">
      <w:pPr>
        <w:spacing w:line="240" w:lineRule="auto"/>
        <w:rPr>
          <w:sz w:val="22"/>
          <w:szCs w:val="22"/>
        </w:rPr>
      </w:pPr>
    </w:p>
    <w:p w14:paraId="1CAA3B6E" w14:textId="77777777" w:rsidR="00F20F0C" w:rsidRDefault="00F20F0C" w:rsidP="00F20F0C">
      <w:pPr>
        <w:spacing w:line="240" w:lineRule="auto"/>
        <w:rPr>
          <w:sz w:val="22"/>
          <w:szCs w:val="22"/>
        </w:rPr>
      </w:pPr>
    </w:p>
    <w:p w14:paraId="5B25531E" w14:textId="77777777" w:rsidR="00A1604A" w:rsidRDefault="00A1604A" w:rsidP="00F20F0C">
      <w:pPr>
        <w:spacing w:line="240" w:lineRule="auto"/>
        <w:rPr>
          <w:sz w:val="22"/>
          <w:szCs w:val="22"/>
        </w:rPr>
      </w:pPr>
    </w:p>
    <w:p w14:paraId="41F283EF" w14:textId="77777777" w:rsidR="00A1604A" w:rsidRPr="00F20F0C" w:rsidRDefault="00A1604A" w:rsidP="00F20F0C">
      <w:pPr>
        <w:spacing w:line="240" w:lineRule="auto"/>
        <w:rPr>
          <w:sz w:val="22"/>
          <w:szCs w:val="22"/>
        </w:rPr>
      </w:pPr>
      <w:bookmarkStart w:id="1" w:name="_GoBack"/>
      <w:bookmarkEnd w:id="1"/>
    </w:p>
    <w:p w14:paraId="4B0CC4D5" w14:textId="3CE295A6" w:rsidR="002C5B10" w:rsidRPr="00DA2128" w:rsidRDefault="002E6B3B" w:rsidP="00A937C6">
      <w:pPr>
        <w:pStyle w:val="Heading1"/>
        <w:spacing w:line="240" w:lineRule="auto"/>
      </w:pPr>
      <w:bookmarkStart w:id="2" w:name="_Toc211351785"/>
      <w:r w:rsidRPr="00DA2128">
        <w:lastRenderedPageBreak/>
        <w:t xml:space="preserve">Deliverable </w:t>
      </w:r>
      <w:r w:rsidR="00550127" w:rsidRPr="00DA2128">
        <w:t>D</w:t>
      </w:r>
      <w:r w:rsidRPr="00DA2128">
        <w:t>ata</w:t>
      </w:r>
      <w:bookmarkEnd w:id="2"/>
    </w:p>
    <w:p w14:paraId="02325B1A" w14:textId="59C93928" w:rsidR="006A56BF" w:rsidRPr="00DA2128" w:rsidRDefault="006A56BF" w:rsidP="00A937C6">
      <w:pPr>
        <w:pStyle w:val="Heading2"/>
        <w:spacing w:line="240" w:lineRule="auto"/>
      </w:pPr>
    </w:p>
    <w:tbl>
      <w:tblPr>
        <w:tblStyle w:val="Style1"/>
        <w:tblW w:w="9446" w:type="dxa"/>
        <w:tblLook w:val="0480" w:firstRow="0" w:lastRow="0" w:firstColumn="1" w:lastColumn="0" w:noHBand="0" w:noVBand="1"/>
      </w:tblPr>
      <w:tblGrid>
        <w:gridCol w:w="3685"/>
        <w:gridCol w:w="5761"/>
      </w:tblGrid>
      <w:tr w:rsidR="0085694E" w:rsidRPr="00DA2128" w14:paraId="068A3148" w14:textId="77777777" w:rsidTr="005E0EB7">
        <w:trPr>
          <w:cnfStyle w:val="000000100000" w:firstRow="0" w:lastRow="0" w:firstColumn="0" w:lastColumn="0" w:oddVBand="0" w:evenVBand="0" w:oddHBand="1" w:evenHBand="0" w:firstRowFirstColumn="0" w:firstRowLastColumn="0" w:lastRowFirstColumn="0" w:lastRowLastColumn="0"/>
          <w:trHeight w:val="634"/>
        </w:trPr>
        <w:tc>
          <w:tcPr>
            <w:tcW w:w="3685" w:type="dxa"/>
          </w:tcPr>
          <w:p w14:paraId="1C3ED5AA" w14:textId="0663BEC9" w:rsidR="0085694E" w:rsidRPr="00DA2128" w:rsidRDefault="00767A21" w:rsidP="00A937C6">
            <w:pPr>
              <w:pStyle w:val="Heading3"/>
              <w:spacing w:beforeLines="40" w:before="96" w:afterLines="40" w:after="96" w:line="240" w:lineRule="auto"/>
              <w:outlineLvl w:val="2"/>
              <w:rPr>
                <w:sz w:val="22"/>
                <w:szCs w:val="22"/>
              </w:rPr>
            </w:pPr>
            <w:r w:rsidRPr="00DA2128">
              <w:rPr>
                <w:sz w:val="22"/>
                <w:szCs w:val="22"/>
              </w:rPr>
              <w:t>Project Number</w:t>
            </w:r>
          </w:p>
        </w:tc>
        <w:tc>
          <w:tcPr>
            <w:tcW w:w="5761" w:type="dxa"/>
          </w:tcPr>
          <w:p w14:paraId="3197A23E" w14:textId="71C0F360" w:rsidR="0085694E" w:rsidRPr="00DA2128" w:rsidRDefault="00851FDE" w:rsidP="00A937C6">
            <w:pPr>
              <w:spacing w:beforeLines="40" w:before="96" w:afterLines="40" w:after="96" w:line="240" w:lineRule="auto"/>
              <w:rPr>
                <w:sz w:val="22"/>
                <w:szCs w:val="22"/>
              </w:rPr>
            </w:pPr>
            <w:r w:rsidRPr="00DA2128">
              <w:rPr>
                <w:sz w:val="22"/>
                <w:szCs w:val="22"/>
              </w:rPr>
              <w:t>101124491</w:t>
            </w:r>
          </w:p>
        </w:tc>
      </w:tr>
      <w:tr w:rsidR="00176BC1" w:rsidRPr="00DA2128" w14:paraId="23CCFD57" w14:textId="77777777" w:rsidTr="005E0EB7">
        <w:trPr>
          <w:cnfStyle w:val="000000010000" w:firstRow="0" w:lastRow="0" w:firstColumn="0" w:lastColumn="0" w:oddVBand="0" w:evenVBand="0" w:oddHBand="0" w:evenHBand="1" w:firstRowFirstColumn="0" w:firstRowLastColumn="0" w:lastRowFirstColumn="0" w:lastRowLastColumn="0"/>
          <w:trHeight w:val="634"/>
        </w:trPr>
        <w:tc>
          <w:tcPr>
            <w:tcW w:w="3685" w:type="dxa"/>
          </w:tcPr>
          <w:p w14:paraId="6E78EC35" w14:textId="1A0FEDB7" w:rsidR="00176BC1" w:rsidRPr="00DA2128" w:rsidRDefault="00176BC1" w:rsidP="00A937C6">
            <w:pPr>
              <w:pStyle w:val="Heading3"/>
              <w:spacing w:beforeLines="40" w:before="96" w:afterLines="40" w:after="96" w:line="240" w:lineRule="auto"/>
              <w:outlineLvl w:val="2"/>
              <w:rPr>
                <w:sz w:val="22"/>
                <w:szCs w:val="22"/>
              </w:rPr>
            </w:pPr>
            <w:r w:rsidRPr="00DA2128">
              <w:rPr>
                <w:sz w:val="22"/>
                <w:szCs w:val="22"/>
              </w:rPr>
              <w:t>Project Acronym</w:t>
            </w:r>
          </w:p>
        </w:tc>
        <w:tc>
          <w:tcPr>
            <w:tcW w:w="5761" w:type="dxa"/>
          </w:tcPr>
          <w:p w14:paraId="300AA79D" w14:textId="3748267D" w:rsidR="00176BC1" w:rsidRPr="00DA2128" w:rsidRDefault="00851FDE" w:rsidP="00A937C6">
            <w:pPr>
              <w:spacing w:beforeLines="40" w:before="96" w:afterLines="40" w:after="96" w:line="240" w:lineRule="auto"/>
              <w:rPr>
                <w:sz w:val="22"/>
                <w:szCs w:val="22"/>
              </w:rPr>
            </w:pPr>
            <w:r w:rsidRPr="00DA2128">
              <w:rPr>
                <w:sz w:val="22"/>
                <w:szCs w:val="22"/>
              </w:rPr>
              <w:t>COLOURS</w:t>
            </w:r>
          </w:p>
        </w:tc>
      </w:tr>
      <w:tr w:rsidR="00767A21" w:rsidRPr="00DA2128" w14:paraId="64EA5356" w14:textId="77777777" w:rsidTr="005E0EB7">
        <w:trPr>
          <w:cnfStyle w:val="000000100000" w:firstRow="0" w:lastRow="0" w:firstColumn="0" w:lastColumn="0" w:oddVBand="0" w:evenVBand="0" w:oddHBand="1" w:evenHBand="0" w:firstRowFirstColumn="0" w:firstRowLastColumn="0" w:lastRowFirstColumn="0" w:lastRowLastColumn="0"/>
          <w:trHeight w:val="634"/>
        </w:trPr>
        <w:tc>
          <w:tcPr>
            <w:tcW w:w="3685" w:type="dxa"/>
          </w:tcPr>
          <w:p w14:paraId="6E82D870" w14:textId="74E3E7D5" w:rsidR="00767A21" w:rsidRPr="00DA2128" w:rsidRDefault="00767A21" w:rsidP="00A937C6">
            <w:pPr>
              <w:spacing w:beforeLines="40" w:before="96" w:afterLines="40" w:after="96" w:line="240" w:lineRule="auto"/>
              <w:rPr>
                <w:rFonts w:ascii="AvenirNext LT Pro Regular" w:hAnsi="AvenirNext LT Pro Regular"/>
                <w:b/>
                <w:bCs/>
                <w:sz w:val="22"/>
                <w:szCs w:val="22"/>
              </w:rPr>
            </w:pPr>
            <w:r w:rsidRPr="00DA2128">
              <w:rPr>
                <w:rFonts w:ascii="AvenirNext LT Pro Regular" w:hAnsi="AvenirNext LT Pro Regular"/>
                <w:sz w:val="22"/>
                <w:szCs w:val="22"/>
              </w:rPr>
              <w:t>Document Title</w:t>
            </w:r>
          </w:p>
        </w:tc>
        <w:tc>
          <w:tcPr>
            <w:tcW w:w="5761" w:type="dxa"/>
          </w:tcPr>
          <w:p w14:paraId="2CB633B4" w14:textId="3189E38B" w:rsidR="00767A21" w:rsidRPr="00DA2128" w:rsidRDefault="00A47F18" w:rsidP="00A937C6">
            <w:pPr>
              <w:spacing w:beforeLines="40" w:before="96" w:afterLines="40" w:after="96" w:line="240" w:lineRule="auto"/>
              <w:rPr>
                <w:sz w:val="22"/>
                <w:szCs w:val="22"/>
              </w:rPr>
            </w:pPr>
            <w:r>
              <w:rPr>
                <w:sz w:val="22"/>
                <w:szCs w:val="22"/>
              </w:rPr>
              <w:t>EDI Policy Report</w:t>
            </w:r>
          </w:p>
        </w:tc>
      </w:tr>
      <w:tr w:rsidR="009B2A43" w:rsidRPr="00DA2128" w14:paraId="2A09149A" w14:textId="77777777" w:rsidTr="005E0EB7">
        <w:trPr>
          <w:cnfStyle w:val="000000010000" w:firstRow="0" w:lastRow="0" w:firstColumn="0" w:lastColumn="0" w:oddVBand="0" w:evenVBand="0" w:oddHBand="0" w:evenHBand="1" w:firstRowFirstColumn="0" w:firstRowLastColumn="0" w:lastRowFirstColumn="0" w:lastRowLastColumn="0"/>
          <w:trHeight w:val="634"/>
        </w:trPr>
        <w:tc>
          <w:tcPr>
            <w:tcW w:w="3685" w:type="dxa"/>
          </w:tcPr>
          <w:p w14:paraId="4E2D863C" w14:textId="7DA19665" w:rsidR="009B2A43" w:rsidRPr="00DA2128" w:rsidRDefault="009B2A43" w:rsidP="00A937C6">
            <w:pPr>
              <w:spacing w:beforeLines="40" w:before="96" w:afterLines="40" w:after="96" w:line="240" w:lineRule="auto"/>
              <w:rPr>
                <w:rFonts w:ascii="AvenirNext LT Pro Regular" w:hAnsi="AvenirNext LT Pro Regular"/>
                <w:sz w:val="22"/>
                <w:szCs w:val="22"/>
              </w:rPr>
            </w:pPr>
            <w:r w:rsidRPr="00DA2128">
              <w:rPr>
                <w:rFonts w:ascii="AvenirNext LT Pro Regular" w:hAnsi="AvenirNext LT Pro Regular"/>
                <w:sz w:val="22"/>
                <w:szCs w:val="22"/>
              </w:rPr>
              <w:t>Document Type</w:t>
            </w:r>
          </w:p>
        </w:tc>
        <w:tc>
          <w:tcPr>
            <w:tcW w:w="5761" w:type="dxa"/>
          </w:tcPr>
          <w:p w14:paraId="43839572" w14:textId="1A6438B2" w:rsidR="009B2A43" w:rsidRPr="00DA2128" w:rsidRDefault="00851FDE" w:rsidP="00A937C6">
            <w:pPr>
              <w:spacing w:beforeLines="40" w:before="96" w:afterLines="40" w:after="96" w:line="240" w:lineRule="auto"/>
              <w:rPr>
                <w:sz w:val="22"/>
                <w:szCs w:val="22"/>
              </w:rPr>
            </w:pPr>
            <w:r w:rsidRPr="00DA2128">
              <w:rPr>
                <w:sz w:val="22"/>
                <w:szCs w:val="22"/>
              </w:rPr>
              <w:t>Report</w:t>
            </w:r>
          </w:p>
        </w:tc>
      </w:tr>
      <w:tr w:rsidR="002C5B10" w:rsidRPr="00DA2128" w14:paraId="3787EFD2" w14:textId="77777777" w:rsidTr="005E0EB7">
        <w:trPr>
          <w:cnfStyle w:val="000000100000" w:firstRow="0" w:lastRow="0" w:firstColumn="0" w:lastColumn="0" w:oddVBand="0" w:evenVBand="0" w:oddHBand="1" w:evenHBand="0" w:firstRowFirstColumn="0" w:firstRowLastColumn="0" w:lastRowFirstColumn="0" w:lastRowLastColumn="0"/>
          <w:trHeight w:val="634"/>
        </w:trPr>
        <w:tc>
          <w:tcPr>
            <w:tcW w:w="3685" w:type="dxa"/>
          </w:tcPr>
          <w:p w14:paraId="68869201" w14:textId="5B93CEEE" w:rsidR="002C5B10" w:rsidRPr="00DA2128" w:rsidRDefault="002C5B10" w:rsidP="00A937C6">
            <w:pPr>
              <w:spacing w:beforeLines="40" w:before="96" w:afterLines="40" w:after="96" w:line="240" w:lineRule="auto"/>
              <w:rPr>
                <w:rFonts w:ascii="AvenirNext LT Pro Regular" w:hAnsi="AvenirNext LT Pro Regular"/>
                <w:sz w:val="22"/>
                <w:szCs w:val="22"/>
              </w:rPr>
            </w:pPr>
            <w:r w:rsidRPr="00DA2128">
              <w:rPr>
                <w:rFonts w:ascii="AvenirNext LT Pro Regular" w:hAnsi="AvenirNext LT Pro Regular"/>
                <w:sz w:val="22"/>
                <w:szCs w:val="22"/>
              </w:rPr>
              <w:t xml:space="preserve">Document </w:t>
            </w:r>
            <w:r w:rsidR="00550127" w:rsidRPr="00DA2128">
              <w:rPr>
                <w:rFonts w:ascii="AvenirNext LT Pro Regular" w:hAnsi="AvenirNext LT Pro Regular"/>
                <w:sz w:val="22"/>
                <w:szCs w:val="22"/>
              </w:rPr>
              <w:t>V</w:t>
            </w:r>
            <w:r w:rsidRPr="00DA2128">
              <w:rPr>
                <w:rFonts w:ascii="AvenirNext LT Pro Regular" w:hAnsi="AvenirNext LT Pro Regular"/>
                <w:sz w:val="22"/>
                <w:szCs w:val="22"/>
              </w:rPr>
              <w:t>ersion</w:t>
            </w:r>
          </w:p>
        </w:tc>
        <w:tc>
          <w:tcPr>
            <w:tcW w:w="5761" w:type="dxa"/>
          </w:tcPr>
          <w:p w14:paraId="0D9C12BF" w14:textId="11EB12C2" w:rsidR="002C5B10" w:rsidRPr="00DA2128" w:rsidRDefault="00A47F18" w:rsidP="00A937C6">
            <w:pPr>
              <w:spacing w:beforeLines="40" w:before="96" w:afterLines="40" w:after="96" w:line="240" w:lineRule="auto"/>
              <w:rPr>
                <w:sz w:val="22"/>
                <w:szCs w:val="22"/>
              </w:rPr>
            </w:pPr>
            <w:r>
              <w:rPr>
                <w:sz w:val="22"/>
                <w:szCs w:val="22"/>
              </w:rPr>
              <w:t>1</w:t>
            </w:r>
          </w:p>
        </w:tc>
      </w:tr>
      <w:tr w:rsidR="009B2A43" w:rsidRPr="00DA2128" w14:paraId="3F42F46B" w14:textId="77777777" w:rsidTr="005E0EB7">
        <w:trPr>
          <w:cnfStyle w:val="000000010000" w:firstRow="0" w:lastRow="0" w:firstColumn="0" w:lastColumn="0" w:oddVBand="0" w:evenVBand="0" w:oddHBand="0" w:evenHBand="1" w:firstRowFirstColumn="0" w:firstRowLastColumn="0" w:lastRowFirstColumn="0" w:lastRowLastColumn="0"/>
          <w:trHeight w:val="634"/>
        </w:trPr>
        <w:tc>
          <w:tcPr>
            <w:tcW w:w="3685" w:type="dxa"/>
          </w:tcPr>
          <w:p w14:paraId="47CEAD27" w14:textId="03651075" w:rsidR="009B2A43" w:rsidRPr="00DA2128" w:rsidRDefault="009B2A43" w:rsidP="00A937C6">
            <w:pPr>
              <w:spacing w:beforeLines="40" w:before="96" w:afterLines="40" w:after="96" w:line="240" w:lineRule="auto"/>
              <w:rPr>
                <w:rFonts w:ascii="AvenirNext LT Pro Regular" w:hAnsi="AvenirNext LT Pro Regular"/>
                <w:sz w:val="22"/>
                <w:szCs w:val="22"/>
              </w:rPr>
            </w:pPr>
            <w:r w:rsidRPr="00DA2128">
              <w:rPr>
                <w:rFonts w:ascii="AvenirNext LT Pro Regular" w:hAnsi="AvenirNext LT Pro Regular"/>
                <w:sz w:val="22"/>
                <w:szCs w:val="22"/>
              </w:rPr>
              <w:t>Due Date of Deliverable</w:t>
            </w:r>
          </w:p>
        </w:tc>
        <w:tc>
          <w:tcPr>
            <w:tcW w:w="5761" w:type="dxa"/>
          </w:tcPr>
          <w:p w14:paraId="5ED57DAB" w14:textId="13C27A9E" w:rsidR="009B2A43" w:rsidRPr="00DA2128" w:rsidRDefault="005F0037" w:rsidP="00A937C6">
            <w:pPr>
              <w:spacing w:beforeLines="40" w:before="96" w:afterLines="40" w:after="96" w:line="240" w:lineRule="auto"/>
              <w:rPr>
                <w:sz w:val="22"/>
                <w:szCs w:val="22"/>
              </w:rPr>
            </w:pPr>
            <w:r>
              <w:rPr>
                <w:sz w:val="22"/>
                <w:szCs w:val="22"/>
              </w:rPr>
              <w:t>15 December 2025</w:t>
            </w:r>
          </w:p>
        </w:tc>
      </w:tr>
      <w:tr w:rsidR="00767A21" w:rsidRPr="00DA2128" w14:paraId="485E7A71" w14:textId="77777777" w:rsidTr="005E0EB7">
        <w:trPr>
          <w:cnfStyle w:val="000000100000" w:firstRow="0" w:lastRow="0" w:firstColumn="0" w:lastColumn="0" w:oddVBand="0" w:evenVBand="0" w:oddHBand="1" w:evenHBand="0" w:firstRowFirstColumn="0" w:firstRowLastColumn="0" w:lastRowFirstColumn="0" w:lastRowLastColumn="0"/>
          <w:trHeight w:val="634"/>
        </w:trPr>
        <w:tc>
          <w:tcPr>
            <w:tcW w:w="3685" w:type="dxa"/>
          </w:tcPr>
          <w:p w14:paraId="7E915A70" w14:textId="0A11DAD2" w:rsidR="0085694E" w:rsidRPr="00DA2128" w:rsidRDefault="00767A21" w:rsidP="00A937C6">
            <w:pPr>
              <w:spacing w:beforeLines="40" w:before="96" w:afterLines="40" w:after="96" w:line="240" w:lineRule="auto"/>
              <w:rPr>
                <w:rFonts w:ascii="AvenirNext LT Pro Regular" w:hAnsi="AvenirNext LT Pro Regular"/>
                <w:b/>
                <w:bCs/>
                <w:sz w:val="22"/>
                <w:szCs w:val="22"/>
              </w:rPr>
            </w:pPr>
            <w:r w:rsidRPr="00DA2128">
              <w:rPr>
                <w:rFonts w:ascii="AvenirNext LT Pro Regular" w:hAnsi="AvenirNext LT Pro Regular"/>
                <w:sz w:val="22"/>
                <w:szCs w:val="22"/>
              </w:rPr>
              <w:t>Work Package (WP No)</w:t>
            </w:r>
          </w:p>
        </w:tc>
        <w:tc>
          <w:tcPr>
            <w:tcW w:w="5761" w:type="dxa"/>
          </w:tcPr>
          <w:p w14:paraId="29477F3D" w14:textId="26E6CD2D" w:rsidR="0085694E" w:rsidRPr="00DA2128" w:rsidRDefault="005F0037" w:rsidP="00A937C6">
            <w:pPr>
              <w:spacing w:beforeLines="40" w:before="96" w:afterLines="40" w:after="96" w:line="240" w:lineRule="auto"/>
              <w:rPr>
                <w:sz w:val="22"/>
                <w:szCs w:val="22"/>
              </w:rPr>
            </w:pPr>
            <w:r>
              <w:rPr>
                <w:sz w:val="22"/>
                <w:szCs w:val="22"/>
              </w:rPr>
              <w:t>5</w:t>
            </w:r>
          </w:p>
        </w:tc>
      </w:tr>
      <w:tr w:rsidR="00767A21" w:rsidRPr="00DA2128" w14:paraId="6E023F07" w14:textId="77777777" w:rsidTr="005E0EB7">
        <w:trPr>
          <w:cnfStyle w:val="000000010000" w:firstRow="0" w:lastRow="0" w:firstColumn="0" w:lastColumn="0" w:oddVBand="0" w:evenVBand="0" w:oddHBand="0" w:evenHBand="1" w:firstRowFirstColumn="0" w:firstRowLastColumn="0" w:lastRowFirstColumn="0" w:lastRowLastColumn="0"/>
          <w:trHeight w:val="634"/>
        </w:trPr>
        <w:tc>
          <w:tcPr>
            <w:tcW w:w="3685" w:type="dxa"/>
          </w:tcPr>
          <w:p w14:paraId="4B2CC92E" w14:textId="0A27E687" w:rsidR="00767A21" w:rsidRPr="00DA2128" w:rsidRDefault="00767A21" w:rsidP="00A937C6">
            <w:pPr>
              <w:spacing w:beforeLines="40" w:before="96" w:afterLines="40" w:after="96" w:line="240" w:lineRule="auto"/>
              <w:rPr>
                <w:rFonts w:ascii="AvenirNext LT Pro Regular" w:hAnsi="AvenirNext LT Pro Regular"/>
                <w:b/>
                <w:bCs/>
                <w:sz w:val="22"/>
                <w:szCs w:val="22"/>
              </w:rPr>
            </w:pPr>
            <w:r w:rsidRPr="00DA2128">
              <w:rPr>
                <w:rFonts w:ascii="AvenirNext LT Pro Regular" w:hAnsi="AvenirNext LT Pro Regular"/>
                <w:sz w:val="22"/>
                <w:szCs w:val="22"/>
              </w:rPr>
              <w:t>Lead Beneficiary</w:t>
            </w:r>
          </w:p>
        </w:tc>
        <w:tc>
          <w:tcPr>
            <w:tcW w:w="5761" w:type="dxa"/>
          </w:tcPr>
          <w:p w14:paraId="102EC9D9" w14:textId="685C6BBA" w:rsidR="00767A21" w:rsidRPr="00DA2128" w:rsidRDefault="005F0037" w:rsidP="00A937C6">
            <w:pPr>
              <w:spacing w:beforeLines="40" w:before="96" w:afterLines="40" w:after="96" w:line="240" w:lineRule="auto"/>
              <w:rPr>
                <w:sz w:val="22"/>
                <w:szCs w:val="22"/>
              </w:rPr>
            </w:pPr>
            <w:r>
              <w:rPr>
                <w:sz w:val="22"/>
                <w:szCs w:val="22"/>
              </w:rPr>
              <w:t>HKR – Högskolan Kristianstad, Sweden</w:t>
            </w:r>
          </w:p>
        </w:tc>
      </w:tr>
      <w:tr w:rsidR="00DA1CFE" w:rsidRPr="00DA2128" w14:paraId="5226B808" w14:textId="77777777" w:rsidTr="005E0EB7">
        <w:trPr>
          <w:cnfStyle w:val="000000100000" w:firstRow="0" w:lastRow="0" w:firstColumn="0" w:lastColumn="0" w:oddVBand="0" w:evenVBand="0" w:oddHBand="1" w:evenHBand="0" w:firstRowFirstColumn="0" w:firstRowLastColumn="0" w:lastRowFirstColumn="0" w:lastRowLastColumn="0"/>
          <w:trHeight w:val="634"/>
        </w:trPr>
        <w:tc>
          <w:tcPr>
            <w:tcW w:w="3685" w:type="dxa"/>
          </w:tcPr>
          <w:p w14:paraId="5FBCEC0B" w14:textId="6FC3048F" w:rsidR="00DA1CFE" w:rsidRPr="00DA2128" w:rsidRDefault="00DA1CFE" w:rsidP="00A937C6">
            <w:pPr>
              <w:spacing w:beforeLines="40" w:before="96" w:afterLines="40" w:after="96" w:line="240" w:lineRule="auto"/>
              <w:rPr>
                <w:rFonts w:ascii="AvenirNext LT Pro Regular" w:hAnsi="AvenirNext LT Pro Regular"/>
                <w:sz w:val="22"/>
                <w:szCs w:val="22"/>
              </w:rPr>
            </w:pPr>
            <w:r w:rsidRPr="00DA2128">
              <w:rPr>
                <w:rFonts w:ascii="AvenirNext LT Pro Regular" w:hAnsi="AvenirNext LT Pro Regular"/>
                <w:sz w:val="22"/>
                <w:szCs w:val="22"/>
              </w:rPr>
              <w:t>CoLead Beneficiary</w:t>
            </w:r>
          </w:p>
        </w:tc>
        <w:tc>
          <w:tcPr>
            <w:tcW w:w="5761" w:type="dxa"/>
          </w:tcPr>
          <w:p w14:paraId="6DB84B1E" w14:textId="58C66D3B" w:rsidR="00DA1CFE" w:rsidRPr="00DA2128" w:rsidRDefault="00554538" w:rsidP="00A937C6">
            <w:pPr>
              <w:spacing w:beforeLines="40" w:before="96" w:afterLines="40" w:after="96" w:line="240" w:lineRule="auto"/>
              <w:rPr>
                <w:sz w:val="22"/>
                <w:szCs w:val="22"/>
              </w:rPr>
            </w:pPr>
            <w:r w:rsidRPr="008818AB">
              <w:rPr>
                <w:rFonts w:ascii="Avenir Next" w:hAnsi="Avenir Next"/>
                <w:sz w:val="22"/>
                <w:szCs w:val="22"/>
              </w:rPr>
              <w:t>LMU – Le Mans University, France</w:t>
            </w:r>
          </w:p>
        </w:tc>
      </w:tr>
      <w:tr w:rsidR="00176BC1" w:rsidRPr="00DA2128" w14:paraId="65947714" w14:textId="77777777" w:rsidTr="005E0EB7">
        <w:trPr>
          <w:cnfStyle w:val="000000010000" w:firstRow="0" w:lastRow="0" w:firstColumn="0" w:lastColumn="0" w:oddVBand="0" w:evenVBand="0" w:oddHBand="0" w:evenHBand="1" w:firstRowFirstColumn="0" w:firstRowLastColumn="0" w:lastRowFirstColumn="0" w:lastRowLastColumn="0"/>
          <w:trHeight w:val="634"/>
        </w:trPr>
        <w:tc>
          <w:tcPr>
            <w:tcW w:w="3685" w:type="dxa"/>
          </w:tcPr>
          <w:p w14:paraId="60640123" w14:textId="652D5A45" w:rsidR="00176BC1" w:rsidRPr="00DA2128" w:rsidRDefault="00176BC1" w:rsidP="00A937C6">
            <w:pPr>
              <w:spacing w:beforeLines="40" w:before="96" w:afterLines="40" w:after="96" w:line="240" w:lineRule="auto"/>
              <w:rPr>
                <w:rFonts w:ascii="AvenirNext LT Pro Regular" w:hAnsi="AvenirNext LT Pro Regular"/>
                <w:sz w:val="22"/>
                <w:szCs w:val="22"/>
              </w:rPr>
            </w:pPr>
            <w:r w:rsidRPr="00DA2128">
              <w:rPr>
                <w:rFonts w:ascii="AvenirNext LT Pro Regular" w:hAnsi="AvenirNext LT Pro Regular"/>
                <w:sz w:val="22"/>
                <w:szCs w:val="22"/>
              </w:rPr>
              <w:t>Dissemina</w:t>
            </w:r>
            <w:r w:rsidR="00C77663" w:rsidRPr="00DA2128">
              <w:rPr>
                <w:rFonts w:ascii="AvenirNext LT Pro Regular" w:hAnsi="AvenirNext LT Pro Regular"/>
                <w:sz w:val="22"/>
                <w:szCs w:val="22"/>
              </w:rPr>
              <w:t>t</w:t>
            </w:r>
            <w:r w:rsidRPr="00DA2128">
              <w:rPr>
                <w:rFonts w:ascii="AvenirNext LT Pro Regular" w:hAnsi="AvenirNext LT Pro Regular"/>
                <w:sz w:val="22"/>
                <w:szCs w:val="22"/>
              </w:rPr>
              <w:t xml:space="preserve">ion </w:t>
            </w:r>
            <w:r w:rsidR="00550127" w:rsidRPr="00DA2128">
              <w:rPr>
                <w:rFonts w:ascii="AvenirNext LT Pro Regular" w:hAnsi="AvenirNext LT Pro Regular"/>
                <w:sz w:val="22"/>
                <w:szCs w:val="22"/>
              </w:rPr>
              <w:t>L</w:t>
            </w:r>
            <w:r w:rsidRPr="00DA2128">
              <w:rPr>
                <w:rFonts w:ascii="AvenirNext LT Pro Regular" w:hAnsi="AvenirNext LT Pro Regular"/>
                <w:sz w:val="22"/>
                <w:szCs w:val="22"/>
              </w:rPr>
              <w:t>evel</w:t>
            </w:r>
          </w:p>
        </w:tc>
        <w:tc>
          <w:tcPr>
            <w:tcW w:w="5761" w:type="dxa"/>
          </w:tcPr>
          <w:p w14:paraId="778C89EE" w14:textId="3AF7F0B7" w:rsidR="00176BC1" w:rsidRPr="00DA2128" w:rsidRDefault="00176BC1" w:rsidP="00A937C6">
            <w:pPr>
              <w:spacing w:beforeLines="40" w:before="96" w:afterLines="40" w:after="96" w:line="240" w:lineRule="auto"/>
              <w:rPr>
                <w:sz w:val="22"/>
                <w:szCs w:val="22"/>
              </w:rPr>
            </w:pPr>
            <w:r w:rsidRPr="00DA2128">
              <w:rPr>
                <w:sz w:val="22"/>
                <w:szCs w:val="22"/>
              </w:rPr>
              <w:t>PU</w:t>
            </w:r>
          </w:p>
        </w:tc>
      </w:tr>
      <w:tr w:rsidR="002E6B3B" w:rsidRPr="00DA2128" w14:paraId="7ABCB8D3" w14:textId="77777777" w:rsidTr="005E0EB7">
        <w:trPr>
          <w:cnfStyle w:val="000000100000" w:firstRow="0" w:lastRow="0" w:firstColumn="0" w:lastColumn="0" w:oddVBand="0" w:evenVBand="0" w:oddHBand="1" w:evenHBand="0" w:firstRowFirstColumn="0" w:firstRowLastColumn="0" w:lastRowFirstColumn="0" w:lastRowLastColumn="0"/>
          <w:trHeight w:val="634"/>
        </w:trPr>
        <w:tc>
          <w:tcPr>
            <w:tcW w:w="3685" w:type="dxa"/>
          </w:tcPr>
          <w:p w14:paraId="3AD115AF" w14:textId="1E51AB48" w:rsidR="002E6B3B" w:rsidRPr="00DA2128" w:rsidRDefault="002E6B3B" w:rsidP="00A937C6">
            <w:pPr>
              <w:spacing w:line="240" w:lineRule="auto"/>
              <w:rPr>
                <w:rFonts w:ascii="Avenir Next LT Pro Regular" w:hAnsi="Avenir Next LT Pro Regular"/>
              </w:rPr>
            </w:pPr>
            <w:r w:rsidRPr="00DA2128">
              <w:rPr>
                <w:rFonts w:ascii="AvenirNext LT Pro Regular" w:hAnsi="AvenirNext LT Pro Regular"/>
                <w:sz w:val="22"/>
                <w:szCs w:val="22"/>
              </w:rPr>
              <w:t>Authors</w:t>
            </w:r>
          </w:p>
        </w:tc>
        <w:tc>
          <w:tcPr>
            <w:tcW w:w="5761" w:type="dxa"/>
          </w:tcPr>
          <w:p w14:paraId="0239B40B" w14:textId="5764E563" w:rsidR="002E6B3B" w:rsidRPr="00DA2128" w:rsidRDefault="00F33FB5" w:rsidP="00A937C6">
            <w:pPr>
              <w:spacing w:beforeLines="40" w:before="96" w:afterLines="40" w:after="96" w:line="240" w:lineRule="auto"/>
              <w:rPr>
                <w:sz w:val="22"/>
                <w:szCs w:val="22"/>
              </w:rPr>
            </w:pPr>
            <w:r>
              <w:rPr>
                <w:sz w:val="22"/>
                <w:szCs w:val="22"/>
              </w:rPr>
              <w:t>Zorica Grubor. HKR</w:t>
            </w:r>
            <w:r>
              <w:rPr>
                <w:sz w:val="22"/>
                <w:szCs w:val="22"/>
              </w:rPr>
              <w:br/>
              <w:t>Martin Persson, HKR</w:t>
            </w:r>
            <w:r w:rsidR="00774053" w:rsidRPr="00DA2128">
              <w:rPr>
                <w:sz w:val="22"/>
                <w:szCs w:val="22"/>
              </w:rPr>
              <w:t xml:space="preserve"> </w:t>
            </w:r>
            <w:r w:rsidR="00990515">
              <w:rPr>
                <w:sz w:val="22"/>
                <w:szCs w:val="22"/>
              </w:rPr>
              <w:br/>
              <w:t>Coline Clément, LMU</w:t>
            </w:r>
          </w:p>
        </w:tc>
      </w:tr>
      <w:tr w:rsidR="002E6B3B" w:rsidRPr="00DA2128" w14:paraId="09868448" w14:textId="77777777" w:rsidTr="005E0EB7">
        <w:trPr>
          <w:cnfStyle w:val="000000010000" w:firstRow="0" w:lastRow="0" w:firstColumn="0" w:lastColumn="0" w:oddVBand="0" w:evenVBand="0" w:oddHBand="0" w:evenHBand="1" w:firstRowFirstColumn="0" w:firstRowLastColumn="0" w:lastRowFirstColumn="0" w:lastRowLastColumn="0"/>
          <w:trHeight w:val="634"/>
        </w:trPr>
        <w:tc>
          <w:tcPr>
            <w:tcW w:w="3685" w:type="dxa"/>
          </w:tcPr>
          <w:p w14:paraId="3D98628F" w14:textId="2EC51527" w:rsidR="002E6B3B" w:rsidRPr="00DA2128" w:rsidRDefault="002E6B3B" w:rsidP="00A937C6">
            <w:pPr>
              <w:pStyle w:val="Heading3"/>
              <w:spacing w:line="240" w:lineRule="auto"/>
              <w:outlineLvl w:val="2"/>
            </w:pPr>
            <w:r w:rsidRPr="00DA2128">
              <w:rPr>
                <w:sz w:val="22"/>
                <w:szCs w:val="22"/>
              </w:rPr>
              <w:t>Contributors</w:t>
            </w:r>
          </w:p>
        </w:tc>
        <w:tc>
          <w:tcPr>
            <w:tcW w:w="5761" w:type="dxa"/>
          </w:tcPr>
          <w:p w14:paraId="1A09EAEF" w14:textId="7E5DC4B6" w:rsidR="002E6B3B" w:rsidRPr="00B940DD" w:rsidRDefault="00B940DD" w:rsidP="00B940DD">
            <w:pPr>
              <w:spacing w:beforeLines="40" w:before="96" w:afterLines="40" w:after="96"/>
              <w:rPr>
                <w:rFonts w:ascii="Avenir Next" w:hAnsi="Avenir Next"/>
                <w:sz w:val="22"/>
                <w:szCs w:val="22"/>
              </w:rPr>
            </w:pPr>
            <w:r w:rsidRPr="00BD209F">
              <w:rPr>
                <w:rFonts w:ascii="Avenir Next" w:hAnsi="Avenir Next"/>
                <w:sz w:val="22"/>
                <w:szCs w:val="22"/>
              </w:rPr>
              <w:t>Christine E. Laustsen, HKR</w:t>
            </w:r>
            <w:r>
              <w:rPr>
                <w:rFonts w:ascii="Avenir Next" w:hAnsi="Avenir Next"/>
                <w:sz w:val="22"/>
                <w:szCs w:val="22"/>
              </w:rPr>
              <w:br/>
              <w:t>Julius Soutine, HKR</w:t>
            </w:r>
            <w:r>
              <w:rPr>
                <w:rFonts w:ascii="Avenir Next" w:hAnsi="Avenir Next"/>
                <w:sz w:val="22"/>
                <w:szCs w:val="22"/>
              </w:rPr>
              <w:br/>
            </w:r>
            <w:r w:rsidR="00550E65" w:rsidRPr="00BD209F">
              <w:rPr>
                <w:rFonts w:ascii="Avenir Next" w:hAnsi="Avenir Next"/>
                <w:sz w:val="22"/>
                <w:szCs w:val="22"/>
              </w:rPr>
              <w:t>Joanna Gorna, JDU</w:t>
            </w:r>
            <w:r w:rsidR="00550E65" w:rsidRPr="00BD209F">
              <w:rPr>
                <w:rFonts w:ascii="Avenir Next" w:hAnsi="Avenir Next"/>
                <w:sz w:val="22"/>
                <w:szCs w:val="22"/>
              </w:rPr>
              <w:br/>
              <w:t>Wioleta Duda, JDU</w:t>
            </w:r>
            <w:r w:rsidR="00550E65" w:rsidRPr="00BD209F">
              <w:rPr>
                <w:rFonts w:ascii="Avenir Next" w:hAnsi="Avenir Next"/>
                <w:sz w:val="22"/>
                <w:szCs w:val="22"/>
              </w:rPr>
              <w:br/>
              <w:t>Katarzyna Zalas, JDU</w:t>
            </w:r>
            <w:r w:rsidR="00550E65" w:rsidRPr="00BD209F">
              <w:rPr>
                <w:rFonts w:ascii="Avenir Next" w:hAnsi="Avenir Next"/>
                <w:sz w:val="22"/>
                <w:szCs w:val="22"/>
              </w:rPr>
              <w:br/>
              <w:t>Sana Guetat, LMU</w:t>
            </w:r>
            <w:r w:rsidR="00550E65" w:rsidRPr="00BD209F">
              <w:rPr>
                <w:rFonts w:ascii="Avenir Next" w:hAnsi="Avenir Next"/>
                <w:sz w:val="22"/>
                <w:szCs w:val="22"/>
              </w:rPr>
              <w:br/>
              <w:t>Lucie Pineau, LMU</w:t>
            </w:r>
            <w:r w:rsidR="00550E65" w:rsidRPr="00BD209F">
              <w:rPr>
                <w:rFonts w:ascii="Avenir Next" w:hAnsi="Avenir Next"/>
                <w:sz w:val="22"/>
                <w:szCs w:val="22"/>
              </w:rPr>
              <w:br/>
              <w:t>Laïli Dor, LMU</w:t>
            </w:r>
            <w:r w:rsidR="00550E65" w:rsidRPr="00BD209F">
              <w:rPr>
                <w:rFonts w:ascii="Avenir Next" w:hAnsi="Avenir Next"/>
                <w:sz w:val="22"/>
                <w:szCs w:val="22"/>
              </w:rPr>
              <w:br/>
              <w:t>Carmen Diaz, UCLM</w:t>
            </w:r>
            <w:r w:rsidR="00550E65" w:rsidRPr="00BD209F">
              <w:rPr>
                <w:rFonts w:ascii="Avenir Next" w:hAnsi="Avenir Next"/>
                <w:sz w:val="22"/>
                <w:szCs w:val="22"/>
              </w:rPr>
              <w:br/>
              <w:t>María José Ruiz, UCLM</w:t>
            </w:r>
            <w:r w:rsidR="00550E65" w:rsidRPr="00BD209F">
              <w:rPr>
                <w:rFonts w:ascii="Avenir Next" w:hAnsi="Avenir Next"/>
                <w:sz w:val="22"/>
                <w:szCs w:val="22"/>
              </w:rPr>
              <w:br/>
              <w:t>Susana Seseña, UCLM</w:t>
            </w:r>
            <w:r w:rsidR="00550E65" w:rsidRPr="00BD209F">
              <w:rPr>
                <w:rFonts w:ascii="Avenir Next" w:hAnsi="Avenir Next"/>
                <w:sz w:val="22"/>
                <w:szCs w:val="22"/>
              </w:rPr>
              <w:br/>
              <w:t>Juana Morcillo, UCLM</w:t>
            </w:r>
            <w:r w:rsidR="00550E65" w:rsidRPr="00BD209F">
              <w:rPr>
                <w:rFonts w:ascii="Avenir Next" w:hAnsi="Avenir Next"/>
                <w:sz w:val="22"/>
                <w:szCs w:val="22"/>
              </w:rPr>
              <w:br/>
              <w:t>María Jesús Pardo, UCLM</w:t>
            </w:r>
            <w:r w:rsidR="00550E65" w:rsidRPr="00BD209F">
              <w:rPr>
                <w:rFonts w:ascii="Avenir Next" w:hAnsi="Avenir Next"/>
                <w:sz w:val="22"/>
                <w:szCs w:val="22"/>
              </w:rPr>
              <w:br/>
              <w:t>Goran Ilik, UKLO</w:t>
            </w:r>
            <w:r w:rsidR="00550E65" w:rsidRPr="00BD209F">
              <w:rPr>
                <w:rFonts w:ascii="Avenir Next" w:hAnsi="Avenir Next"/>
                <w:sz w:val="22"/>
                <w:szCs w:val="22"/>
              </w:rPr>
              <w:br/>
              <w:t>Veljanovska Hristina, UKLO</w:t>
            </w:r>
            <w:r w:rsidR="00550E65" w:rsidRPr="00BD209F">
              <w:rPr>
                <w:rFonts w:ascii="Avenir Next" w:hAnsi="Avenir Next"/>
                <w:sz w:val="22"/>
                <w:szCs w:val="22"/>
              </w:rPr>
              <w:br/>
              <w:t>Tamara Zappaterra, UNIFE</w:t>
            </w:r>
            <w:r w:rsidR="00550E65" w:rsidRPr="00BD209F">
              <w:rPr>
                <w:rFonts w:ascii="Avenir Next" w:hAnsi="Avenir Next"/>
                <w:sz w:val="22"/>
                <w:szCs w:val="22"/>
              </w:rPr>
              <w:br/>
              <w:t>Giovanni Ganino, UNIFE</w:t>
            </w:r>
            <w:r w:rsidR="00550E65" w:rsidRPr="00BD209F">
              <w:rPr>
                <w:rFonts w:ascii="Avenir Next" w:hAnsi="Avenir Next"/>
                <w:sz w:val="22"/>
                <w:szCs w:val="22"/>
              </w:rPr>
              <w:br/>
            </w:r>
            <w:r w:rsidR="00550E65" w:rsidRPr="00BD209F">
              <w:rPr>
                <w:rFonts w:ascii="Avenir Next" w:hAnsi="Avenir Next"/>
                <w:sz w:val="22"/>
                <w:szCs w:val="22"/>
              </w:rPr>
              <w:lastRenderedPageBreak/>
              <w:t>Elena Mazzoni, UNIFE</w:t>
            </w:r>
            <w:r w:rsidR="00550E65" w:rsidRPr="00BD209F">
              <w:rPr>
                <w:rFonts w:ascii="Avenir Next" w:hAnsi="Avenir Next"/>
                <w:sz w:val="22"/>
                <w:szCs w:val="22"/>
              </w:rPr>
              <w:br/>
              <w:t>Anita Dremel, UNIOS</w:t>
            </w:r>
            <w:r w:rsidR="00550E65" w:rsidRPr="00BD209F">
              <w:rPr>
                <w:rFonts w:ascii="Avenir Next" w:hAnsi="Avenir Next"/>
                <w:sz w:val="22"/>
                <w:szCs w:val="22"/>
              </w:rPr>
              <w:br/>
              <w:t>Elke Grimminger-Seidensticker, UPB</w:t>
            </w:r>
            <w:r w:rsidR="00550E65" w:rsidRPr="00BD209F">
              <w:rPr>
                <w:rFonts w:ascii="Avenir Next" w:hAnsi="Avenir Next"/>
                <w:sz w:val="22"/>
                <w:szCs w:val="22"/>
              </w:rPr>
              <w:br/>
              <w:t>Anke Riebau, UPB</w:t>
            </w:r>
            <w:r w:rsidR="00550E65" w:rsidRPr="00BD209F">
              <w:rPr>
                <w:rFonts w:ascii="Avenir Next" w:hAnsi="Avenir Next"/>
                <w:sz w:val="22"/>
                <w:szCs w:val="22"/>
              </w:rPr>
              <w:br/>
              <w:t>Sarah-Christina Henze, UPB</w:t>
            </w:r>
            <w:r w:rsidR="00550E65" w:rsidRPr="00BD209F">
              <w:rPr>
                <w:rFonts w:ascii="Avenir Next" w:hAnsi="Avenir Next"/>
                <w:sz w:val="22"/>
                <w:szCs w:val="22"/>
              </w:rPr>
              <w:br/>
              <w:t>Kristiāna Balode, VUAS</w:t>
            </w:r>
            <w:r w:rsidR="00550E65">
              <w:rPr>
                <w:rFonts w:ascii="Avenir Next" w:hAnsi="Avenir Next"/>
                <w:sz w:val="22"/>
                <w:szCs w:val="22"/>
              </w:rPr>
              <w:t xml:space="preserve"> </w:t>
            </w:r>
            <w:r w:rsidR="00550E65">
              <w:rPr>
                <w:rFonts w:ascii="Avenir Next" w:hAnsi="Avenir Next"/>
                <w:sz w:val="22"/>
                <w:szCs w:val="22"/>
              </w:rPr>
              <w:br/>
            </w:r>
            <w:r w:rsidR="00550E65" w:rsidRPr="00BD209F">
              <w:rPr>
                <w:rFonts w:ascii="Avenir Next" w:hAnsi="Avenir Next"/>
                <w:sz w:val="22"/>
                <w:szCs w:val="22"/>
              </w:rPr>
              <w:t>Līga Koloda, VUAS</w:t>
            </w:r>
            <w:r w:rsidR="00550E65">
              <w:rPr>
                <w:rFonts w:ascii="Avenir Next" w:hAnsi="Avenir Next"/>
                <w:sz w:val="22"/>
                <w:szCs w:val="22"/>
              </w:rPr>
              <w:br/>
            </w:r>
            <w:r w:rsidR="00550E65" w:rsidRPr="0043199F">
              <w:rPr>
                <w:rFonts w:ascii="Avenir Next" w:hAnsi="Avenir Next"/>
                <w:sz w:val="22"/>
                <w:szCs w:val="22"/>
              </w:rPr>
              <w:t>Lasma Asme, VUAS</w:t>
            </w:r>
            <w:r w:rsidR="00550E65" w:rsidRPr="0043199F">
              <w:rPr>
                <w:rFonts w:ascii="Avenir Next" w:hAnsi="Avenir Next"/>
                <w:sz w:val="22"/>
                <w:szCs w:val="22"/>
              </w:rPr>
              <w:br/>
              <w:t>Almudena Diaz Rubio, UCLM</w:t>
            </w:r>
            <w:r w:rsidR="00550E65" w:rsidRPr="0043199F">
              <w:rPr>
                <w:rFonts w:ascii="Avenir Next" w:hAnsi="Avenir Next"/>
                <w:sz w:val="22"/>
                <w:szCs w:val="22"/>
              </w:rPr>
              <w:br/>
              <w:t>Wioleta Duda, UKLO</w:t>
            </w:r>
          </w:p>
        </w:tc>
      </w:tr>
    </w:tbl>
    <w:p w14:paraId="330C28E9" w14:textId="77777777" w:rsidR="00767A21" w:rsidRPr="00DA2128" w:rsidRDefault="00767A21" w:rsidP="00A937C6">
      <w:pPr>
        <w:spacing w:line="240" w:lineRule="auto"/>
      </w:pPr>
    </w:p>
    <w:p w14:paraId="0B50736F" w14:textId="1286B5C7" w:rsidR="00DD6A49" w:rsidRPr="00DA2128" w:rsidRDefault="00F72179" w:rsidP="00A937C6">
      <w:pPr>
        <w:spacing w:line="240" w:lineRule="auto"/>
      </w:pPr>
      <w:r w:rsidRPr="00DA2128">
        <w:rPr>
          <w:noProof/>
          <w:lang w:eastAsia="en-GB"/>
        </w:rPr>
        <mc:AlternateContent>
          <mc:Choice Requires="wps">
            <w:drawing>
              <wp:anchor distT="0" distB="0" distL="114300" distR="114300" simplePos="0" relativeHeight="251664384" behindDoc="0" locked="0" layoutInCell="1" allowOverlap="1" wp14:anchorId="012C1C72" wp14:editId="098C550F">
                <wp:simplePos x="0" y="0"/>
                <wp:positionH relativeFrom="column">
                  <wp:posOffset>-10795</wp:posOffset>
                </wp:positionH>
                <wp:positionV relativeFrom="paragraph">
                  <wp:posOffset>468630</wp:posOffset>
                </wp:positionV>
                <wp:extent cx="6104890" cy="718820"/>
                <wp:effectExtent l="0" t="0" r="10160" b="24130"/>
                <wp:wrapTopAndBottom/>
                <wp:docPr id="555734200" name="Text Box 4"/>
                <wp:cNvGraphicFramePr/>
                <a:graphic xmlns:a="http://schemas.openxmlformats.org/drawingml/2006/main">
                  <a:graphicData uri="http://schemas.microsoft.com/office/word/2010/wordprocessingShape">
                    <wps:wsp>
                      <wps:cNvSpPr txBox="1"/>
                      <wps:spPr>
                        <a:xfrm>
                          <a:off x="0" y="0"/>
                          <a:ext cx="6104890" cy="718820"/>
                        </a:xfrm>
                        <a:prstGeom prst="rect">
                          <a:avLst/>
                        </a:prstGeom>
                        <a:solidFill>
                          <a:schemeClr val="lt1"/>
                        </a:solidFill>
                        <a:ln w="12700">
                          <a:solidFill>
                            <a:schemeClr val="tx1"/>
                          </a:solidFill>
                        </a:ln>
                      </wps:spPr>
                      <wps:txbx>
                        <w:txbxContent>
                          <w:p w14:paraId="7B540C5B" w14:textId="6A4AFE2A" w:rsidR="00F6468B" w:rsidRPr="00DA2128" w:rsidRDefault="00F6468B" w:rsidP="00F6468B">
                            <w:pPr>
                              <w:rPr>
                                <w:sz w:val="18"/>
                                <w:szCs w:val="18"/>
                              </w:rPr>
                            </w:pPr>
                            <w:r w:rsidRPr="00DA2128">
                              <w:rPr>
                                <w:sz w:val="18"/>
                                <w:szCs w:val="18"/>
                              </w:rPr>
                              <w:t>The views and opinions expressed in this publication are solely those of the author(s) and do not necessarily represent those of the European Union or the European Education and Culture Executive Agency (EACEA). Neither the European Union nor the granting authority can be held responsible for any use that may be made of the information contained herein.</w:t>
                            </w:r>
                          </w:p>
                          <w:p w14:paraId="3EE254B3" w14:textId="5424AD1A" w:rsidR="00DD6A49" w:rsidRPr="00DA2128" w:rsidRDefault="00DD6A49" w:rsidP="00F72179">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2C1C72" id="Text Box 4" o:spid="_x0000_s1027" type="#_x0000_t202" style="position:absolute;margin-left:-.85pt;margin-top:36.9pt;width:480.7pt;height:56.6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" fillcolor="white [3201]" strokecolor="black [3213]" strokeweight="1pt">
                <v:textbox>
                  <w:txbxContent>
                    <w:p w14:paraId="7B540C5B" w14:textId="6A4AFE2A" w:rsidR="00F6468B" w:rsidRPr="00DA2128" w:rsidRDefault="00F6468B" w:rsidP="00F6468B">
                      <w:pPr>
                        <w:rPr>
                          <w:sz w:val="18"/>
                          <w:szCs w:val="18"/>
                        </w:rPr>
                      </w:pPr>
                      <w:r w:rsidRPr="00DA2128">
                        <w:rPr>
                          <w:sz w:val="18"/>
                          <w:szCs w:val="18"/>
                        </w:rPr>
                        <w:t>The views and opinions expressed in this publication are solely those of the author(s) and do not necessarily represent those of the European Union or the European Education and Culture Executive Agency (EACEA). Neither the European Union nor the granting authority can be held responsible for any use that may be made of the information contained herein.</w:t>
                      </w:r>
                    </w:p>
                    <w:p w14:paraId="3EE254B3" w14:textId="5424AD1A" w:rsidR="00DD6A49" w:rsidRPr="00DA2128" w:rsidRDefault="00DD6A49" w:rsidP="00F72179">
                      <w:pPr>
                        <w:rPr>
                          <w:sz w:val="18"/>
                          <w:szCs w:val="18"/>
                        </w:rPr>
                      </w:pPr>
                    </w:p>
                  </w:txbxContent>
                </v:textbox>
                <w10:wrap type="topAndBottom"/>
              </v:shape>
            </w:pict>
          </mc:Fallback>
        </mc:AlternateContent>
      </w:r>
      <w:r w:rsidR="00767A21" w:rsidRPr="00DA2128">
        <w:rPr>
          <w:rFonts w:ascii="AvenirNext LT Pro Regular" w:hAnsi="AvenirNext LT Pro Regular"/>
        </w:rPr>
        <w:t xml:space="preserve">Legal </w:t>
      </w:r>
      <w:r w:rsidR="00DD6A49" w:rsidRPr="00DA2128">
        <w:rPr>
          <w:rFonts w:ascii="AvenirNext LT Pro Regular" w:hAnsi="AvenirNext LT Pro Regular"/>
        </w:rPr>
        <w:t>Disclaimer</w:t>
      </w:r>
    </w:p>
    <w:p w14:paraId="5F2D4D3D" w14:textId="77777777" w:rsidR="00F72179" w:rsidRPr="00DA2128" w:rsidRDefault="00F72179" w:rsidP="00A937C6">
      <w:pPr>
        <w:spacing w:line="240" w:lineRule="auto"/>
      </w:pPr>
      <w:r w:rsidRPr="00DA2128">
        <w:br w:type="page"/>
      </w:r>
    </w:p>
    <w:sdt>
      <w:sdtPr>
        <w:rPr>
          <w:rFonts w:ascii="AvenirNext LT Pro Bold" w:eastAsiaTheme="minorHAnsi" w:hAnsi="AvenirNext LT Pro Bold" w:cstheme="minorBidi"/>
          <w:color w:val="221F1F"/>
          <w:spacing w:val="-4"/>
          <w:kern w:val="2"/>
          <w:sz w:val="24"/>
          <w:szCs w:val="24"/>
          <w14:ligatures w14:val="standardContextual"/>
        </w:rPr>
        <w:id w:val="-1619826779"/>
        <w:docPartObj>
          <w:docPartGallery w:val="Table of Contents"/>
          <w:docPartUnique/>
        </w:docPartObj>
      </w:sdtPr>
      <w:sdtEndPr>
        <w:rPr>
          <w:rFonts w:ascii="Avenir Next LT Pro" w:hAnsi="Avenir Next LT Pro"/>
          <w:b/>
          <w:bCs/>
        </w:rPr>
      </w:sdtEndPr>
      <w:sdtContent>
        <w:p w14:paraId="01F43ED9" w14:textId="01C8F752" w:rsidR="00591402" w:rsidRPr="00DA2128" w:rsidRDefault="00591402" w:rsidP="00A937C6">
          <w:pPr>
            <w:pStyle w:val="TOCHeading"/>
            <w:spacing w:line="240" w:lineRule="auto"/>
          </w:pPr>
          <w:r w:rsidRPr="00DA2128">
            <w:t>Table of Content</w:t>
          </w:r>
          <w:r w:rsidR="009A17A3" w:rsidRPr="00DA2128">
            <w:t>s</w:t>
          </w:r>
        </w:p>
        <w:p w14:paraId="3A20AC13" w14:textId="0B0C4025" w:rsidR="006F155F" w:rsidRPr="00DA2128" w:rsidRDefault="005D727F" w:rsidP="00A937C6">
          <w:pPr>
            <w:tabs>
              <w:tab w:val="left" w:pos="7716"/>
            </w:tabs>
            <w:spacing w:line="240" w:lineRule="auto"/>
            <w:rPr>
              <w:rFonts w:ascii="AvenirNext LT Pro Regular" w:hAnsi="AvenirNext LT Pro Regular"/>
            </w:rPr>
          </w:pPr>
          <w:r w:rsidRPr="00DA2128">
            <w:rPr>
              <w:rFonts w:ascii="AvenirNext LT Pro Regular" w:hAnsi="AvenirNext LT Pro Regular"/>
            </w:rPr>
            <w:tab/>
          </w:r>
        </w:p>
        <w:p w14:paraId="77110963" w14:textId="6ACC2B3E" w:rsidR="00E3250D" w:rsidRDefault="006F155F">
          <w:pPr>
            <w:pStyle w:val="TOC1"/>
            <w:rPr>
              <w:rFonts w:asciiTheme="minorHAnsi" w:hAnsiTheme="minorHAnsi" w:cstheme="minorBidi"/>
              <w:kern w:val="2"/>
              <w:sz w:val="24"/>
              <w:szCs w:val="24"/>
              <w:lang w:val="sv-SE" w:eastAsia="sv-SE"/>
              <w14:ligatures w14:val="standardContextual"/>
            </w:rPr>
          </w:pPr>
          <w:r w:rsidRPr="00DA2128">
            <w:rPr>
              <w:rFonts w:ascii="AvenirNext LT Pro Regular" w:hAnsi="AvenirNext LT Pro Regular"/>
              <w:noProof w:val="0"/>
              <w:sz w:val="24"/>
              <w:szCs w:val="24"/>
            </w:rPr>
            <w:fldChar w:fldCharType="begin"/>
          </w:r>
          <w:r w:rsidRPr="00DA2128">
            <w:rPr>
              <w:rFonts w:ascii="AvenirNext LT Pro Regular" w:hAnsi="AvenirNext LT Pro Regular"/>
              <w:noProof w:val="0"/>
              <w:sz w:val="24"/>
              <w:szCs w:val="24"/>
            </w:rPr>
            <w:instrText xml:space="preserve"> TOC \o "1-1" \h \z \u </w:instrText>
          </w:r>
          <w:r w:rsidRPr="00DA2128">
            <w:rPr>
              <w:rFonts w:ascii="AvenirNext LT Pro Regular" w:hAnsi="AvenirNext LT Pro Regular"/>
              <w:noProof w:val="0"/>
              <w:sz w:val="24"/>
              <w:szCs w:val="24"/>
            </w:rPr>
            <w:fldChar w:fldCharType="separate"/>
          </w:r>
          <w:hyperlink w:anchor="_Toc211351784" w:history="1">
            <w:r w:rsidR="00E3250D" w:rsidRPr="0001169E">
              <w:rPr>
                <w:rStyle w:val="Hyperlink"/>
              </w:rPr>
              <w:t>Executive Summary</w:t>
            </w:r>
            <w:r w:rsidR="00E3250D">
              <w:rPr>
                <w:webHidden/>
              </w:rPr>
              <w:tab/>
            </w:r>
            <w:r w:rsidR="00E3250D">
              <w:rPr>
                <w:webHidden/>
              </w:rPr>
              <w:fldChar w:fldCharType="begin"/>
            </w:r>
            <w:r w:rsidR="00E3250D">
              <w:rPr>
                <w:webHidden/>
              </w:rPr>
              <w:instrText xml:space="preserve"> PAGEREF _Toc211351784 \h </w:instrText>
            </w:r>
            <w:r w:rsidR="00E3250D">
              <w:rPr>
                <w:webHidden/>
              </w:rPr>
            </w:r>
            <w:r w:rsidR="00E3250D">
              <w:rPr>
                <w:webHidden/>
              </w:rPr>
              <w:fldChar w:fldCharType="separate"/>
            </w:r>
            <w:r w:rsidR="00E3250D">
              <w:rPr>
                <w:webHidden/>
              </w:rPr>
              <w:t>2</w:t>
            </w:r>
            <w:r w:rsidR="00E3250D">
              <w:rPr>
                <w:webHidden/>
              </w:rPr>
              <w:fldChar w:fldCharType="end"/>
            </w:r>
          </w:hyperlink>
        </w:p>
        <w:p w14:paraId="63A223DB" w14:textId="6964B7AE" w:rsidR="00E3250D" w:rsidRDefault="00A1604A">
          <w:pPr>
            <w:pStyle w:val="TOC1"/>
            <w:rPr>
              <w:rFonts w:asciiTheme="minorHAnsi" w:hAnsiTheme="minorHAnsi" w:cstheme="minorBidi"/>
              <w:kern w:val="2"/>
              <w:sz w:val="24"/>
              <w:szCs w:val="24"/>
              <w:lang w:val="sv-SE" w:eastAsia="sv-SE"/>
              <w14:ligatures w14:val="standardContextual"/>
            </w:rPr>
          </w:pPr>
          <w:hyperlink w:anchor="_Toc211351785" w:history="1">
            <w:r w:rsidR="00E3250D" w:rsidRPr="0001169E">
              <w:rPr>
                <w:rStyle w:val="Hyperlink"/>
              </w:rPr>
              <w:t>Deliverable Data</w:t>
            </w:r>
            <w:r w:rsidR="00E3250D">
              <w:rPr>
                <w:webHidden/>
              </w:rPr>
              <w:tab/>
            </w:r>
            <w:r w:rsidR="00E3250D">
              <w:rPr>
                <w:webHidden/>
              </w:rPr>
              <w:fldChar w:fldCharType="begin"/>
            </w:r>
            <w:r w:rsidR="00E3250D">
              <w:rPr>
                <w:webHidden/>
              </w:rPr>
              <w:instrText xml:space="preserve"> PAGEREF _Toc211351785 \h </w:instrText>
            </w:r>
            <w:r w:rsidR="00E3250D">
              <w:rPr>
                <w:webHidden/>
              </w:rPr>
            </w:r>
            <w:r w:rsidR="00E3250D">
              <w:rPr>
                <w:webHidden/>
              </w:rPr>
              <w:fldChar w:fldCharType="separate"/>
            </w:r>
            <w:r w:rsidR="00E3250D">
              <w:rPr>
                <w:webHidden/>
              </w:rPr>
              <w:t>3</w:t>
            </w:r>
            <w:r w:rsidR="00E3250D">
              <w:rPr>
                <w:webHidden/>
              </w:rPr>
              <w:fldChar w:fldCharType="end"/>
            </w:r>
          </w:hyperlink>
        </w:p>
        <w:p w14:paraId="5E46835D" w14:textId="68A5B1CF" w:rsidR="00E3250D" w:rsidRDefault="00A1604A">
          <w:pPr>
            <w:pStyle w:val="TOC1"/>
            <w:rPr>
              <w:rFonts w:asciiTheme="minorHAnsi" w:hAnsiTheme="minorHAnsi" w:cstheme="minorBidi"/>
              <w:kern w:val="2"/>
              <w:sz w:val="24"/>
              <w:szCs w:val="24"/>
              <w:lang w:val="sv-SE" w:eastAsia="sv-SE"/>
              <w14:ligatures w14:val="standardContextual"/>
            </w:rPr>
          </w:pPr>
          <w:hyperlink w:anchor="_Toc211351786" w:history="1">
            <w:r w:rsidR="00E3250D" w:rsidRPr="0001169E">
              <w:rPr>
                <w:rStyle w:val="Hyperlink"/>
              </w:rPr>
              <w:t>Introduction</w:t>
            </w:r>
            <w:r w:rsidR="00E3250D">
              <w:rPr>
                <w:webHidden/>
              </w:rPr>
              <w:tab/>
            </w:r>
            <w:r w:rsidR="00E3250D">
              <w:rPr>
                <w:webHidden/>
              </w:rPr>
              <w:fldChar w:fldCharType="begin"/>
            </w:r>
            <w:r w:rsidR="00E3250D">
              <w:rPr>
                <w:webHidden/>
              </w:rPr>
              <w:instrText xml:space="preserve"> PAGEREF _Toc211351786 \h </w:instrText>
            </w:r>
            <w:r w:rsidR="00E3250D">
              <w:rPr>
                <w:webHidden/>
              </w:rPr>
            </w:r>
            <w:r w:rsidR="00E3250D">
              <w:rPr>
                <w:webHidden/>
              </w:rPr>
              <w:fldChar w:fldCharType="separate"/>
            </w:r>
            <w:r w:rsidR="00E3250D">
              <w:rPr>
                <w:webHidden/>
              </w:rPr>
              <w:t>6</w:t>
            </w:r>
            <w:r w:rsidR="00E3250D">
              <w:rPr>
                <w:webHidden/>
              </w:rPr>
              <w:fldChar w:fldCharType="end"/>
            </w:r>
          </w:hyperlink>
        </w:p>
        <w:p w14:paraId="522A7BD3" w14:textId="0BBD57B6" w:rsidR="00E3250D" w:rsidRDefault="00A1604A">
          <w:pPr>
            <w:pStyle w:val="TOC1"/>
            <w:rPr>
              <w:rFonts w:asciiTheme="minorHAnsi" w:hAnsiTheme="minorHAnsi" w:cstheme="minorBidi"/>
              <w:kern w:val="2"/>
              <w:sz w:val="24"/>
              <w:szCs w:val="24"/>
              <w:lang w:val="sv-SE" w:eastAsia="sv-SE"/>
              <w14:ligatures w14:val="standardContextual"/>
            </w:rPr>
          </w:pPr>
          <w:hyperlink w:anchor="_Toc211351787" w:history="1">
            <w:r w:rsidR="00E3250D" w:rsidRPr="0001169E">
              <w:rPr>
                <w:rStyle w:val="Hyperlink"/>
              </w:rPr>
              <w:t>Activities in Work Package 5</w:t>
            </w:r>
            <w:r w:rsidR="00E3250D">
              <w:rPr>
                <w:webHidden/>
              </w:rPr>
              <w:tab/>
            </w:r>
            <w:r w:rsidR="00E3250D">
              <w:rPr>
                <w:webHidden/>
              </w:rPr>
              <w:fldChar w:fldCharType="begin"/>
            </w:r>
            <w:r w:rsidR="00E3250D">
              <w:rPr>
                <w:webHidden/>
              </w:rPr>
              <w:instrText xml:space="preserve"> PAGEREF _Toc211351787 \h </w:instrText>
            </w:r>
            <w:r w:rsidR="00E3250D">
              <w:rPr>
                <w:webHidden/>
              </w:rPr>
            </w:r>
            <w:r w:rsidR="00E3250D">
              <w:rPr>
                <w:webHidden/>
              </w:rPr>
              <w:fldChar w:fldCharType="separate"/>
            </w:r>
            <w:r w:rsidR="00E3250D">
              <w:rPr>
                <w:webHidden/>
              </w:rPr>
              <w:t>17</w:t>
            </w:r>
            <w:r w:rsidR="00E3250D">
              <w:rPr>
                <w:webHidden/>
              </w:rPr>
              <w:fldChar w:fldCharType="end"/>
            </w:r>
          </w:hyperlink>
        </w:p>
        <w:p w14:paraId="42DD1CDA" w14:textId="51CB39A8" w:rsidR="00E3250D" w:rsidRDefault="00A1604A">
          <w:pPr>
            <w:pStyle w:val="TOC1"/>
            <w:rPr>
              <w:rFonts w:asciiTheme="minorHAnsi" w:hAnsiTheme="minorHAnsi" w:cstheme="minorBidi"/>
              <w:kern w:val="2"/>
              <w:sz w:val="24"/>
              <w:szCs w:val="24"/>
              <w:lang w:val="sv-SE" w:eastAsia="sv-SE"/>
              <w14:ligatures w14:val="standardContextual"/>
            </w:rPr>
          </w:pPr>
          <w:hyperlink w:anchor="_Toc211351788" w:history="1">
            <w:r w:rsidR="00E3250D" w:rsidRPr="0001169E">
              <w:rPr>
                <w:rStyle w:val="Hyperlink"/>
              </w:rPr>
              <w:t>Task number 5.1: Prepare EDI Emerging Evidence Report</w:t>
            </w:r>
            <w:r w:rsidR="00E3250D">
              <w:rPr>
                <w:webHidden/>
              </w:rPr>
              <w:tab/>
            </w:r>
            <w:r w:rsidR="00E3250D">
              <w:rPr>
                <w:webHidden/>
              </w:rPr>
              <w:fldChar w:fldCharType="begin"/>
            </w:r>
            <w:r w:rsidR="00E3250D">
              <w:rPr>
                <w:webHidden/>
              </w:rPr>
              <w:instrText xml:space="preserve"> PAGEREF _Toc211351788 \h </w:instrText>
            </w:r>
            <w:r w:rsidR="00E3250D">
              <w:rPr>
                <w:webHidden/>
              </w:rPr>
            </w:r>
            <w:r w:rsidR="00E3250D">
              <w:rPr>
                <w:webHidden/>
              </w:rPr>
              <w:fldChar w:fldCharType="separate"/>
            </w:r>
            <w:r w:rsidR="00E3250D">
              <w:rPr>
                <w:webHidden/>
              </w:rPr>
              <w:t>17</w:t>
            </w:r>
            <w:r w:rsidR="00E3250D">
              <w:rPr>
                <w:webHidden/>
              </w:rPr>
              <w:fldChar w:fldCharType="end"/>
            </w:r>
          </w:hyperlink>
        </w:p>
        <w:p w14:paraId="37A8B0CF" w14:textId="67479782" w:rsidR="00E3250D" w:rsidRDefault="00A1604A">
          <w:pPr>
            <w:pStyle w:val="TOC1"/>
            <w:rPr>
              <w:rFonts w:asciiTheme="minorHAnsi" w:hAnsiTheme="minorHAnsi" w:cstheme="minorBidi"/>
              <w:kern w:val="2"/>
              <w:sz w:val="24"/>
              <w:szCs w:val="24"/>
              <w:lang w:val="sv-SE" w:eastAsia="sv-SE"/>
              <w14:ligatures w14:val="standardContextual"/>
            </w:rPr>
          </w:pPr>
          <w:hyperlink w:anchor="_Toc211351789" w:history="1">
            <w:r w:rsidR="00E3250D" w:rsidRPr="0001169E">
              <w:rPr>
                <w:rStyle w:val="Hyperlink"/>
              </w:rPr>
              <w:t>Task number 5.2: Implement EDI – Group Concept Mapping</w:t>
            </w:r>
            <w:r w:rsidR="00E3250D">
              <w:rPr>
                <w:webHidden/>
              </w:rPr>
              <w:tab/>
            </w:r>
            <w:r w:rsidR="00E3250D">
              <w:rPr>
                <w:webHidden/>
              </w:rPr>
              <w:fldChar w:fldCharType="begin"/>
            </w:r>
            <w:r w:rsidR="00E3250D">
              <w:rPr>
                <w:webHidden/>
              </w:rPr>
              <w:instrText xml:space="preserve"> PAGEREF _Toc211351789 \h </w:instrText>
            </w:r>
            <w:r w:rsidR="00E3250D">
              <w:rPr>
                <w:webHidden/>
              </w:rPr>
            </w:r>
            <w:r w:rsidR="00E3250D">
              <w:rPr>
                <w:webHidden/>
              </w:rPr>
              <w:fldChar w:fldCharType="separate"/>
            </w:r>
            <w:r w:rsidR="00E3250D">
              <w:rPr>
                <w:webHidden/>
              </w:rPr>
              <w:t>30</w:t>
            </w:r>
            <w:r w:rsidR="00E3250D">
              <w:rPr>
                <w:webHidden/>
              </w:rPr>
              <w:fldChar w:fldCharType="end"/>
            </w:r>
          </w:hyperlink>
        </w:p>
        <w:p w14:paraId="5D93D854" w14:textId="5E75BE54" w:rsidR="00E3250D" w:rsidRDefault="00A1604A">
          <w:pPr>
            <w:pStyle w:val="TOC1"/>
            <w:rPr>
              <w:rFonts w:asciiTheme="minorHAnsi" w:hAnsiTheme="minorHAnsi" w:cstheme="minorBidi"/>
              <w:kern w:val="2"/>
              <w:sz w:val="24"/>
              <w:szCs w:val="24"/>
              <w:lang w:val="sv-SE" w:eastAsia="sv-SE"/>
              <w14:ligatures w14:val="standardContextual"/>
            </w:rPr>
          </w:pPr>
          <w:hyperlink w:anchor="_Toc211351790" w:history="1">
            <w:r w:rsidR="00E3250D" w:rsidRPr="0001169E">
              <w:rPr>
                <w:rStyle w:val="Hyperlink"/>
              </w:rPr>
              <w:t>Task number 5.3: Conduct EDI – IMAGINE Seminars</w:t>
            </w:r>
            <w:r w:rsidR="00E3250D">
              <w:rPr>
                <w:webHidden/>
              </w:rPr>
              <w:tab/>
            </w:r>
            <w:r w:rsidR="00E3250D">
              <w:rPr>
                <w:webHidden/>
              </w:rPr>
              <w:fldChar w:fldCharType="begin"/>
            </w:r>
            <w:r w:rsidR="00E3250D">
              <w:rPr>
                <w:webHidden/>
              </w:rPr>
              <w:instrText xml:space="preserve"> PAGEREF _Toc211351790 \h </w:instrText>
            </w:r>
            <w:r w:rsidR="00E3250D">
              <w:rPr>
                <w:webHidden/>
              </w:rPr>
            </w:r>
            <w:r w:rsidR="00E3250D">
              <w:rPr>
                <w:webHidden/>
              </w:rPr>
              <w:fldChar w:fldCharType="separate"/>
            </w:r>
            <w:r w:rsidR="00E3250D">
              <w:rPr>
                <w:webHidden/>
              </w:rPr>
              <w:t>69</w:t>
            </w:r>
            <w:r w:rsidR="00E3250D">
              <w:rPr>
                <w:webHidden/>
              </w:rPr>
              <w:fldChar w:fldCharType="end"/>
            </w:r>
          </w:hyperlink>
        </w:p>
        <w:p w14:paraId="0BDEF446" w14:textId="14400C44" w:rsidR="00E3250D" w:rsidRDefault="00A1604A">
          <w:pPr>
            <w:pStyle w:val="TOC1"/>
            <w:rPr>
              <w:rFonts w:asciiTheme="minorHAnsi" w:hAnsiTheme="minorHAnsi" w:cstheme="minorBidi"/>
              <w:kern w:val="2"/>
              <w:sz w:val="24"/>
              <w:szCs w:val="24"/>
              <w:lang w:val="sv-SE" w:eastAsia="sv-SE"/>
              <w14:ligatures w14:val="standardContextual"/>
            </w:rPr>
          </w:pPr>
          <w:hyperlink w:anchor="_Toc211351791" w:history="1">
            <w:r w:rsidR="00E3250D" w:rsidRPr="0001169E">
              <w:rPr>
                <w:rStyle w:val="Hyperlink"/>
              </w:rPr>
              <w:t>Task number 5.4: Develop EDI Indicators</w:t>
            </w:r>
            <w:r w:rsidR="00E3250D">
              <w:rPr>
                <w:webHidden/>
              </w:rPr>
              <w:tab/>
            </w:r>
            <w:r w:rsidR="00E3250D">
              <w:rPr>
                <w:webHidden/>
              </w:rPr>
              <w:fldChar w:fldCharType="begin"/>
            </w:r>
            <w:r w:rsidR="00E3250D">
              <w:rPr>
                <w:webHidden/>
              </w:rPr>
              <w:instrText xml:space="preserve"> PAGEREF _Toc211351791 \h </w:instrText>
            </w:r>
            <w:r w:rsidR="00E3250D">
              <w:rPr>
                <w:webHidden/>
              </w:rPr>
            </w:r>
            <w:r w:rsidR="00E3250D">
              <w:rPr>
                <w:webHidden/>
              </w:rPr>
              <w:fldChar w:fldCharType="separate"/>
            </w:r>
            <w:r w:rsidR="00E3250D">
              <w:rPr>
                <w:webHidden/>
              </w:rPr>
              <w:t>105</w:t>
            </w:r>
            <w:r w:rsidR="00E3250D">
              <w:rPr>
                <w:webHidden/>
              </w:rPr>
              <w:fldChar w:fldCharType="end"/>
            </w:r>
          </w:hyperlink>
        </w:p>
        <w:p w14:paraId="034DC82C" w14:textId="7EEE4D83" w:rsidR="00E3250D" w:rsidRDefault="00A1604A">
          <w:pPr>
            <w:pStyle w:val="TOC1"/>
            <w:rPr>
              <w:rFonts w:asciiTheme="minorHAnsi" w:hAnsiTheme="minorHAnsi" w:cstheme="minorBidi"/>
              <w:kern w:val="2"/>
              <w:sz w:val="24"/>
              <w:szCs w:val="24"/>
              <w:lang w:val="sv-SE" w:eastAsia="sv-SE"/>
              <w14:ligatures w14:val="standardContextual"/>
            </w:rPr>
          </w:pPr>
          <w:hyperlink w:anchor="_Toc211351792" w:history="1">
            <w:r w:rsidR="00E3250D" w:rsidRPr="0001169E">
              <w:rPr>
                <w:rStyle w:val="Hyperlink"/>
              </w:rPr>
              <w:t>Task number 5.5: EDI Conduct assessment</w:t>
            </w:r>
            <w:r w:rsidR="00E3250D">
              <w:rPr>
                <w:webHidden/>
              </w:rPr>
              <w:tab/>
            </w:r>
            <w:r w:rsidR="00E3250D">
              <w:rPr>
                <w:webHidden/>
              </w:rPr>
              <w:fldChar w:fldCharType="begin"/>
            </w:r>
            <w:r w:rsidR="00E3250D">
              <w:rPr>
                <w:webHidden/>
              </w:rPr>
              <w:instrText xml:space="preserve"> PAGEREF _Toc211351792 \h </w:instrText>
            </w:r>
            <w:r w:rsidR="00E3250D">
              <w:rPr>
                <w:webHidden/>
              </w:rPr>
            </w:r>
            <w:r w:rsidR="00E3250D">
              <w:rPr>
                <w:webHidden/>
              </w:rPr>
              <w:fldChar w:fldCharType="separate"/>
            </w:r>
            <w:r w:rsidR="00E3250D">
              <w:rPr>
                <w:webHidden/>
              </w:rPr>
              <w:t>128</w:t>
            </w:r>
            <w:r w:rsidR="00E3250D">
              <w:rPr>
                <w:webHidden/>
              </w:rPr>
              <w:fldChar w:fldCharType="end"/>
            </w:r>
          </w:hyperlink>
        </w:p>
        <w:p w14:paraId="5A04EFF0" w14:textId="59242C63" w:rsidR="00E3250D" w:rsidRDefault="00A1604A">
          <w:pPr>
            <w:pStyle w:val="TOC1"/>
            <w:rPr>
              <w:rFonts w:asciiTheme="minorHAnsi" w:hAnsiTheme="minorHAnsi" w:cstheme="minorBidi"/>
              <w:kern w:val="2"/>
              <w:sz w:val="24"/>
              <w:szCs w:val="24"/>
              <w:lang w:val="sv-SE" w:eastAsia="sv-SE"/>
              <w14:ligatures w14:val="standardContextual"/>
            </w:rPr>
          </w:pPr>
          <w:hyperlink w:anchor="_Toc211351793" w:history="1">
            <w:r w:rsidR="00E3250D" w:rsidRPr="0001169E">
              <w:rPr>
                <w:rStyle w:val="Hyperlink"/>
              </w:rPr>
              <w:t>Task number 5.6: Conduct EDI Policy Research (EDI Research Perspectives)</w:t>
            </w:r>
            <w:r w:rsidR="00E3250D">
              <w:rPr>
                <w:webHidden/>
              </w:rPr>
              <w:tab/>
            </w:r>
            <w:r w:rsidR="00E3250D">
              <w:rPr>
                <w:webHidden/>
              </w:rPr>
              <w:fldChar w:fldCharType="begin"/>
            </w:r>
            <w:r w:rsidR="00E3250D">
              <w:rPr>
                <w:webHidden/>
              </w:rPr>
              <w:instrText xml:space="preserve"> PAGEREF _Toc211351793 \h </w:instrText>
            </w:r>
            <w:r w:rsidR="00E3250D">
              <w:rPr>
                <w:webHidden/>
              </w:rPr>
            </w:r>
            <w:r w:rsidR="00E3250D">
              <w:rPr>
                <w:webHidden/>
              </w:rPr>
              <w:fldChar w:fldCharType="separate"/>
            </w:r>
            <w:r w:rsidR="00E3250D">
              <w:rPr>
                <w:webHidden/>
              </w:rPr>
              <w:t>144</w:t>
            </w:r>
            <w:r w:rsidR="00E3250D">
              <w:rPr>
                <w:webHidden/>
              </w:rPr>
              <w:fldChar w:fldCharType="end"/>
            </w:r>
          </w:hyperlink>
        </w:p>
        <w:p w14:paraId="0A75ADA0" w14:textId="197DC853" w:rsidR="00E3250D" w:rsidRDefault="00A1604A">
          <w:pPr>
            <w:pStyle w:val="TOC1"/>
            <w:rPr>
              <w:rFonts w:asciiTheme="minorHAnsi" w:hAnsiTheme="minorHAnsi" w:cstheme="minorBidi"/>
              <w:kern w:val="2"/>
              <w:sz w:val="24"/>
              <w:szCs w:val="24"/>
              <w:lang w:val="sv-SE" w:eastAsia="sv-SE"/>
              <w14:ligatures w14:val="standardContextual"/>
            </w:rPr>
          </w:pPr>
          <w:hyperlink w:anchor="_Toc211351794" w:history="1">
            <w:r w:rsidR="00E3250D" w:rsidRPr="0001169E">
              <w:rPr>
                <w:rStyle w:val="Hyperlink"/>
              </w:rPr>
              <w:t>Task number 5.7: EDI Monitoring</w:t>
            </w:r>
            <w:r w:rsidR="00E3250D">
              <w:rPr>
                <w:webHidden/>
              </w:rPr>
              <w:tab/>
            </w:r>
            <w:r w:rsidR="00E3250D">
              <w:rPr>
                <w:webHidden/>
              </w:rPr>
              <w:fldChar w:fldCharType="begin"/>
            </w:r>
            <w:r w:rsidR="00E3250D">
              <w:rPr>
                <w:webHidden/>
              </w:rPr>
              <w:instrText xml:space="preserve"> PAGEREF _Toc211351794 \h </w:instrText>
            </w:r>
            <w:r w:rsidR="00E3250D">
              <w:rPr>
                <w:webHidden/>
              </w:rPr>
            </w:r>
            <w:r w:rsidR="00E3250D">
              <w:rPr>
                <w:webHidden/>
              </w:rPr>
              <w:fldChar w:fldCharType="separate"/>
            </w:r>
            <w:r w:rsidR="00E3250D">
              <w:rPr>
                <w:webHidden/>
              </w:rPr>
              <w:t>146</w:t>
            </w:r>
            <w:r w:rsidR="00E3250D">
              <w:rPr>
                <w:webHidden/>
              </w:rPr>
              <w:fldChar w:fldCharType="end"/>
            </w:r>
          </w:hyperlink>
        </w:p>
        <w:p w14:paraId="5F9278AA" w14:textId="49697410" w:rsidR="00E3250D" w:rsidRDefault="00A1604A">
          <w:pPr>
            <w:pStyle w:val="TOC1"/>
            <w:rPr>
              <w:rFonts w:asciiTheme="minorHAnsi" w:hAnsiTheme="minorHAnsi" w:cstheme="minorBidi"/>
              <w:kern w:val="2"/>
              <w:sz w:val="24"/>
              <w:szCs w:val="24"/>
              <w:lang w:val="sv-SE" w:eastAsia="sv-SE"/>
              <w14:ligatures w14:val="standardContextual"/>
            </w:rPr>
          </w:pPr>
          <w:hyperlink w:anchor="_Toc211351795" w:history="1">
            <w:r w:rsidR="00E3250D" w:rsidRPr="0001169E">
              <w:rPr>
                <w:rStyle w:val="Hyperlink"/>
              </w:rPr>
              <w:t>Acknowledgment</w:t>
            </w:r>
            <w:r w:rsidR="00E3250D">
              <w:rPr>
                <w:webHidden/>
              </w:rPr>
              <w:tab/>
            </w:r>
            <w:r w:rsidR="00E3250D">
              <w:rPr>
                <w:webHidden/>
              </w:rPr>
              <w:fldChar w:fldCharType="begin"/>
            </w:r>
            <w:r w:rsidR="00E3250D">
              <w:rPr>
                <w:webHidden/>
              </w:rPr>
              <w:instrText xml:space="preserve"> PAGEREF _Toc211351795 \h </w:instrText>
            </w:r>
            <w:r w:rsidR="00E3250D">
              <w:rPr>
                <w:webHidden/>
              </w:rPr>
            </w:r>
            <w:r w:rsidR="00E3250D">
              <w:rPr>
                <w:webHidden/>
              </w:rPr>
              <w:fldChar w:fldCharType="separate"/>
            </w:r>
            <w:r w:rsidR="00E3250D">
              <w:rPr>
                <w:webHidden/>
              </w:rPr>
              <w:t>148</w:t>
            </w:r>
            <w:r w:rsidR="00E3250D">
              <w:rPr>
                <w:webHidden/>
              </w:rPr>
              <w:fldChar w:fldCharType="end"/>
            </w:r>
          </w:hyperlink>
        </w:p>
        <w:p w14:paraId="121BCBA6" w14:textId="112BEBAD" w:rsidR="00591402" w:rsidRPr="00DA2128" w:rsidRDefault="006F155F" w:rsidP="00A937C6">
          <w:pPr>
            <w:spacing w:line="240" w:lineRule="auto"/>
          </w:pPr>
          <w:r w:rsidRPr="00DA2128">
            <w:rPr>
              <w:rFonts w:ascii="AvenirNext LT Pro Regular" w:hAnsi="AvenirNext LT Pro Regular"/>
            </w:rPr>
            <w:fldChar w:fldCharType="end"/>
          </w:r>
        </w:p>
      </w:sdtContent>
    </w:sdt>
    <w:p w14:paraId="7BA8AD53" w14:textId="3AA5BC1A" w:rsidR="0035681A" w:rsidRPr="00DA2128" w:rsidRDefault="006F155F" w:rsidP="00A937C6">
      <w:pPr>
        <w:spacing w:line="240" w:lineRule="auto"/>
      </w:pPr>
      <w:r w:rsidRPr="00DA2128">
        <w:br w:type="page"/>
      </w:r>
    </w:p>
    <w:p w14:paraId="7EC82DF9" w14:textId="5242750A" w:rsidR="00F26ED7" w:rsidRPr="00DA2128" w:rsidRDefault="00F26ED7" w:rsidP="00A937C6">
      <w:pPr>
        <w:pStyle w:val="Heading1"/>
        <w:spacing w:line="240" w:lineRule="auto"/>
      </w:pPr>
      <w:bookmarkStart w:id="3" w:name="_Toc211351786"/>
      <w:r w:rsidRPr="00DA2128">
        <w:lastRenderedPageBreak/>
        <w:t>Introduction</w:t>
      </w:r>
      <w:bookmarkEnd w:id="3"/>
    </w:p>
    <w:p w14:paraId="6098B63F" w14:textId="77777777" w:rsidR="00F26ED7" w:rsidRPr="00DA2128" w:rsidRDefault="00F26ED7" w:rsidP="00A937C6">
      <w:pPr>
        <w:pStyle w:val="Heading2"/>
        <w:spacing w:line="240" w:lineRule="auto"/>
      </w:pPr>
      <w:r w:rsidRPr="00DA2128">
        <w:t xml:space="preserve">Background of the report </w:t>
      </w:r>
    </w:p>
    <w:p w14:paraId="5D948B57" w14:textId="77777777" w:rsidR="00F26ED7" w:rsidRPr="00DA2128" w:rsidRDefault="00F26ED7" w:rsidP="00A937C6">
      <w:pPr>
        <w:spacing w:line="240" w:lineRule="auto"/>
        <w:rPr>
          <w:sz w:val="22"/>
          <w:szCs w:val="22"/>
        </w:rPr>
      </w:pPr>
      <w:r w:rsidRPr="00DA2128">
        <w:rPr>
          <w:sz w:val="22"/>
          <w:szCs w:val="22"/>
        </w:rPr>
        <w:t>This report provides the scientific foundation for developing an inclusive and comprehensive EDI policy within the COLOURS alliance. Through systematic mapping, workshops, research and analysis of existing data and policy frameworks, this report aims to provide an evidence-based understanding of:</w:t>
      </w:r>
    </w:p>
    <w:p w14:paraId="26B27D7F" w14:textId="0E1848A5" w:rsidR="00F26ED7" w:rsidRPr="00DA2128" w:rsidRDefault="00F26ED7" w:rsidP="00027F5B">
      <w:pPr>
        <w:pStyle w:val="ListParagraph"/>
        <w:numPr>
          <w:ilvl w:val="0"/>
          <w:numId w:val="2"/>
        </w:numPr>
        <w:spacing w:line="240" w:lineRule="auto"/>
        <w:rPr>
          <w:sz w:val="22"/>
          <w:szCs w:val="22"/>
        </w:rPr>
      </w:pPr>
      <w:r w:rsidRPr="00DA2128">
        <w:rPr>
          <w:sz w:val="22"/>
          <w:szCs w:val="22"/>
        </w:rPr>
        <w:t>The key benefits and challenges affecting equity, diversity, and inclusion in higher education across Europe.</w:t>
      </w:r>
    </w:p>
    <w:p w14:paraId="28853267" w14:textId="37BE7243" w:rsidR="00F26ED7" w:rsidRPr="00DA2128" w:rsidRDefault="00F26ED7" w:rsidP="00027F5B">
      <w:pPr>
        <w:pStyle w:val="ListParagraph"/>
        <w:numPr>
          <w:ilvl w:val="0"/>
          <w:numId w:val="2"/>
        </w:numPr>
        <w:spacing w:line="240" w:lineRule="auto"/>
        <w:rPr>
          <w:sz w:val="22"/>
          <w:szCs w:val="22"/>
        </w:rPr>
      </w:pPr>
      <w:r w:rsidRPr="00DA2128">
        <w:rPr>
          <w:sz w:val="22"/>
          <w:szCs w:val="22"/>
        </w:rPr>
        <w:t>Reporting of activities and processes that have involved students and staff across the alliance in the research on how we aim to develop EDI within academia.</w:t>
      </w:r>
    </w:p>
    <w:p w14:paraId="18EB54EA" w14:textId="484FD09F" w:rsidR="00F26ED7" w:rsidRPr="00DA2128" w:rsidRDefault="00F26ED7" w:rsidP="00027F5B">
      <w:pPr>
        <w:pStyle w:val="ListParagraph"/>
        <w:numPr>
          <w:ilvl w:val="0"/>
          <w:numId w:val="2"/>
        </w:numPr>
        <w:spacing w:line="240" w:lineRule="auto"/>
        <w:rPr>
          <w:sz w:val="22"/>
          <w:szCs w:val="22"/>
        </w:rPr>
      </w:pPr>
      <w:r w:rsidRPr="00DA2128">
        <w:rPr>
          <w:sz w:val="22"/>
          <w:szCs w:val="22"/>
        </w:rPr>
        <w:t>How COLOURS can adapt and implement these insights to create a sustainable, institution-wide approach to EDI.</w:t>
      </w:r>
    </w:p>
    <w:p w14:paraId="17255107" w14:textId="77777777" w:rsidR="00F26ED7" w:rsidRPr="00DA2128" w:rsidRDefault="00F26ED7" w:rsidP="00A937C6">
      <w:pPr>
        <w:spacing w:line="240" w:lineRule="auto"/>
        <w:rPr>
          <w:sz w:val="22"/>
          <w:szCs w:val="22"/>
        </w:rPr>
      </w:pPr>
      <w:r w:rsidRPr="00DA2128">
        <w:rPr>
          <w:sz w:val="22"/>
          <w:szCs w:val="22"/>
        </w:rPr>
        <w:t>By consolidating research and best practices, the Emerging Evidence Report aims to shift the focus from isolated diversity initiatives to systemic, embedded changes in higher education institutions. The report will analyse existing EDI policies within COLOURS partner universities to identify strengths and gaps while also reviewing how student participation, governance structures, and institutional leadership influence inclusivity. Furthermore, it will explore innovative methodologies for assessing EDI progress, ensuring that future policies are both responsive, resilient and adaptable to changing academic and societal landscapes.</w:t>
      </w:r>
    </w:p>
    <w:p w14:paraId="0DA23FFB" w14:textId="77777777" w:rsidR="00F26ED7" w:rsidRPr="00DA2128" w:rsidRDefault="00F26ED7" w:rsidP="00A937C6">
      <w:pPr>
        <w:spacing w:line="240" w:lineRule="auto"/>
        <w:rPr>
          <w:sz w:val="22"/>
          <w:szCs w:val="22"/>
        </w:rPr>
      </w:pPr>
      <w:r w:rsidRPr="00DA2128">
        <w:rPr>
          <w:sz w:val="22"/>
          <w:szCs w:val="22"/>
        </w:rPr>
        <w:t>A key element of this report is its commitment to operationalising EDI principles in a way that transcends traditional categorisations of disadvantaged groups. Instead of focusing on identifying underrepresented groups, which can raise questions about the ethics of researching them, we advocate for an approach that enhances institutional accessibility for all. The underlying philosophy is that true inclusivity is about fostering environments where every individual can reach full potential without systemic hindrances.</w:t>
      </w:r>
    </w:p>
    <w:p w14:paraId="247D29C5" w14:textId="77777777" w:rsidR="00F26ED7" w:rsidRPr="00DA2128" w:rsidRDefault="00F26ED7" w:rsidP="00A937C6">
      <w:pPr>
        <w:spacing w:line="240" w:lineRule="auto"/>
        <w:rPr>
          <w:sz w:val="22"/>
          <w:szCs w:val="22"/>
        </w:rPr>
      </w:pPr>
      <w:r w:rsidRPr="00DA2128">
        <w:rPr>
          <w:sz w:val="22"/>
          <w:szCs w:val="22"/>
        </w:rPr>
        <w:t>Through this report, COLOURS Alliance aims to ensure that EDI efforts go beyond policy declarations and become proactive, effective strategies that drive lasting transformation within participating universities and, more broadly, within the European higher education landscape.</w:t>
      </w:r>
    </w:p>
    <w:p w14:paraId="70B83D22" w14:textId="77777777" w:rsidR="00F26ED7" w:rsidRPr="00DA2128" w:rsidRDefault="00F26ED7" w:rsidP="00A937C6">
      <w:pPr>
        <w:spacing w:line="240" w:lineRule="auto"/>
      </w:pPr>
    </w:p>
    <w:p w14:paraId="670E47FF" w14:textId="77777777" w:rsidR="00F26ED7" w:rsidRPr="00DA2128" w:rsidRDefault="00F26ED7" w:rsidP="00A937C6">
      <w:pPr>
        <w:pStyle w:val="Subtitle"/>
        <w:spacing w:line="240" w:lineRule="auto"/>
        <w:rPr>
          <w:noProof w:val="0"/>
        </w:rPr>
      </w:pPr>
      <w:r w:rsidRPr="00DA2128">
        <w:rPr>
          <w:noProof w:val="0"/>
        </w:rPr>
        <w:t>The introduction of EDI</w:t>
      </w:r>
    </w:p>
    <w:p w14:paraId="29ECEB36" w14:textId="77777777" w:rsidR="00F26ED7" w:rsidRPr="00DA2128" w:rsidRDefault="00F26ED7" w:rsidP="00A937C6">
      <w:pPr>
        <w:spacing w:line="240" w:lineRule="auto"/>
        <w:rPr>
          <w:sz w:val="22"/>
          <w:szCs w:val="22"/>
        </w:rPr>
      </w:pPr>
      <w:r w:rsidRPr="00DA2128">
        <w:rPr>
          <w:sz w:val="22"/>
          <w:szCs w:val="22"/>
        </w:rPr>
        <w:t>When considering the principles of Equity, Diversity, and Inclusion (EDI), it is important to recognise that no single principle can deliver inclusivity in isolation. Equity addresses structural barriers to fair access, diversity expands representation, and inclusion establishes the everyday conditions necessary for participation and belonging. Individuals who experience a sense of belonging and validation demonstrate improved wellbeing, performance, innovation and creativity (Claeys-Kulik, et al., 2019; UNESCO, 2020, Antoninis et al., 2020; Siri et al., 2022; Zuber, C. D. &amp; Moody, L. 2018; Jones, G., Chirino Chace, B., &amp; Wright, J., 2020). The evidence for the positive outcomes of integrating EDI principles into organisations and institutions is strong, though it also highlights several challenges.</w:t>
      </w:r>
    </w:p>
    <w:p w14:paraId="369ECEB4" w14:textId="0AD9A06C" w:rsidR="00F26ED7" w:rsidRPr="00DA2128" w:rsidRDefault="00F26ED7" w:rsidP="00A937C6">
      <w:pPr>
        <w:spacing w:line="240" w:lineRule="auto"/>
        <w:rPr>
          <w:sz w:val="22"/>
          <w:szCs w:val="22"/>
        </w:rPr>
      </w:pPr>
      <w:r w:rsidRPr="00DA2128">
        <w:rPr>
          <w:sz w:val="22"/>
          <w:szCs w:val="22"/>
        </w:rPr>
        <w:t xml:space="preserve">It is therefore essential to engage with EDI in ways that are evidence-based and grounded in proven practices. Approaches that are not supported by evidence-based research risk generating backlash and undermining both inclusivity and the sense of belonging. When treated in isolation, each EDI principle can fail, often to the detriment of the most underrepresented groups in society. For instance, diversity without inclusion risks tokenism; inclusion without equity may leave structural inequalities intact; and equity without diversity can result in a narrowing of perspectives (Hellerstedt, Uman &amp; Wennberg, 2024). Non-inclusive cultures persist at both structural and </w:t>
      </w:r>
      <w:r w:rsidRPr="00DA2128">
        <w:rPr>
          <w:sz w:val="22"/>
          <w:szCs w:val="22"/>
        </w:rPr>
        <w:lastRenderedPageBreak/>
        <w:t>interpersonal levels (Watson et al., 2023), often manifesting in unequal access to opportunities, underrepresentation of marginalised groups, and environments that fail to fully support or value diverse identities and perspectives. Research demonstrates that diverse groups can only realise their full potential when inclusion is intentionally fostered at all levels, and that effective inclusion requires balancing individuals’ needs and equal access to opportunities. This underscores the need for an integrated, system-wide approach of EDI (Nishii, 2013; Shore et al., 2011; Brewer, 1991).</w:t>
      </w:r>
    </w:p>
    <w:p w14:paraId="52DC669D" w14:textId="77777777" w:rsidR="00C127A3" w:rsidRPr="00DA2128" w:rsidRDefault="00C127A3" w:rsidP="00A937C6">
      <w:pPr>
        <w:spacing w:line="240" w:lineRule="auto"/>
        <w:rPr>
          <w:sz w:val="22"/>
          <w:szCs w:val="22"/>
        </w:rPr>
      </w:pPr>
    </w:p>
    <w:p w14:paraId="2FCB2767" w14:textId="77777777" w:rsidR="001674A1" w:rsidRPr="00DA2128" w:rsidRDefault="001674A1" w:rsidP="00A937C6">
      <w:pPr>
        <w:pStyle w:val="Subtitle"/>
        <w:spacing w:line="240" w:lineRule="auto"/>
        <w:rPr>
          <w:noProof w:val="0"/>
        </w:rPr>
      </w:pPr>
      <w:r w:rsidRPr="00DA2128">
        <w:rPr>
          <w:noProof w:val="0"/>
        </w:rPr>
        <w:t>Intersectionality</w:t>
      </w:r>
    </w:p>
    <w:p w14:paraId="1FB364E6" w14:textId="3C1874AA" w:rsidR="001674A1" w:rsidRPr="00DA2128" w:rsidRDefault="0017775E" w:rsidP="00A937C6">
      <w:pPr>
        <w:spacing w:line="240" w:lineRule="auto"/>
        <w:rPr>
          <w:sz w:val="22"/>
          <w:szCs w:val="22"/>
        </w:rPr>
      </w:pPr>
      <w:r w:rsidRPr="00DA2128">
        <w:rPr>
          <w:sz w:val="22"/>
          <w:szCs w:val="22"/>
        </w:rPr>
        <w:t>I</w:t>
      </w:r>
      <w:r w:rsidR="001674A1" w:rsidRPr="00DA2128">
        <w:rPr>
          <w:sz w:val="22"/>
          <w:szCs w:val="22"/>
        </w:rPr>
        <w:t xml:space="preserve">ntersectionality </w:t>
      </w:r>
      <w:r w:rsidRPr="00DA2128">
        <w:rPr>
          <w:sz w:val="22"/>
          <w:szCs w:val="22"/>
        </w:rPr>
        <w:t xml:space="preserve">is a framework that </w:t>
      </w:r>
      <w:r w:rsidR="001674A1" w:rsidRPr="00DA2128">
        <w:rPr>
          <w:sz w:val="22"/>
          <w:szCs w:val="22"/>
        </w:rPr>
        <w:t xml:space="preserve">deepens the EDI </w:t>
      </w:r>
      <w:r w:rsidRPr="00DA2128">
        <w:rPr>
          <w:sz w:val="22"/>
          <w:szCs w:val="22"/>
        </w:rPr>
        <w:t>principles</w:t>
      </w:r>
      <w:r w:rsidR="001674A1" w:rsidRPr="00DA2128">
        <w:rPr>
          <w:sz w:val="22"/>
          <w:szCs w:val="22"/>
        </w:rPr>
        <w:t xml:space="preserve"> by emphasising the interlocking nature of identity and power. Coined by Kimberlé Crenshaw (1989), intersectionality highlights that individuals experience discrimination or privilege through the combination of multiple identities. For example, consider the experience of a Roma woman in society. If we only focus on her ethnicity, we might miss how her gender also shapes her experience. Similarly, if we only consider gender, we might overlook the ways in which her experience as a Roma person is different from women of other ethnic backgrounds. Intersectionality helps us recognise that her experiences are shaped by being both Roma and a woman. The challenges faced by a Roma woman cannot be fully understood by looking at ethnicity or gender alone; her lived experience is shaped by both simultaneously, along with possible influences of socio-economic status, disability, or migration background. This lens underscores the need for disaggregated data, comprehensive evaluation, and holistic interventions that move beyond single-issue approaches. (Crenshaw, 2022). </w:t>
      </w:r>
    </w:p>
    <w:p w14:paraId="40329429" w14:textId="77777777" w:rsidR="001674A1" w:rsidRPr="00DA2128" w:rsidRDefault="001674A1" w:rsidP="00A937C6">
      <w:pPr>
        <w:spacing w:line="240" w:lineRule="auto"/>
        <w:rPr>
          <w:sz w:val="22"/>
          <w:szCs w:val="22"/>
        </w:rPr>
      </w:pPr>
      <w:r w:rsidRPr="00DA2128">
        <w:rPr>
          <w:sz w:val="22"/>
          <w:szCs w:val="22"/>
        </w:rPr>
        <w:t>Understanding intersectionality, for instance, can help create more inclusive and supportive environments. It encourages institutions and organisations to recognise that a person's challenges or barriers to success may be influenced by the interplay of various aspects of their identity. For a Roma woman who may face prejudice based on her ethnicity, gender, and possibly her socioeconomic status, support systems that address only one aspect of her identity might not be sufficient to help her overcome the unique obstacles she encounters.</w:t>
      </w:r>
    </w:p>
    <w:p w14:paraId="6F6AC31B" w14:textId="77777777" w:rsidR="001674A1" w:rsidRPr="00DA2128" w:rsidRDefault="001674A1" w:rsidP="00A937C6">
      <w:pPr>
        <w:spacing w:line="240" w:lineRule="auto"/>
        <w:rPr>
          <w:sz w:val="22"/>
          <w:szCs w:val="22"/>
        </w:rPr>
      </w:pPr>
      <w:r w:rsidRPr="00DA2128">
        <w:rPr>
          <w:sz w:val="22"/>
          <w:szCs w:val="22"/>
        </w:rPr>
        <w:t>By applying an intersectional lens, institutions, organisations, and societies can develop policies, programs, and resources that address the diverse and intersecting needs of individuals, ensuring that no one is left behind. Intersectionality encourages us to listen to and uplift the voices of those who face multiple forms of oppression, contributing to building a more equitable and inclusive society. By recognising and valuing the complexities of individual experiences, intersectionality helps us move beyond surface-level understandings of diversity and inclusion and toward a more comprehensive approach that respects the full spectrum of human identities.</w:t>
      </w:r>
    </w:p>
    <w:p w14:paraId="056C9F92" w14:textId="77777777" w:rsidR="00F26ED7" w:rsidRPr="00DA2128" w:rsidRDefault="00F26ED7" w:rsidP="00A937C6">
      <w:pPr>
        <w:spacing w:line="240" w:lineRule="auto"/>
      </w:pPr>
    </w:p>
    <w:p w14:paraId="33324A41" w14:textId="77777777" w:rsidR="00F26ED7" w:rsidRPr="00DA2128" w:rsidRDefault="00F26ED7" w:rsidP="00A937C6">
      <w:pPr>
        <w:pStyle w:val="Subtitle"/>
        <w:spacing w:line="240" w:lineRule="auto"/>
        <w:rPr>
          <w:noProof w:val="0"/>
        </w:rPr>
      </w:pPr>
      <w:r w:rsidRPr="00DA2128">
        <w:rPr>
          <w:noProof w:val="0"/>
        </w:rPr>
        <w:t>Equity</w:t>
      </w:r>
    </w:p>
    <w:p w14:paraId="2B576B84" w14:textId="77777777" w:rsidR="00F26ED7" w:rsidRPr="00DA2128" w:rsidRDefault="00F26ED7" w:rsidP="00A937C6">
      <w:pPr>
        <w:spacing w:line="240" w:lineRule="auto"/>
        <w:rPr>
          <w:sz w:val="22"/>
          <w:szCs w:val="22"/>
        </w:rPr>
      </w:pPr>
      <w:r w:rsidRPr="00DA2128">
        <w:rPr>
          <w:sz w:val="22"/>
          <w:szCs w:val="22"/>
        </w:rPr>
        <w:t>Equity is the foundation of the EDI framework. It is grounded in fairness and justice, aiming to correct systemic imbalances that prevent individuals from fully accessing opportunities. Equity acknowledges that learners and staff do not begin from the same starting point due to factors such as socio-economic status, ethnicity, gender, disability, or linguistic background. Unlike equality, which presumes identical treatment, equity requires differentiated strategies that address specific barriers and provide tailored support. Equity, therefore, demands systemic reform. It requires institutions to interrogate the ways in which their structures, policies, and practices perpetuate inequalities, and to take deliberate steps to dismantle these barriers (Siri et al., 2022).</w:t>
      </w:r>
    </w:p>
    <w:p w14:paraId="302F2164" w14:textId="77777777" w:rsidR="00C127A3" w:rsidRPr="00DA2128" w:rsidRDefault="00C127A3" w:rsidP="00A937C6">
      <w:pPr>
        <w:spacing w:line="240" w:lineRule="auto"/>
      </w:pPr>
    </w:p>
    <w:p w14:paraId="53C480DE" w14:textId="77777777" w:rsidR="00F26ED7" w:rsidRPr="00DA2128" w:rsidRDefault="00F26ED7" w:rsidP="00A937C6">
      <w:pPr>
        <w:pStyle w:val="Subtitle"/>
        <w:spacing w:line="240" w:lineRule="auto"/>
        <w:rPr>
          <w:noProof w:val="0"/>
        </w:rPr>
      </w:pPr>
      <w:r w:rsidRPr="00DA2128">
        <w:rPr>
          <w:noProof w:val="0"/>
        </w:rPr>
        <w:lastRenderedPageBreak/>
        <w:t>Diversity</w:t>
      </w:r>
    </w:p>
    <w:p w14:paraId="34909D4A" w14:textId="77777777" w:rsidR="00F26ED7" w:rsidRPr="00DA2128" w:rsidRDefault="00F26ED7" w:rsidP="00A937C6">
      <w:pPr>
        <w:spacing w:line="240" w:lineRule="auto"/>
        <w:rPr>
          <w:sz w:val="22"/>
          <w:szCs w:val="22"/>
        </w:rPr>
      </w:pPr>
      <w:r w:rsidRPr="00DA2128">
        <w:rPr>
          <w:sz w:val="22"/>
          <w:szCs w:val="22"/>
        </w:rPr>
        <w:t>Diversity refers to the presence of differences in its broadest sense. It encompasses both visible and invisible characteristics, including ethnicity, age, gender, physical ability, and neurodiversity, as well as sexual orientation, religion, socio-economic status, and lived experiences. Evidence consistently demonstrates that heterogeneous teams outperform homogeneous ones in problem-solving and innovation (Jones, G. et al., 2020). In educational settings, exposure to diverse peers cultivates empathy, critical thinking, and adaptability, which are skills crucial for graduates entering increasingly complex labour markets (Siri et. al., 2022). Yet, diversity in itself does not guarantee inclusion. Without structures of equity and cultures of belonging, diversity risks becoming tokenistic or symbolic, rather than transformative (Hellerstedt, Uman &amp; Wennberg, 2024)</w:t>
      </w:r>
    </w:p>
    <w:p w14:paraId="1BCA0A61" w14:textId="77777777" w:rsidR="001D59F6" w:rsidRPr="00DA2128" w:rsidRDefault="001D59F6" w:rsidP="00A937C6">
      <w:pPr>
        <w:spacing w:line="240" w:lineRule="auto"/>
        <w:rPr>
          <w:sz w:val="22"/>
          <w:szCs w:val="22"/>
        </w:rPr>
      </w:pPr>
    </w:p>
    <w:p w14:paraId="2AEEF527" w14:textId="77777777" w:rsidR="00F26ED7" w:rsidRPr="00DA2128" w:rsidRDefault="00F26ED7" w:rsidP="00A937C6">
      <w:pPr>
        <w:pStyle w:val="Subtitle"/>
        <w:spacing w:line="240" w:lineRule="auto"/>
        <w:rPr>
          <w:noProof w:val="0"/>
        </w:rPr>
      </w:pPr>
      <w:r w:rsidRPr="00DA2128">
        <w:rPr>
          <w:noProof w:val="0"/>
        </w:rPr>
        <w:t>Inclusion</w:t>
      </w:r>
    </w:p>
    <w:p w14:paraId="2C3FA7C5" w14:textId="77777777" w:rsidR="00F26ED7" w:rsidRPr="00DA2128" w:rsidRDefault="00F26ED7" w:rsidP="00A937C6">
      <w:pPr>
        <w:spacing w:line="240" w:lineRule="auto"/>
        <w:rPr>
          <w:sz w:val="22"/>
          <w:szCs w:val="22"/>
        </w:rPr>
      </w:pPr>
      <w:r w:rsidRPr="00DA2128">
        <w:rPr>
          <w:sz w:val="22"/>
          <w:szCs w:val="22"/>
        </w:rPr>
        <w:t>Inclusion extends beyond the recognition of diversity since it entails the creation of environments in which every individual feels valued, respected, and empowered to participate fully. It is not confined to the fulfilment of legal or procedural requirements but requires deliberate and proactive efforts to remove structural barriers and to foster belonging. Genuine inclusion, therefore, demands systems that embrace open dialogue, acknowledge diverse forms of lived experience, enable flexible pathways for engagement, and ensure that marginalised voices are represented in decision-making processes and can shape collective outcomes (Nishii, 2013).</w:t>
      </w:r>
    </w:p>
    <w:p w14:paraId="2113F8CD" w14:textId="77777777" w:rsidR="00F26ED7" w:rsidRPr="00DA2128" w:rsidRDefault="00F26ED7" w:rsidP="00A937C6">
      <w:pPr>
        <w:spacing w:line="240" w:lineRule="auto"/>
        <w:rPr>
          <w:sz w:val="22"/>
          <w:szCs w:val="22"/>
        </w:rPr>
      </w:pPr>
      <w:r w:rsidRPr="00DA2128">
        <w:rPr>
          <w:sz w:val="22"/>
          <w:szCs w:val="22"/>
        </w:rPr>
        <w:t xml:space="preserve">A productive way to conceptualise inclusion in modern societies is through the Quadruple Helix framework, which situates civil society as a fourth actor alongside government, industry, and academia. This model shifts inclusion from a rhetorical commitment to a structural reality, recognising that meaningful social progress cannot occur without the active participation of citizens and communities in general and marginalised groups specifically. Civil society provides the lived insights, contextual knowledge, and social legitimacy necessary to ensure that policies, innovations, and initiatives resonate with societal needs. </w:t>
      </w:r>
    </w:p>
    <w:p w14:paraId="163C87D9" w14:textId="77777777" w:rsidR="00F26ED7" w:rsidRPr="00DA2128" w:rsidRDefault="00F26ED7" w:rsidP="00A937C6">
      <w:pPr>
        <w:spacing w:line="240" w:lineRule="auto"/>
        <w:rPr>
          <w:sz w:val="22"/>
          <w:szCs w:val="22"/>
        </w:rPr>
      </w:pPr>
      <w:r w:rsidRPr="00DA2128">
        <w:rPr>
          <w:sz w:val="22"/>
          <w:szCs w:val="22"/>
        </w:rPr>
        <w:t xml:space="preserve">Inclusive practices necessitate proactive measures to ensure that individuals from all backgrounds feel a sense of belonging and can participate fully in academic and social life. Thus, it is both a cultural and structural project. It asks institutions and organisations to move from passive tolerance of difference to active celebration and integration of diversity into their core missions (Watson et al., 2023; Siri et. al., 2022). </w:t>
      </w:r>
    </w:p>
    <w:p w14:paraId="7A90582C" w14:textId="220D6395" w:rsidR="00F26ED7" w:rsidRPr="00DA2128" w:rsidRDefault="00F26ED7" w:rsidP="00A937C6">
      <w:pPr>
        <w:spacing w:line="240" w:lineRule="auto"/>
      </w:pPr>
    </w:p>
    <w:p w14:paraId="29E81F49" w14:textId="77777777" w:rsidR="007E6C4E" w:rsidRPr="00DA2128" w:rsidRDefault="007E6C4E" w:rsidP="00A937C6">
      <w:pPr>
        <w:spacing w:line="240" w:lineRule="auto"/>
      </w:pPr>
    </w:p>
    <w:p w14:paraId="34676302" w14:textId="77777777" w:rsidR="00F26ED7" w:rsidRPr="00DA2128" w:rsidRDefault="00F26ED7" w:rsidP="00A937C6">
      <w:pPr>
        <w:pStyle w:val="Sub-subheading"/>
        <w:spacing w:line="240" w:lineRule="auto"/>
        <w:rPr>
          <w:b/>
          <w:bCs/>
        </w:rPr>
      </w:pPr>
      <w:r w:rsidRPr="00DA2128">
        <w:rPr>
          <w:b/>
          <w:bCs/>
        </w:rPr>
        <w:t>References</w:t>
      </w:r>
    </w:p>
    <w:p w14:paraId="7D4E1D6A" w14:textId="77777777" w:rsidR="00F26ED7" w:rsidRPr="00DA2128" w:rsidRDefault="00F26ED7" w:rsidP="00A937C6">
      <w:pPr>
        <w:spacing w:line="240" w:lineRule="auto"/>
        <w:rPr>
          <w:sz w:val="22"/>
          <w:szCs w:val="22"/>
        </w:rPr>
      </w:pPr>
      <w:r w:rsidRPr="00DA2128">
        <w:rPr>
          <w:sz w:val="22"/>
          <w:szCs w:val="22"/>
        </w:rPr>
        <w:t>Crenshaw, K. (1989) ‘Demarginalizing the Intersection of Race and Sex: A Black Feminist Critique of Antidiscrimination Doctrine, Feminist Theory and Antiracist Politics’, University of Chicago Legal Forum, 1989(1), pp. 139–167.</w:t>
      </w:r>
    </w:p>
    <w:p w14:paraId="38CB559B" w14:textId="77777777" w:rsidR="00F26ED7" w:rsidRPr="00DA2128" w:rsidRDefault="00F26ED7" w:rsidP="00A937C6">
      <w:pPr>
        <w:spacing w:line="240" w:lineRule="auto"/>
        <w:rPr>
          <w:sz w:val="22"/>
          <w:szCs w:val="22"/>
        </w:rPr>
      </w:pPr>
      <w:r w:rsidRPr="00DA2128">
        <w:rPr>
          <w:sz w:val="22"/>
          <w:szCs w:val="22"/>
        </w:rPr>
        <w:t>Crenshaw, K. (2022) On Intersectionality: Essential Writings. New York: The New Press</w:t>
      </w:r>
    </w:p>
    <w:p w14:paraId="6B9FFCF0" w14:textId="77777777" w:rsidR="00F26ED7" w:rsidRPr="00DA2128" w:rsidRDefault="00F26ED7" w:rsidP="00A937C6">
      <w:pPr>
        <w:spacing w:line="240" w:lineRule="auto"/>
        <w:rPr>
          <w:sz w:val="22"/>
          <w:szCs w:val="22"/>
        </w:rPr>
      </w:pPr>
      <w:r w:rsidRPr="00DA2128">
        <w:rPr>
          <w:sz w:val="22"/>
          <w:szCs w:val="22"/>
        </w:rPr>
        <w:t>ANTONINIS, M., APRIL, D., BARAKAT, B., BELLA, N., D’ADDIO, A. C., ECK, M., ENDRIZZI, F., JOSHI, P., KUBACKA, K. &amp; MCWILLIAM, A. 2020. All means all: An introduction to the 2020 Global Education Monitoring Report on inclusion. Prospects, 49, 103-109.</w:t>
      </w:r>
    </w:p>
    <w:p w14:paraId="73B77706" w14:textId="77777777" w:rsidR="00F26ED7" w:rsidRPr="00DA2128" w:rsidRDefault="00F26ED7" w:rsidP="00A937C6">
      <w:pPr>
        <w:spacing w:line="240" w:lineRule="auto"/>
        <w:rPr>
          <w:sz w:val="22"/>
          <w:szCs w:val="22"/>
        </w:rPr>
      </w:pPr>
      <w:r w:rsidRPr="00DA2128">
        <w:rPr>
          <w:sz w:val="22"/>
          <w:szCs w:val="22"/>
        </w:rPr>
        <w:t>Brewer, M. B. (1991). On being the same and different at the same time. Personality and social psychology bulletin, 17(5), 475-82.</w:t>
      </w:r>
    </w:p>
    <w:p w14:paraId="605E1A7D" w14:textId="77777777" w:rsidR="00F26ED7" w:rsidRPr="00DA2128" w:rsidRDefault="00F26ED7" w:rsidP="00A937C6">
      <w:pPr>
        <w:spacing w:line="240" w:lineRule="auto"/>
        <w:rPr>
          <w:sz w:val="22"/>
          <w:szCs w:val="22"/>
        </w:rPr>
      </w:pPr>
      <w:r w:rsidRPr="00DA2128">
        <w:rPr>
          <w:sz w:val="22"/>
          <w:szCs w:val="22"/>
        </w:rPr>
        <w:lastRenderedPageBreak/>
        <w:t>CLAEYS-KULIK, A.-L., JØRGENSEN, T. E. &amp; STÖBER, H. 2019. Diversity, equity and inclusion in European higher education institutions. Results from the INVITED Project. Brussel: European University Association Asil, 51.</w:t>
      </w:r>
    </w:p>
    <w:p w14:paraId="152B0A40" w14:textId="77777777" w:rsidR="00F26ED7" w:rsidRPr="00DA2128" w:rsidRDefault="00F26ED7" w:rsidP="00A937C6">
      <w:pPr>
        <w:spacing w:line="240" w:lineRule="auto"/>
        <w:rPr>
          <w:sz w:val="22"/>
          <w:szCs w:val="22"/>
        </w:rPr>
      </w:pPr>
      <w:r w:rsidRPr="00DA2128">
        <w:rPr>
          <w:sz w:val="22"/>
          <w:szCs w:val="22"/>
        </w:rPr>
        <w:t>Jones, G., Chirino Chace, B., &amp; Wright, J. (2020). Cultural diversity drives innovation: empowering teams for success. international Journal of innovation science, 12(3), 323-343.</w:t>
      </w:r>
    </w:p>
    <w:p w14:paraId="2F34EEC0" w14:textId="77777777" w:rsidR="00F26ED7" w:rsidRPr="00DA2128" w:rsidRDefault="00F26ED7" w:rsidP="00A937C6">
      <w:pPr>
        <w:spacing w:line="240" w:lineRule="auto"/>
        <w:rPr>
          <w:sz w:val="22"/>
          <w:szCs w:val="22"/>
        </w:rPr>
      </w:pPr>
      <w:r w:rsidRPr="00DA2128">
        <w:rPr>
          <w:sz w:val="22"/>
          <w:szCs w:val="22"/>
        </w:rPr>
        <w:t>Nishii, L.H. (2013) ‘The Benefits of Climate for Inclusion for Gender-Diverse Groups’, The Academy of Management Journal, 56(6), pp. 1754–1774. Available at: https://research.ebsco.com/linkprocessor/plink?id=a5af5f13-5d64-37f6-b671-2e36f4bb628c (Accessed: 1 September 2025).</w:t>
      </w:r>
    </w:p>
    <w:p w14:paraId="1CB809C1" w14:textId="77777777" w:rsidR="00F26ED7" w:rsidRPr="00DA2128" w:rsidRDefault="00F26ED7" w:rsidP="00A937C6">
      <w:pPr>
        <w:spacing w:line="240" w:lineRule="auto"/>
        <w:rPr>
          <w:sz w:val="22"/>
          <w:szCs w:val="22"/>
        </w:rPr>
      </w:pPr>
      <w:r w:rsidRPr="00DA2128">
        <w:rPr>
          <w:sz w:val="22"/>
          <w:szCs w:val="22"/>
        </w:rPr>
        <w:t>Hellerstedt, K., Uman, T., &amp; Wennberg, K. (2024). Fooled by diversity? When diversity initiatives exacerbate rather than mitigate bias and inequality. Academy of Management Perspectives, 38(1), 23-42.</w:t>
      </w:r>
    </w:p>
    <w:p w14:paraId="5B5AE7F6" w14:textId="77777777" w:rsidR="00F26ED7" w:rsidRPr="00DA2128" w:rsidRDefault="00F26ED7" w:rsidP="00A937C6">
      <w:pPr>
        <w:spacing w:line="240" w:lineRule="auto"/>
        <w:rPr>
          <w:sz w:val="22"/>
          <w:szCs w:val="22"/>
        </w:rPr>
      </w:pPr>
      <w:r w:rsidRPr="00DA2128">
        <w:rPr>
          <w:sz w:val="22"/>
          <w:szCs w:val="22"/>
        </w:rPr>
        <w:t>UNESCO 2020. Global education monitoring report: Inclusion and education. ‘All means all’.</w:t>
      </w:r>
    </w:p>
    <w:p w14:paraId="4981A0B5" w14:textId="77777777" w:rsidR="00F26ED7" w:rsidRPr="00DA2128" w:rsidRDefault="00F26ED7" w:rsidP="00A937C6">
      <w:pPr>
        <w:spacing w:line="240" w:lineRule="auto"/>
        <w:rPr>
          <w:sz w:val="22"/>
          <w:szCs w:val="22"/>
        </w:rPr>
      </w:pPr>
      <w:r w:rsidRPr="00DA2128">
        <w:rPr>
          <w:sz w:val="22"/>
          <w:szCs w:val="22"/>
        </w:rPr>
        <w:t>SIRI, A., LEONE, C. &amp; BENCIVENGA, R. 2022. Equality, Diversity, and Inclusion Strategies Adopted in a European University Alliance to Facilitate the Higher Education-to-Work Transition. Societies, 12, 140</w:t>
      </w:r>
    </w:p>
    <w:p w14:paraId="0CFF1F84" w14:textId="77777777" w:rsidR="00F26ED7" w:rsidRPr="00DA2128" w:rsidRDefault="00F26ED7" w:rsidP="00A937C6">
      <w:pPr>
        <w:spacing w:line="240" w:lineRule="auto"/>
        <w:rPr>
          <w:sz w:val="22"/>
          <w:szCs w:val="22"/>
        </w:rPr>
      </w:pPr>
      <w:r w:rsidRPr="00DA2128">
        <w:rPr>
          <w:sz w:val="22"/>
          <w:szCs w:val="22"/>
        </w:rPr>
        <w:t>WATSON, H. R., WISDOM, H., MICHAEL, C., MARSHALL, N. &amp; NEVE, H. 2023. Equality pledges: A novel approach to embedding EDI and promoting positive culture change in a UK university. Equity in Education &amp; Society, 2, 110-122.</w:t>
      </w:r>
    </w:p>
    <w:p w14:paraId="3268C3AD" w14:textId="6C598294" w:rsidR="00F26ED7" w:rsidRPr="00DA2128" w:rsidRDefault="00F26ED7" w:rsidP="00A937C6">
      <w:pPr>
        <w:spacing w:line="240" w:lineRule="auto"/>
        <w:rPr>
          <w:sz w:val="22"/>
          <w:szCs w:val="22"/>
        </w:rPr>
      </w:pPr>
      <w:r w:rsidRPr="00DA2128">
        <w:rPr>
          <w:sz w:val="22"/>
          <w:szCs w:val="22"/>
        </w:rPr>
        <w:t>ZUBER, C. D. &amp; MOODY, L. 2018. Creativity and innovation in health care: tapping into organizational enablers through human-centered design. Nursing Administration Quarterly, 42, 62-75.</w:t>
      </w:r>
    </w:p>
    <w:p w14:paraId="78278A94" w14:textId="77777777" w:rsidR="00F26ED7" w:rsidRPr="00DA2128" w:rsidRDefault="00F26ED7" w:rsidP="00A937C6">
      <w:pPr>
        <w:spacing w:line="240" w:lineRule="auto"/>
      </w:pPr>
    </w:p>
    <w:p w14:paraId="1FFC3B97" w14:textId="77777777" w:rsidR="00F26ED7" w:rsidRPr="00DA2128" w:rsidRDefault="00F26ED7" w:rsidP="00A937C6">
      <w:pPr>
        <w:pStyle w:val="Heading2"/>
        <w:spacing w:line="240" w:lineRule="auto"/>
      </w:pPr>
      <w:r w:rsidRPr="00DA2128">
        <w:t>EDI in the European academic context</w:t>
      </w:r>
    </w:p>
    <w:p w14:paraId="2A86D205" w14:textId="77777777" w:rsidR="00F26ED7" w:rsidRPr="00DA2128" w:rsidRDefault="00F26ED7" w:rsidP="00A937C6">
      <w:pPr>
        <w:spacing w:line="240" w:lineRule="auto"/>
        <w:rPr>
          <w:sz w:val="22"/>
          <w:szCs w:val="22"/>
        </w:rPr>
      </w:pPr>
      <w:r w:rsidRPr="00DA2128">
        <w:rPr>
          <w:sz w:val="22"/>
          <w:szCs w:val="22"/>
        </w:rPr>
        <w:t>Equity, Diversity, and Inclusion (EDI) have become central concepts in higher education, reflecting the growing recognition that academic excellence cannot be separated from fairness, representation, and belonging (Rome Communiqué, 2020). Equity, diversity, and inclusion are thus principles that address distinct yet interrelated aspects of institutional transformation. At the same time, the framework of intersectionality provides the necessary analytical depth to capture the complexity students experience and find adaptable solutions to meet their needs. Understanding these principles and their interconnections is essential for designing universities that are both globally competitive and socially just (European Commission European Education Culture Executive Agency et al., 2022.)</w:t>
      </w:r>
    </w:p>
    <w:p w14:paraId="1133CC35" w14:textId="77777777" w:rsidR="00F26ED7" w:rsidRPr="00DA2128" w:rsidRDefault="00F26ED7" w:rsidP="00A937C6">
      <w:pPr>
        <w:spacing w:line="240" w:lineRule="auto"/>
      </w:pPr>
    </w:p>
    <w:p w14:paraId="0B2DBE30" w14:textId="77777777" w:rsidR="00F26ED7" w:rsidRPr="00DA2128" w:rsidRDefault="00F26ED7" w:rsidP="00A937C6">
      <w:pPr>
        <w:pStyle w:val="Heading2"/>
        <w:spacing w:line="240" w:lineRule="auto"/>
      </w:pPr>
      <w:r w:rsidRPr="00DA2128">
        <w:t>Background and development of EDI in the European Higher Education</w:t>
      </w:r>
    </w:p>
    <w:p w14:paraId="74E5DC00" w14:textId="77777777" w:rsidR="00F26ED7" w:rsidRPr="00DA2128" w:rsidRDefault="00F26ED7" w:rsidP="00A937C6">
      <w:pPr>
        <w:spacing w:line="240" w:lineRule="auto"/>
        <w:rPr>
          <w:sz w:val="22"/>
          <w:szCs w:val="22"/>
        </w:rPr>
      </w:pPr>
      <w:r w:rsidRPr="00DA2128">
        <w:rPr>
          <w:sz w:val="22"/>
          <w:szCs w:val="22"/>
        </w:rPr>
        <w:t xml:space="preserve">Within the European Higher Education Area (EHEA), EDI has been framed as a strategic imperative linked to both institutional performance and democratic values, as well as shaping national and institutional policies across Europe (Konstantinidou, 2025). This framework reflects broader democratic commitments and aligns with EU-level initiatives that promote equity and inclusion in higher education and research. </w:t>
      </w:r>
    </w:p>
    <w:p w14:paraId="3135DE6B" w14:textId="77777777" w:rsidR="00F26ED7" w:rsidRPr="00DA2128" w:rsidRDefault="00F26ED7" w:rsidP="00A937C6">
      <w:pPr>
        <w:spacing w:line="240" w:lineRule="auto"/>
        <w:rPr>
          <w:sz w:val="22"/>
          <w:szCs w:val="22"/>
        </w:rPr>
      </w:pPr>
      <w:r w:rsidRPr="00DA2128">
        <w:rPr>
          <w:sz w:val="22"/>
          <w:szCs w:val="22"/>
        </w:rPr>
        <w:t xml:space="preserve">The Bologna Process, initiated in 1999, gradually integrated the principle of the “social dimension” into its framework. This concept asserts that the composition of student bodies </w:t>
      </w:r>
      <w:r w:rsidRPr="00DA2128">
        <w:rPr>
          <w:sz w:val="22"/>
          <w:szCs w:val="22"/>
        </w:rPr>
        <w:lastRenderedPageBreak/>
        <w:t>applying, entering and completing their studies across Europe should reflect the diversity of society, and that higher education systems must take active steps to remove barriers to participation and completion (Communiqué Rome, 2020; Konstantinidou, 2025). The Tirana Communiqué (2024) reinforced this commitment, explicitly calling for an “inclusive EHEA by 2030,” supported by improved data collection through instruments such as EUROSTUDENT. These communiqués underscore that EDI is no longer peripheral but central to the legitimacy and sustainability of European higher education (European Higher Education Area, 2024).</w:t>
      </w:r>
    </w:p>
    <w:p w14:paraId="7AA2706E" w14:textId="77777777" w:rsidR="00F26ED7" w:rsidRPr="00DA2128" w:rsidRDefault="00F26ED7" w:rsidP="00A937C6">
      <w:pPr>
        <w:spacing w:line="240" w:lineRule="auto"/>
        <w:rPr>
          <w:sz w:val="22"/>
          <w:szCs w:val="22"/>
        </w:rPr>
      </w:pPr>
      <w:r w:rsidRPr="00DA2128">
        <w:rPr>
          <w:sz w:val="22"/>
          <w:szCs w:val="22"/>
        </w:rPr>
        <w:t>Parallel EU initiatives reinforce this path. Under Horizon Europe, all public bodies, research organisations, and higher education institutions from EU Member States and associated countries submitting proposals for calls with deadlines from 2022 onwards are required to have a Gender Equality Plan (GEP) or an equivalent strategy in place as a condition for funding eligibility (European Commission et al., 2021). In addition, to foster greater diversity in research and innovation (R&amp;I), the European Commission is expanding its gender policy framework to address intersecting social dimensions such as ethnicity, disability, and sexual orientation (European Commission et al., 2022). This reflects a systemic recognition that excellence in research and education cannot be achieved without addressing structural discrimination and ensuring equitable participation. Eurydice reports further argue for flexible study pathways, lifelong learning opportunities, and institutional governance structures that prioritise inclusivity (European Commission, European Education and Culture Executive Agency et al., 2022).</w:t>
      </w:r>
    </w:p>
    <w:p w14:paraId="7188722C" w14:textId="77777777" w:rsidR="001D59F6" w:rsidRPr="00DA2128" w:rsidRDefault="001D59F6" w:rsidP="00A937C6">
      <w:pPr>
        <w:spacing w:line="240" w:lineRule="auto"/>
        <w:rPr>
          <w:sz w:val="22"/>
          <w:szCs w:val="22"/>
        </w:rPr>
      </w:pPr>
    </w:p>
    <w:p w14:paraId="44C029B1" w14:textId="77777777" w:rsidR="00F26ED7" w:rsidRPr="00DA2128" w:rsidRDefault="00F26ED7" w:rsidP="00A937C6">
      <w:pPr>
        <w:pStyle w:val="Subtitle"/>
        <w:spacing w:line="240" w:lineRule="auto"/>
        <w:rPr>
          <w:noProof w:val="0"/>
        </w:rPr>
      </w:pPr>
      <w:r w:rsidRPr="00DA2128">
        <w:rPr>
          <w:noProof w:val="0"/>
        </w:rPr>
        <w:t>Equity in European Higher Education</w:t>
      </w:r>
    </w:p>
    <w:p w14:paraId="4861195C" w14:textId="566CE0F7" w:rsidR="001D59F6" w:rsidRPr="00DA2128" w:rsidRDefault="00F26ED7" w:rsidP="00A937C6">
      <w:pPr>
        <w:spacing w:line="240" w:lineRule="auto"/>
        <w:rPr>
          <w:sz w:val="22"/>
          <w:szCs w:val="22"/>
        </w:rPr>
      </w:pPr>
      <w:r w:rsidRPr="00DA2128">
        <w:rPr>
          <w:sz w:val="22"/>
          <w:szCs w:val="22"/>
        </w:rPr>
        <w:t>In this context, the first principle of EDI, Equity, is in primary focus. It is closely tied to traditions of social justice and fairness, emphasising the need to redress systemic disadvantage for student and staff. Rooted in critiques of equality as “sameness,” equity highlights how individuals experience differing starting points due to structural barriers such as racism, patriarchy, and economic stratification. Equity calls for differentiated strategies that provide tailored resources and support. In higher education, this translates into interventions such as targeted scholarships for underrepresented students, language support for migrants, accessible digital tools for disabled learners and staff, and transparency in recruitment (European Commission European Education and Culture Executive Agency et al., 2022; UNESCO, 2020; European Commission, 2025). Equity, therefore, embodies both corrective justice and forward-looking reform, demanding that historical inequities should be actively dismantled and not passively tolerated.</w:t>
      </w:r>
    </w:p>
    <w:p w14:paraId="402ED89B" w14:textId="77777777" w:rsidR="00E9152D" w:rsidRPr="00DA2128" w:rsidRDefault="00E9152D" w:rsidP="00A937C6">
      <w:pPr>
        <w:spacing w:line="240" w:lineRule="auto"/>
        <w:rPr>
          <w:sz w:val="22"/>
          <w:szCs w:val="22"/>
        </w:rPr>
      </w:pPr>
    </w:p>
    <w:p w14:paraId="3F9A5533" w14:textId="77777777" w:rsidR="00F26ED7" w:rsidRPr="00DA2128" w:rsidRDefault="00F26ED7" w:rsidP="00A937C6">
      <w:pPr>
        <w:pStyle w:val="Subtitle"/>
        <w:spacing w:line="240" w:lineRule="auto"/>
        <w:rPr>
          <w:noProof w:val="0"/>
        </w:rPr>
      </w:pPr>
      <w:r w:rsidRPr="00DA2128">
        <w:rPr>
          <w:noProof w:val="0"/>
        </w:rPr>
        <w:t>Diversity in European Higher Education</w:t>
      </w:r>
    </w:p>
    <w:p w14:paraId="1EC36583" w14:textId="77777777" w:rsidR="00F26ED7" w:rsidRPr="00DA2128" w:rsidRDefault="00F26ED7" w:rsidP="00A937C6">
      <w:pPr>
        <w:spacing w:line="240" w:lineRule="auto"/>
        <w:rPr>
          <w:sz w:val="22"/>
          <w:szCs w:val="22"/>
        </w:rPr>
      </w:pPr>
      <w:r w:rsidRPr="00DA2128">
        <w:rPr>
          <w:sz w:val="22"/>
          <w:szCs w:val="22"/>
        </w:rPr>
        <w:t>Diversity, on the other hand, gained prominence in European education and policy discourse in the late twentieth century and has since become embedded in higher education strategies as part of broader commitments to democratic pluralism and internationalisation (Kivinen, O. &amp; Rinne, R., 1991; Reichert, S., 2009). The expansion of cross-border mobility brought a growing variety of linguistic, cultural, and socio-economic backgrounds into European classrooms. This development highlighted both opportunities and challenges. On the one hand, greater diversity enriched academic environments by fostering intercultural dialogue, global perspectives, and collaborative learning. On the other hand, it also exposed structural inequalities in access, participation, and attainment, particularly for students from marginalised or underrepresented groups. Consequently, diversity became a strategic priority, linked to social inclusion, labour market demands, and the vision of a European Higher Education Area that reflects the diversity of our society (European Commission et al., 2022; Rome Communiqué, 2020; Reichert, S., 2009; McCausland, T., 2021).</w:t>
      </w:r>
    </w:p>
    <w:p w14:paraId="491A2037" w14:textId="77777777" w:rsidR="00F26ED7" w:rsidRPr="00DA2128" w:rsidRDefault="00F26ED7" w:rsidP="00A937C6">
      <w:pPr>
        <w:spacing w:line="240" w:lineRule="auto"/>
        <w:rPr>
          <w:sz w:val="22"/>
          <w:szCs w:val="22"/>
        </w:rPr>
      </w:pPr>
      <w:r w:rsidRPr="00DA2128">
        <w:rPr>
          <w:sz w:val="22"/>
          <w:szCs w:val="22"/>
        </w:rPr>
        <w:t>Diversity itself encompasses the full spectrum of human difference—visible and invisible—including ethnicity, gender, religion, age, disability, neurodiversity, sexual orientation, socio-</w:t>
      </w:r>
      <w:r w:rsidRPr="00DA2128">
        <w:rPr>
          <w:sz w:val="22"/>
          <w:szCs w:val="22"/>
        </w:rPr>
        <w:lastRenderedPageBreak/>
        <w:t xml:space="preserve">economic status, nationality, and lived experience (European Commission European Education and Culture Executive Agency, 2022; EUA, 2023). Herring (2009) provided early empirical evidence of the benefits of diversity, demonstrating that organisations with more diverse workforces perform better in terms of sales revenue, customer numbers, and profitability. While the study was conducted in a business context, its findings have been influential in higher education policy debates, where diversity is increasingly linked not only to social justice but also to institutional performance and innovation. Therephore, fostering diversity in the academic sphere, strengthens global competitiveness when universities that embrace pluralism are better positioned to attract international talent, build transnational collaborations, and maintain relevance in an interconnected knowledge economy. Taken together, within higher education, the concept of diversity enhances knowledge production and enriches learning environments by fostering critical thinking, adaptability, and intercultural competence, skills highly relevant for the European labour market (European Commission, 2025; Claeys-Kulik et al., 2019). </w:t>
      </w:r>
    </w:p>
    <w:p w14:paraId="5BE11451" w14:textId="77777777" w:rsidR="004818B4" w:rsidRPr="00DA2128" w:rsidRDefault="004818B4" w:rsidP="00A937C6">
      <w:pPr>
        <w:spacing w:line="240" w:lineRule="auto"/>
      </w:pPr>
    </w:p>
    <w:p w14:paraId="0A52BEB7" w14:textId="77777777" w:rsidR="00F26ED7" w:rsidRPr="00DA2128" w:rsidRDefault="00F26ED7" w:rsidP="00A937C6">
      <w:pPr>
        <w:pStyle w:val="Subtitle"/>
        <w:spacing w:line="240" w:lineRule="auto"/>
        <w:rPr>
          <w:noProof w:val="0"/>
        </w:rPr>
      </w:pPr>
      <w:r w:rsidRPr="00DA2128">
        <w:rPr>
          <w:noProof w:val="0"/>
        </w:rPr>
        <w:t>Inclusion in European Higher Education</w:t>
      </w:r>
    </w:p>
    <w:p w14:paraId="236B3911" w14:textId="77777777" w:rsidR="00F26ED7" w:rsidRPr="00DA2128" w:rsidRDefault="00F26ED7" w:rsidP="00A937C6">
      <w:pPr>
        <w:spacing w:line="240" w:lineRule="auto"/>
        <w:rPr>
          <w:sz w:val="22"/>
          <w:szCs w:val="22"/>
        </w:rPr>
      </w:pPr>
      <w:r w:rsidRPr="00DA2128">
        <w:rPr>
          <w:sz w:val="22"/>
          <w:szCs w:val="22"/>
        </w:rPr>
        <w:t>UNESCO (2020) and Eurydice (2022) stress that within higher education, inclusion should be seen as an ongoing process that demands sustained commitment and adaptation. Therefore, inclusive practices must be dynamic and evolving in response to new forms of inequality linked to digital divides, migration, or socio-economic transformations. When inclusion is embedded into both institutional structures and organisational cultures, universities can move beyond symbolic gestures towards genuine systemic transformation that redistributes opportunity and power.</w:t>
      </w:r>
    </w:p>
    <w:p w14:paraId="6378F8B2" w14:textId="77777777" w:rsidR="00F26ED7" w:rsidRPr="00DA2128" w:rsidRDefault="00F26ED7" w:rsidP="00A937C6">
      <w:pPr>
        <w:spacing w:line="240" w:lineRule="auto"/>
        <w:rPr>
          <w:sz w:val="22"/>
          <w:szCs w:val="22"/>
        </w:rPr>
      </w:pPr>
      <w:r w:rsidRPr="00DA2128">
        <w:rPr>
          <w:sz w:val="22"/>
          <w:szCs w:val="22"/>
        </w:rPr>
        <w:t>At the same time, intersectionality became a framework in European debates, providing a way to understand and address inclusion. It highlights how systems of oppression, such as racism and sexism, do not operate in isolation but intersect to produce compounded and layered forms of disadvantage. European ongoing work of inclusion recognises this complexity, with the European Union Agency for Fundamental Rights (2024) calling for a multidimensional approach to policy development. Intersectionality and inclusion therefore challenge reductive and one-dimensional policy responses, demanding holistic interventions that reflect the lived realities of marginalised communities.</w:t>
      </w:r>
    </w:p>
    <w:p w14:paraId="11ECDC6C" w14:textId="0F239B8E" w:rsidR="001E0BB6" w:rsidRPr="00DA2128" w:rsidRDefault="00F26ED7" w:rsidP="00A937C6">
      <w:pPr>
        <w:spacing w:line="240" w:lineRule="auto"/>
        <w:rPr>
          <w:sz w:val="22"/>
          <w:szCs w:val="22"/>
        </w:rPr>
      </w:pPr>
      <w:r w:rsidRPr="00DA2128">
        <w:rPr>
          <w:sz w:val="22"/>
          <w:szCs w:val="22"/>
        </w:rPr>
        <w:t xml:space="preserve">For higher education, inclusion is particularly significant. It guards against oversimplified understandings of disadvantage and compels institutions to design policies and practices that acknowledge the diverse, overlapping identities of students and staff (FRA, 2024; Crenshaw, 2022). In doing so, it positions EDI as a framework for structural reform and cultural transformation, where inclusion requires both the redistribution of power through participatory governance and curriculum diversification, and cultural change through the dismantling of unconscious bias, stereotyping, and exclusionary norms. </w:t>
      </w:r>
    </w:p>
    <w:p w14:paraId="513B6E6F" w14:textId="77777777" w:rsidR="007E6C4E" w:rsidRPr="00DA2128" w:rsidRDefault="007E6C4E" w:rsidP="00A937C6">
      <w:pPr>
        <w:spacing w:line="240" w:lineRule="auto"/>
        <w:rPr>
          <w:sz w:val="22"/>
          <w:szCs w:val="22"/>
        </w:rPr>
      </w:pPr>
    </w:p>
    <w:p w14:paraId="114F6D11" w14:textId="77777777" w:rsidR="007E6C4E" w:rsidRPr="00DA2128" w:rsidRDefault="007E6C4E" w:rsidP="00A937C6">
      <w:pPr>
        <w:spacing w:line="240" w:lineRule="auto"/>
        <w:rPr>
          <w:sz w:val="22"/>
          <w:szCs w:val="22"/>
        </w:rPr>
      </w:pPr>
    </w:p>
    <w:p w14:paraId="4ADF4517" w14:textId="77777777" w:rsidR="00F26ED7" w:rsidRPr="00DA2128" w:rsidRDefault="00F26ED7" w:rsidP="00A937C6">
      <w:pPr>
        <w:pStyle w:val="Sub-subheading"/>
        <w:spacing w:line="240" w:lineRule="auto"/>
        <w:rPr>
          <w:b/>
          <w:bCs/>
        </w:rPr>
      </w:pPr>
      <w:r w:rsidRPr="00DA2128">
        <w:rPr>
          <w:b/>
          <w:bCs/>
        </w:rPr>
        <w:t>References</w:t>
      </w:r>
    </w:p>
    <w:p w14:paraId="726A65CF" w14:textId="77777777" w:rsidR="00F26ED7" w:rsidRPr="00DA2128" w:rsidRDefault="00F26ED7" w:rsidP="00A937C6">
      <w:pPr>
        <w:spacing w:line="240" w:lineRule="auto"/>
        <w:rPr>
          <w:sz w:val="22"/>
          <w:szCs w:val="22"/>
        </w:rPr>
      </w:pPr>
      <w:r w:rsidRPr="00DA2128">
        <w:rPr>
          <w:sz w:val="22"/>
          <w:szCs w:val="22"/>
        </w:rPr>
        <w:t>CLAEYS-KULIK, A.-L., JØRGENSEN, T. E. &amp; STÖBER, H. 2019. Diversity, equity and inclusion in European higher education institutions. Results from the INVITED Project. Brussel: European University Association Asil, 51.</w:t>
      </w:r>
    </w:p>
    <w:p w14:paraId="76D0A9F6" w14:textId="77777777" w:rsidR="00F26ED7" w:rsidRPr="00DA2128" w:rsidRDefault="00F26ED7" w:rsidP="00A937C6">
      <w:pPr>
        <w:spacing w:line="240" w:lineRule="auto"/>
        <w:rPr>
          <w:sz w:val="22"/>
          <w:szCs w:val="22"/>
        </w:rPr>
      </w:pPr>
      <w:r w:rsidRPr="00DA2128">
        <w:rPr>
          <w:sz w:val="22"/>
          <w:szCs w:val="22"/>
        </w:rPr>
        <w:t>COMMUNIQUÉ ROME. 2020. Rome Ministerial Communiqué [Online]. https://ehea.info/Upload/Rome_Ministerial_Communique.pdf.  [Accessed 1 September 2025].</w:t>
      </w:r>
    </w:p>
    <w:p w14:paraId="3E1534A2" w14:textId="77777777" w:rsidR="00F26ED7" w:rsidRPr="00DA2128" w:rsidRDefault="00F26ED7" w:rsidP="00A937C6">
      <w:pPr>
        <w:spacing w:line="240" w:lineRule="auto"/>
        <w:rPr>
          <w:sz w:val="22"/>
          <w:szCs w:val="22"/>
        </w:rPr>
      </w:pPr>
      <w:r w:rsidRPr="00DA2128">
        <w:rPr>
          <w:sz w:val="22"/>
          <w:szCs w:val="22"/>
        </w:rPr>
        <w:t>EUROPEAN COMMISSION EUROPEAN EDUCATION CULTURE EXECUTIVE AGENCY, CROSIER, D. &amp; SIGALAS, E. 2022. Towards equity and inclusion in higher education in Europe, Publications Office of the European Union.</w:t>
      </w:r>
    </w:p>
    <w:p w14:paraId="2C738BB7" w14:textId="0C36BEDE" w:rsidR="00F26ED7" w:rsidRPr="00DA2128" w:rsidRDefault="00F26ED7" w:rsidP="00A937C6">
      <w:pPr>
        <w:spacing w:line="240" w:lineRule="auto"/>
        <w:rPr>
          <w:sz w:val="22"/>
          <w:szCs w:val="22"/>
        </w:rPr>
      </w:pPr>
      <w:r w:rsidRPr="00DA2128">
        <w:rPr>
          <w:sz w:val="22"/>
          <w:szCs w:val="22"/>
        </w:rPr>
        <w:lastRenderedPageBreak/>
        <w:t>EUROPEAN COMMISSION, RESEARCH, D.-G. F. &amp; INNOVATION 2021. Horizon Europe guidance on gender equality plans, Publications Office of the European Union.</w:t>
      </w:r>
    </w:p>
    <w:p w14:paraId="5B283B76" w14:textId="37C6CDBA" w:rsidR="00F26ED7" w:rsidRPr="00DA2128" w:rsidRDefault="00F26ED7" w:rsidP="00A937C6">
      <w:pPr>
        <w:spacing w:line="240" w:lineRule="auto"/>
        <w:rPr>
          <w:sz w:val="22"/>
          <w:szCs w:val="22"/>
        </w:rPr>
      </w:pPr>
      <w:r w:rsidRPr="00DA2128">
        <w:rPr>
          <w:sz w:val="22"/>
          <w:szCs w:val="22"/>
        </w:rPr>
        <w:t>EUROPEAN COMMISSION, RESEARCH, D.-G. F. &amp; INNOVATION 2022. Towards inclusive gender equality in research and innovation, Publications Office of the European Union.</w:t>
      </w:r>
      <w:r w:rsidR="004818B4" w:rsidRPr="00DA2128">
        <w:rPr>
          <w:sz w:val="22"/>
          <w:szCs w:val="22"/>
        </w:rPr>
        <w:t xml:space="preserve"> </w:t>
      </w:r>
    </w:p>
    <w:p w14:paraId="4B29CEAE" w14:textId="7012BD91" w:rsidR="00F26ED7" w:rsidRPr="00DA2128" w:rsidRDefault="00F26ED7" w:rsidP="00A937C6">
      <w:pPr>
        <w:spacing w:line="240" w:lineRule="auto"/>
        <w:rPr>
          <w:sz w:val="22"/>
          <w:szCs w:val="22"/>
        </w:rPr>
      </w:pPr>
      <w:r w:rsidRPr="00DA2128">
        <w:rPr>
          <w:sz w:val="22"/>
          <w:szCs w:val="22"/>
        </w:rPr>
        <w:t>EUROPEAN COMMISSION EUROPEAN EDUCATION CULTURE EXECUTIVE AGENCY, CROSIER, D. &amp; SIGALAS, E. 2022. Towards equity and inclusion in higher education in Europe, Publications Office of the European Union.</w:t>
      </w:r>
    </w:p>
    <w:p w14:paraId="1DEACDD8" w14:textId="77777777" w:rsidR="00F26ED7" w:rsidRPr="00DA2128" w:rsidRDefault="00F26ED7" w:rsidP="00A937C6">
      <w:pPr>
        <w:spacing w:line="240" w:lineRule="auto"/>
        <w:rPr>
          <w:sz w:val="22"/>
          <w:szCs w:val="22"/>
        </w:rPr>
      </w:pPr>
      <w:r w:rsidRPr="00DA2128">
        <w:rPr>
          <w:sz w:val="22"/>
          <w:szCs w:val="22"/>
        </w:rPr>
        <w:t>EUROPEAN COMMISSION. Equality and inclusion  [Online]. https://commission.europa.eu/topics/justice-and-fundamental-rights/equality-and-inclusion_en.  [Accessed 4 September 2025].</w:t>
      </w:r>
    </w:p>
    <w:p w14:paraId="7476DB55" w14:textId="35E9809C" w:rsidR="00F26ED7" w:rsidRPr="00DA2128" w:rsidRDefault="00F26ED7" w:rsidP="00A937C6">
      <w:pPr>
        <w:spacing w:line="240" w:lineRule="auto"/>
        <w:rPr>
          <w:sz w:val="22"/>
          <w:szCs w:val="22"/>
        </w:rPr>
      </w:pPr>
      <w:r w:rsidRPr="00DA2128">
        <w:rPr>
          <w:sz w:val="22"/>
          <w:szCs w:val="22"/>
        </w:rPr>
        <w:t>EUROPEAN COMMISSION, DIRECTORATE-GENERAL FOR RESEARCH INNOVATION, ANDRIESCU, M., PÉPIN, A., MOUNGOU, A., BUCKINGHAM, S., GILLOZ, O., DUNN, K., SVÍČKOVÁ, K., COLLIER, N., BROUGHTON, A., TENGLEROVA, H., HOYA, C., NÁJERA, L., KELLY, G., SMĘTEK, J., GÓRNIAK, A., NICOSIA, D., MICHALCAKOVA, J., ANTANAVIČIUS, J. &amp; DAVIES, R. 2025. Impact of gender equality plans across the European research area – Report, Publications Office of the European Union.</w:t>
      </w:r>
    </w:p>
    <w:p w14:paraId="5C10EC72" w14:textId="091E2223" w:rsidR="00F26ED7" w:rsidRPr="00DA2128" w:rsidRDefault="00F26ED7" w:rsidP="00A937C6">
      <w:pPr>
        <w:spacing w:line="240" w:lineRule="auto"/>
        <w:rPr>
          <w:sz w:val="22"/>
          <w:szCs w:val="22"/>
        </w:rPr>
      </w:pPr>
      <w:r w:rsidRPr="00DA2128">
        <w:rPr>
          <w:sz w:val="22"/>
          <w:szCs w:val="22"/>
        </w:rPr>
        <w:t xml:space="preserve">EUROPEAN UNION AGENCY FOR FUNDAMENTAL RIGHTS 2024. FUNDAMENTAL RIGHTS REPORT </w:t>
      </w:r>
      <w:r w:rsidRPr="00DA2128">
        <w:rPr>
          <w:rFonts w:ascii="Arial" w:hAnsi="Arial" w:cs="Arial"/>
          <w:sz w:val="22"/>
          <w:szCs w:val="22"/>
        </w:rPr>
        <w:t>―</w:t>
      </w:r>
      <w:r w:rsidRPr="00DA2128">
        <w:rPr>
          <w:sz w:val="22"/>
          <w:szCs w:val="22"/>
        </w:rPr>
        <w:t xml:space="preserve"> 2024. Luxembourg: Publications Office of the European Union,.</w:t>
      </w:r>
    </w:p>
    <w:p w14:paraId="104BB692" w14:textId="77777777" w:rsidR="00F26ED7" w:rsidRPr="00DA2128" w:rsidRDefault="00F26ED7" w:rsidP="00A937C6">
      <w:pPr>
        <w:spacing w:line="240" w:lineRule="auto"/>
        <w:rPr>
          <w:sz w:val="22"/>
          <w:szCs w:val="22"/>
        </w:rPr>
      </w:pPr>
      <w:r w:rsidRPr="00DA2128">
        <w:rPr>
          <w:sz w:val="22"/>
          <w:szCs w:val="22"/>
        </w:rPr>
        <w:t xml:space="preserve">EUROPEAN HIGHER EDUCATION AREA 2024. Tirana EHEA Ministerial Conference, Tirana Communiqué. https://ehea.info/Immagini/Tirana-Communique1.pdf. [Accessed 3 September 2025] </w:t>
      </w:r>
    </w:p>
    <w:p w14:paraId="43A7BAC2" w14:textId="77777777" w:rsidR="00F26ED7" w:rsidRPr="00DA2128" w:rsidRDefault="00F26ED7" w:rsidP="00A937C6">
      <w:pPr>
        <w:spacing w:line="240" w:lineRule="auto"/>
        <w:rPr>
          <w:sz w:val="22"/>
          <w:szCs w:val="22"/>
        </w:rPr>
      </w:pPr>
      <w:r w:rsidRPr="00DA2128">
        <w:rPr>
          <w:sz w:val="22"/>
          <w:szCs w:val="22"/>
        </w:rPr>
        <w:t>EUROPEAN UNIVERSITY ASSOCIATION. 2023. Needs and Wellbeing of Students and Staff. [Online]. https://www.eua.eu/downloads/publications/eua%20tpg%20report_needs%20and%20wellbeing%20of%20students%20and%20staff.pdf.  [Accessed 4 September 2025].</w:t>
      </w:r>
    </w:p>
    <w:p w14:paraId="14B47567" w14:textId="77777777" w:rsidR="00F26ED7" w:rsidRPr="00DA2128" w:rsidRDefault="00F26ED7" w:rsidP="00A937C6">
      <w:pPr>
        <w:spacing w:line="240" w:lineRule="auto"/>
        <w:rPr>
          <w:sz w:val="22"/>
          <w:szCs w:val="22"/>
        </w:rPr>
      </w:pPr>
      <w:r w:rsidRPr="00DA2128">
        <w:rPr>
          <w:sz w:val="22"/>
          <w:szCs w:val="22"/>
        </w:rPr>
        <w:t>Herring, C. (2009). Does diversity pay?: Race, gender, and the business case for diversity. American sociological review, 74(2), 208-224.</w:t>
      </w:r>
    </w:p>
    <w:p w14:paraId="6A08AA7C" w14:textId="77777777" w:rsidR="00F26ED7" w:rsidRPr="00DA2128" w:rsidRDefault="00F26ED7" w:rsidP="00A937C6">
      <w:pPr>
        <w:spacing w:line="240" w:lineRule="auto"/>
        <w:rPr>
          <w:sz w:val="22"/>
          <w:szCs w:val="22"/>
        </w:rPr>
      </w:pPr>
      <w:r w:rsidRPr="00DA2128">
        <w:rPr>
          <w:sz w:val="22"/>
          <w:szCs w:val="22"/>
        </w:rPr>
        <w:t>McCausland, T. (2021). Why innovation needs more diversity. Research-Technology Management, 64(2), 59-63.</w:t>
      </w:r>
    </w:p>
    <w:p w14:paraId="69814E7B" w14:textId="77777777" w:rsidR="00F26ED7" w:rsidRPr="00DA2128" w:rsidRDefault="00F26ED7" w:rsidP="00A937C6">
      <w:pPr>
        <w:spacing w:line="240" w:lineRule="auto"/>
        <w:rPr>
          <w:sz w:val="22"/>
          <w:szCs w:val="22"/>
        </w:rPr>
      </w:pPr>
      <w:r w:rsidRPr="00DA2128">
        <w:rPr>
          <w:sz w:val="22"/>
          <w:szCs w:val="22"/>
        </w:rPr>
        <w:t>Kivinen, O., &amp; Rinne, R. (1991). Changing higher-education policy Three Western models. Prospects, 21(3), 421-429.</w:t>
      </w:r>
    </w:p>
    <w:p w14:paraId="20ACB30E" w14:textId="77777777" w:rsidR="00F26ED7" w:rsidRPr="00DA2128" w:rsidRDefault="00F26ED7" w:rsidP="00A937C6">
      <w:pPr>
        <w:spacing w:line="240" w:lineRule="auto"/>
        <w:rPr>
          <w:sz w:val="22"/>
          <w:szCs w:val="22"/>
        </w:rPr>
      </w:pPr>
      <w:r w:rsidRPr="00DA2128">
        <w:rPr>
          <w:sz w:val="22"/>
          <w:szCs w:val="22"/>
        </w:rPr>
        <w:t>KONSTANTINIDOU, D. T. 2025. The Evolution of European Higher Education Policy: From Bologna Declaration to Tirana Communique. International Journal of Latest Research in Humanities and Social Science,, 8, 65-72.</w:t>
      </w:r>
    </w:p>
    <w:p w14:paraId="1C5DE8EB" w14:textId="77777777" w:rsidR="00F26ED7" w:rsidRPr="00DA2128" w:rsidRDefault="00F26ED7" w:rsidP="00A937C6">
      <w:pPr>
        <w:spacing w:line="240" w:lineRule="auto"/>
        <w:rPr>
          <w:sz w:val="22"/>
          <w:szCs w:val="22"/>
        </w:rPr>
      </w:pPr>
      <w:r w:rsidRPr="00DA2128">
        <w:rPr>
          <w:sz w:val="22"/>
          <w:szCs w:val="22"/>
        </w:rPr>
        <w:t>Reichert, S. (2009). Institutional diversity in European higher education. Tensions and challenges for policy makers and institutional leaders. European University Association.</w:t>
      </w:r>
    </w:p>
    <w:p w14:paraId="59BD4820" w14:textId="77777777" w:rsidR="00F26ED7" w:rsidRPr="00DA2128" w:rsidRDefault="00F26ED7" w:rsidP="00A937C6">
      <w:pPr>
        <w:spacing w:line="240" w:lineRule="auto"/>
        <w:rPr>
          <w:sz w:val="22"/>
          <w:szCs w:val="22"/>
        </w:rPr>
      </w:pPr>
      <w:r w:rsidRPr="00AD442B">
        <w:rPr>
          <w:sz w:val="22"/>
          <w:szCs w:val="22"/>
          <w:lang w:val="pl-PL"/>
        </w:rPr>
        <w:t xml:space="preserve">SCUKANEC SCHMIDT, N. &amp; ONITA, H. 2024. </w:t>
      </w:r>
      <w:r w:rsidRPr="00DA2128">
        <w:rPr>
          <w:sz w:val="22"/>
          <w:szCs w:val="22"/>
        </w:rPr>
        <w:t>BFUG Working Group on Social Dimension 2021-2024: Final Report for the Period 2021-2024. Tirana: Bologna Follow-up Group.</w:t>
      </w:r>
    </w:p>
    <w:p w14:paraId="4D84DBC6" w14:textId="77777777" w:rsidR="00F26ED7" w:rsidRPr="00DA2128" w:rsidRDefault="00F26ED7" w:rsidP="00A937C6">
      <w:pPr>
        <w:spacing w:line="240" w:lineRule="auto"/>
        <w:rPr>
          <w:sz w:val="22"/>
          <w:szCs w:val="22"/>
        </w:rPr>
      </w:pPr>
      <w:r w:rsidRPr="00DA2128">
        <w:rPr>
          <w:sz w:val="22"/>
          <w:szCs w:val="22"/>
        </w:rPr>
        <w:t>UNESCO 2020. Global education monitoring report: Inclusion and education. ‘All means all’.</w:t>
      </w:r>
    </w:p>
    <w:p w14:paraId="7CF02733" w14:textId="77777777" w:rsidR="00F26ED7" w:rsidRPr="00DA2128" w:rsidRDefault="00F26ED7" w:rsidP="00A937C6">
      <w:pPr>
        <w:spacing w:line="240" w:lineRule="auto"/>
      </w:pPr>
    </w:p>
    <w:p w14:paraId="241CBB6D" w14:textId="77777777" w:rsidR="00F26ED7" w:rsidRPr="00DA2128" w:rsidRDefault="00F26ED7" w:rsidP="00A937C6">
      <w:pPr>
        <w:pStyle w:val="Heading2"/>
        <w:spacing w:line="240" w:lineRule="auto"/>
      </w:pPr>
      <w:r w:rsidRPr="00DA2128">
        <w:t>The difference between EDI and DEI</w:t>
      </w:r>
    </w:p>
    <w:p w14:paraId="7D4F0DA6" w14:textId="77777777" w:rsidR="00F26ED7" w:rsidRPr="00DA2128" w:rsidRDefault="00F26ED7" w:rsidP="00A937C6">
      <w:pPr>
        <w:spacing w:line="240" w:lineRule="auto"/>
        <w:rPr>
          <w:sz w:val="22"/>
          <w:szCs w:val="22"/>
        </w:rPr>
      </w:pPr>
      <w:r w:rsidRPr="00DA2128">
        <w:rPr>
          <w:sz w:val="22"/>
          <w:szCs w:val="22"/>
        </w:rPr>
        <w:t xml:space="preserve">As a continuation of the preceding discussion on the principles of EDI in both academia and broader societal contexts, it is crucial to situate this concept within a global framework. A closer </w:t>
      </w:r>
      <w:r w:rsidRPr="00DA2128">
        <w:rPr>
          <w:sz w:val="22"/>
          <w:szCs w:val="22"/>
        </w:rPr>
        <w:lastRenderedPageBreak/>
        <w:t>examination of inclusion strategies at the strategic level reveals that they are guided by different logics which shape both their priorities and their outcomes. For the COLOURS Alliance, defining an approach that aligns with its democratic values and long-term vision for inclusion requires a clear understanding of the existing distinctions.</w:t>
      </w:r>
    </w:p>
    <w:p w14:paraId="5CCB9D54" w14:textId="77777777" w:rsidR="00F26ED7" w:rsidRPr="00DA2128" w:rsidRDefault="00F26ED7" w:rsidP="00A937C6">
      <w:pPr>
        <w:spacing w:line="240" w:lineRule="auto"/>
        <w:rPr>
          <w:sz w:val="22"/>
          <w:szCs w:val="22"/>
        </w:rPr>
      </w:pPr>
      <w:r w:rsidRPr="00DA2128">
        <w:rPr>
          <w:sz w:val="22"/>
          <w:szCs w:val="22"/>
        </w:rPr>
        <w:t>A fundamental distinction can be drawn between the widely adopted DEI (Diversity, Equity and Inclusion) framework and the EDI (Equity, Diversity and Inclusion) model. Both encompass the same three pillars. However, their sequence is not a matter of stylistic preference but a strategic and philosophical declaration. DEI, by leading with diversity, places initial emphasis on increasing representation, while EDI foregrounds equity, setting a foundation rooted in justice and structural reform. This ordering profoundly shapes, like previously mentioned, both the methods and the sustainability of inclusion efforts.</w:t>
      </w:r>
    </w:p>
    <w:p w14:paraId="0A5F7B75" w14:textId="77777777" w:rsidR="00F26ED7" w:rsidRPr="00DA2128" w:rsidRDefault="00F26ED7" w:rsidP="00A937C6">
      <w:pPr>
        <w:spacing w:line="240" w:lineRule="auto"/>
        <w:rPr>
          <w:sz w:val="22"/>
          <w:szCs w:val="22"/>
        </w:rPr>
      </w:pPr>
      <w:r w:rsidRPr="00DA2128">
        <w:rPr>
          <w:sz w:val="22"/>
          <w:szCs w:val="22"/>
        </w:rPr>
        <w:t xml:space="preserve">DEI often adopts a diversity-first approach, rooted in organisational and business rationales. In much of the organisational and business literature, DEI is the dominant framing. The diversity-first logic underpinning this model suggests that the presence of individuals from varied backgrounds fuels innovation, creativity, and competitiveness (Ju, H., &amp; Kim, Y., 2025; Hewlett, Marshall &amp; Sherbin, 2013). In corporate contexts, this argument has been central to the so-called business case for diversity, where diversity is positioned as a strategic asset that can improve market performance and increase profit (Hellerstedt, Uman &amp; Wennberg, 2024). While higher education institutions also benefit from diverse student and staff populations by gaining new perspectives, intercultural competencies, and broader intellectual horizons, the conclusion is that diversity on its own cannot guarantee equitable participation. Without deeper structural change, there is a risk that representation becomes symbolic, offering visibility but not empowerment (EUA, 2019; Nkomo et al., 2019). </w:t>
      </w:r>
    </w:p>
    <w:p w14:paraId="0C0FE61D" w14:textId="77777777" w:rsidR="00F26ED7" w:rsidRPr="00DA2128" w:rsidRDefault="00F26ED7" w:rsidP="00A937C6">
      <w:pPr>
        <w:spacing w:line="240" w:lineRule="auto"/>
        <w:rPr>
          <w:sz w:val="22"/>
          <w:szCs w:val="22"/>
        </w:rPr>
      </w:pPr>
      <w:r w:rsidRPr="00DA2128">
        <w:rPr>
          <w:sz w:val="22"/>
          <w:szCs w:val="22"/>
        </w:rPr>
        <w:t>Hellerstedt, Uman and Wennberg (2024) argue that companies promoting DEI frequently encounter a “revolving door effect” among employees. Individuals may be recruited for their authentic uniqueness but often choose to leave when the organisational environment proves unable to accommodate their perspectives and ways of being. Furthermore, the authors contend that employees from underrepresented groups are frequently required to adapt to the majority culture in order to avoid marginalisation, while simultaneously being burdened with the responsibility of representing their entire social group (ibid.).</w:t>
      </w:r>
    </w:p>
    <w:p w14:paraId="58FB9943" w14:textId="77777777" w:rsidR="00F26ED7" w:rsidRPr="00DA2128" w:rsidRDefault="00F26ED7" w:rsidP="00A937C6">
      <w:pPr>
        <w:spacing w:line="240" w:lineRule="auto"/>
        <w:rPr>
          <w:sz w:val="22"/>
          <w:szCs w:val="22"/>
        </w:rPr>
      </w:pPr>
      <w:r w:rsidRPr="00DA2128">
        <w:rPr>
          <w:sz w:val="22"/>
          <w:szCs w:val="22"/>
        </w:rPr>
        <w:t>By contrast, the EDI model, which is increasingly embedded in European academic and policy contexts, places equity at the forefront. This equity-first approach underscores that genuine inclusion cannot be achieved by diversity alone; rather, systemic barriers must be dismantled, and fair conditions established, before diversity can flourish. Diversity, in this model, is understood as an outcome of equity, not the starting point. Only when equity ensures that opportunities, resources, and recognition are distributed fairly can diverse individuals and groups participate fully and thrive within academic communities (LERU, 2019; European Commission, 2025; Hellerstedt, Uman &amp; Wennberg, 2024).</w:t>
      </w:r>
    </w:p>
    <w:p w14:paraId="4733780E" w14:textId="77777777" w:rsidR="00F26ED7" w:rsidRPr="00DA2128" w:rsidRDefault="00F26ED7" w:rsidP="00A937C6">
      <w:pPr>
        <w:spacing w:line="240" w:lineRule="auto"/>
        <w:rPr>
          <w:sz w:val="22"/>
          <w:szCs w:val="22"/>
        </w:rPr>
      </w:pPr>
      <w:r w:rsidRPr="00DA2128">
        <w:rPr>
          <w:sz w:val="22"/>
          <w:szCs w:val="22"/>
        </w:rPr>
        <w:t>This distinction is particularly important for European higher education, where universities must balance their dual role as engines of knowledge creation and as civic institutions. On the one hand, diversity is vital: heterogeneous academic environments foster creativity, broaden research agendas, and enhance global competitiveness. In a world where higher education operates within a global marketplace, the ability to attract diverse talent and perspectives is indispensable to maintaining international relevance. On the other hand, if equity is neglected, the benefits of diversity remain fragile and unevenly distributed. Equity ensures that diverse voices are not just present but are empowered to shape teaching, research, and governance. When choosing between EDI and DEI, it is essential to ask questions about what the catalyst of change is for the specific organisation or institution. What are the priorities, and how do we want them to be addressed? And most important of all, what outcomes do we want to see?</w:t>
      </w:r>
    </w:p>
    <w:p w14:paraId="7C38EA06" w14:textId="77777777" w:rsidR="00E9152D" w:rsidRPr="00DA2128" w:rsidRDefault="00E9152D" w:rsidP="00A937C6">
      <w:pPr>
        <w:spacing w:line="240" w:lineRule="auto"/>
        <w:rPr>
          <w:sz w:val="22"/>
          <w:szCs w:val="22"/>
        </w:rPr>
      </w:pPr>
    </w:p>
    <w:p w14:paraId="1C918D53" w14:textId="77777777" w:rsidR="00F26ED7" w:rsidRPr="00DA2128" w:rsidRDefault="00F26ED7" w:rsidP="00A937C6">
      <w:pPr>
        <w:pStyle w:val="Sub-subheading"/>
        <w:spacing w:line="240" w:lineRule="auto"/>
        <w:rPr>
          <w:b/>
          <w:bCs/>
        </w:rPr>
      </w:pPr>
      <w:r w:rsidRPr="00DA2128">
        <w:rPr>
          <w:b/>
          <w:bCs/>
        </w:rPr>
        <w:lastRenderedPageBreak/>
        <w:t>References</w:t>
      </w:r>
    </w:p>
    <w:p w14:paraId="16E773A2" w14:textId="77777777" w:rsidR="00F26ED7" w:rsidRPr="00DA2128" w:rsidRDefault="00F26ED7" w:rsidP="00A937C6">
      <w:pPr>
        <w:spacing w:line="240" w:lineRule="auto"/>
        <w:rPr>
          <w:sz w:val="22"/>
          <w:szCs w:val="22"/>
        </w:rPr>
      </w:pPr>
      <w:r w:rsidRPr="00DA2128">
        <w:rPr>
          <w:sz w:val="22"/>
          <w:szCs w:val="22"/>
        </w:rPr>
        <w:t>European Commission (2025). She Figures 2025. Brussels: European Commission.</w:t>
      </w:r>
    </w:p>
    <w:p w14:paraId="484BD675" w14:textId="77777777" w:rsidR="00F26ED7" w:rsidRPr="00DA2128" w:rsidRDefault="00F26ED7" w:rsidP="00A937C6">
      <w:pPr>
        <w:spacing w:line="240" w:lineRule="auto"/>
        <w:rPr>
          <w:sz w:val="22"/>
          <w:szCs w:val="22"/>
        </w:rPr>
      </w:pPr>
      <w:r w:rsidRPr="00DA2128">
        <w:rPr>
          <w:sz w:val="22"/>
          <w:szCs w:val="22"/>
        </w:rPr>
        <w:t>European Commission European Education and Culture Executive Agency (2022). Towards equity and inclusion in higher education in Europe: Eurydice report. Luxembourg: Publications Office of the European Union.</w:t>
      </w:r>
    </w:p>
    <w:p w14:paraId="206F20B8" w14:textId="77777777" w:rsidR="00F26ED7" w:rsidRPr="00DA2128" w:rsidRDefault="00F26ED7" w:rsidP="00A937C6">
      <w:pPr>
        <w:spacing w:line="240" w:lineRule="auto"/>
        <w:rPr>
          <w:sz w:val="22"/>
          <w:szCs w:val="22"/>
        </w:rPr>
      </w:pPr>
      <w:r w:rsidRPr="00DA2128">
        <w:rPr>
          <w:sz w:val="22"/>
          <w:szCs w:val="22"/>
        </w:rPr>
        <w:t>European University Association (EUA) (2019). Diversity, equity and inclusion in European higher education institutions: Results from the INVITED project. Brussels: EUA.</w:t>
      </w:r>
    </w:p>
    <w:p w14:paraId="624700FE" w14:textId="77777777" w:rsidR="00F26ED7" w:rsidRPr="00DA2128" w:rsidRDefault="00F26ED7" w:rsidP="00A937C6">
      <w:pPr>
        <w:spacing w:line="240" w:lineRule="auto"/>
        <w:rPr>
          <w:sz w:val="22"/>
          <w:szCs w:val="22"/>
        </w:rPr>
      </w:pPr>
      <w:r w:rsidRPr="00DA2128">
        <w:rPr>
          <w:sz w:val="22"/>
          <w:szCs w:val="22"/>
        </w:rPr>
        <w:t>European University Association (EUA) (2023). Needs and wellbeing of students and staff. Brussels: EUA.</w:t>
      </w:r>
    </w:p>
    <w:p w14:paraId="58FDFB6B" w14:textId="77777777" w:rsidR="00F26ED7" w:rsidRPr="00DA2128" w:rsidRDefault="00F26ED7" w:rsidP="00A937C6">
      <w:pPr>
        <w:spacing w:line="240" w:lineRule="auto"/>
        <w:rPr>
          <w:sz w:val="22"/>
          <w:szCs w:val="22"/>
        </w:rPr>
      </w:pPr>
      <w:r w:rsidRPr="00DA2128">
        <w:rPr>
          <w:sz w:val="22"/>
          <w:szCs w:val="22"/>
        </w:rPr>
        <w:t>Hellerstedt, K., Uman, T., &amp; Wennberg, K. (2024). Diversity logics and organisational practices. Journal of Management Studies.</w:t>
      </w:r>
    </w:p>
    <w:p w14:paraId="22A32E56" w14:textId="77777777" w:rsidR="00F26ED7" w:rsidRPr="00DA2128" w:rsidRDefault="00F26ED7" w:rsidP="00A937C6">
      <w:pPr>
        <w:spacing w:line="240" w:lineRule="auto"/>
        <w:rPr>
          <w:sz w:val="22"/>
          <w:szCs w:val="22"/>
        </w:rPr>
      </w:pPr>
      <w:r w:rsidRPr="00DA2128">
        <w:rPr>
          <w:sz w:val="22"/>
          <w:szCs w:val="22"/>
        </w:rPr>
        <w:t>Hewlett, S. A., Marshall, M., &amp; Sherbin, L. (2013). How diversity can drive innovation. Harvard Business Review, 91(12), pp. 30–38.</w:t>
      </w:r>
    </w:p>
    <w:p w14:paraId="69355362" w14:textId="77777777" w:rsidR="00F26ED7" w:rsidRPr="00DA2128" w:rsidRDefault="00F26ED7" w:rsidP="00A937C6">
      <w:pPr>
        <w:spacing w:line="240" w:lineRule="auto"/>
        <w:rPr>
          <w:sz w:val="22"/>
          <w:szCs w:val="22"/>
        </w:rPr>
      </w:pPr>
      <w:r w:rsidRPr="00DA2128">
        <w:rPr>
          <w:sz w:val="22"/>
          <w:szCs w:val="22"/>
        </w:rPr>
        <w:t>LERU (2019). Equality, Diversity and Inclusion at Universities: The Power of a Systemic Approach. Leuven: League of European Research Universities.</w:t>
      </w:r>
    </w:p>
    <w:p w14:paraId="3DCCD502" w14:textId="77777777" w:rsidR="00F26ED7" w:rsidRPr="00DA2128" w:rsidRDefault="00F26ED7" w:rsidP="00A937C6">
      <w:pPr>
        <w:spacing w:line="240" w:lineRule="auto"/>
        <w:rPr>
          <w:sz w:val="22"/>
          <w:szCs w:val="22"/>
        </w:rPr>
      </w:pPr>
      <w:r w:rsidRPr="00DA2128">
        <w:rPr>
          <w:sz w:val="22"/>
          <w:szCs w:val="22"/>
        </w:rPr>
        <w:t>Ju, H., &amp; Kim, Y. (2025). Bridging Diversity and Innovation: The Moderating Role of Cohesive and Hierarchical Organizational Culture. SAGE Open, 15(1), 21582440241312481.</w:t>
      </w:r>
    </w:p>
    <w:p w14:paraId="7614719C" w14:textId="77777777" w:rsidR="00F26ED7" w:rsidRPr="00DA2128" w:rsidRDefault="00F26ED7" w:rsidP="00A937C6">
      <w:pPr>
        <w:spacing w:line="240" w:lineRule="auto"/>
        <w:rPr>
          <w:sz w:val="22"/>
          <w:szCs w:val="22"/>
        </w:rPr>
      </w:pPr>
      <w:r w:rsidRPr="00DA2128">
        <w:rPr>
          <w:sz w:val="22"/>
          <w:szCs w:val="22"/>
        </w:rPr>
        <w:t>Nkomo, S. M., Bell, M. P., Roberts, L. M., Joshi, A., &amp; Thatcher, S. M. B. (2019). Diversity at a critical juncture: New theories for a complex phenomenon. Academy of Management Review, 44(3), pp. 498–517.</w:t>
      </w:r>
    </w:p>
    <w:p w14:paraId="09575D3E" w14:textId="77777777" w:rsidR="00F26ED7" w:rsidRPr="00DA2128" w:rsidRDefault="00F26ED7" w:rsidP="00A937C6">
      <w:pPr>
        <w:spacing w:line="240" w:lineRule="auto"/>
        <w:rPr>
          <w:sz w:val="22"/>
          <w:szCs w:val="22"/>
        </w:rPr>
      </w:pPr>
      <w:r w:rsidRPr="00DA2128">
        <w:rPr>
          <w:sz w:val="22"/>
          <w:szCs w:val="22"/>
        </w:rPr>
        <w:t>UNESCO (2020). Global Education Monitoring Report 2020: Inclusion and education: All means all. Paris: UNESCO.</w:t>
      </w:r>
    </w:p>
    <w:p w14:paraId="77A0D8D4" w14:textId="77777777" w:rsidR="00F26ED7" w:rsidRPr="00DA2128" w:rsidRDefault="00F26ED7" w:rsidP="00A937C6">
      <w:pPr>
        <w:spacing w:line="240" w:lineRule="auto"/>
        <w:rPr>
          <w:sz w:val="22"/>
          <w:szCs w:val="22"/>
        </w:rPr>
      </w:pPr>
      <w:r w:rsidRPr="00DA2128">
        <w:rPr>
          <w:sz w:val="22"/>
          <w:szCs w:val="22"/>
        </w:rPr>
        <w:t>Hewlett, S. A., Marshall, M., &amp; Sherbin, L. (2013). How diversity can drive innovation. Harvard business review, 91(12), 30-30.</w:t>
      </w:r>
    </w:p>
    <w:p w14:paraId="70AB3DE4" w14:textId="77777777" w:rsidR="00F26ED7" w:rsidRPr="00DA2128" w:rsidRDefault="00F26ED7" w:rsidP="00A937C6">
      <w:pPr>
        <w:spacing w:line="240" w:lineRule="auto"/>
      </w:pPr>
    </w:p>
    <w:p w14:paraId="74723DD9" w14:textId="77777777" w:rsidR="00F26ED7" w:rsidRPr="00DA2128" w:rsidRDefault="00F26ED7" w:rsidP="00A937C6">
      <w:pPr>
        <w:pStyle w:val="Heading2"/>
        <w:spacing w:line="240" w:lineRule="auto"/>
      </w:pPr>
      <w:r w:rsidRPr="00DA2128">
        <w:t>Challenges regarding EDI in Higher Education</w:t>
      </w:r>
    </w:p>
    <w:p w14:paraId="5DBBAEEF" w14:textId="77777777" w:rsidR="00F26ED7" w:rsidRPr="00DA2128" w:rsidRDefault="00F26ED7" w:rsidP="00A937C6">
      <w:pPr>
        <w:spacing w:line="240" w:lineRule="auto"/>
        <w:rPr>
          <w:sz w:val="22"/>
          <w:szCs w:val="22"/>
        </w:rPr>
      </w:pPr>
      <w:r w:rsidRPr="00DA2128">
        <w:rPr>
          <w:sz w:val="22"/>
          <w:szCs w:val="22"/>
        </w:rPr>
        <w:t>Despite notable progress, substantial challenges remain in embedding equity, diversity and inclusion (EDI) across higher education institutions (HEIs). These challenges are multi-dimensional and cut across issues of data, institutional structures, cultural practices and systemic inequalities.</w:t>
      </w:r>
    </w:p>
    <w:p w14:paraId="0432DF78" w14:textId="77777777" w:rsidR="00F26ED7" w:rsidRPr="00DA2128" w:rsidRDefault="00F26ED7" w:rsidP="00A937C6">
      <w:pPr>
        <w:spacing w:line="240" w:lineRule="auto"/>
        <w:rPr>
          <w:sz w:val="22"/>
          <w:szCs w:val="22"/>
        </w:rPr>
      </w:pPr>
      <w:r w:rsidRPr="00DA2128">
        <w:rPr>
          <w:sz w:val="22"/>
          <w:szCs w:val="22"/>
        </w:rPr>
        <w:t>A persistent obstacle is the lack of comprehensive and intersectional data. Many HEIs continue to collect information along singular categories, such as gender or ethnicity, without adequately capturing the ways in which different identity markers intersect to shape disadvantage (European Commission, 2025; Kelly et al., 2022). The absence of such nuanced data limits the development of targeted and effective interventions, as cumulative and overlapping forms of exclusion remain invisible (Guerrina, R., &amp; Slootmaeckers, K., 2023;Varsik, S., &amp; Gorochovskij, J., 2023). Robust, intersectionally disaggregated datasets are therefore essential for advancing evidence-based policy and practice in EDI.</w:t>
      </w:r>
    </w:p>
    <w:p w14:paraId="2EB3AD80" w14:textId="77777777" w:rsidR="00F26ED7" w:rsidRPr="00DA2128" w:rsidRDefault="00F26ED7" w:rsidP="00A937C6">
      <w:pPr>
        <w:spacing w:line="240" w:lineRule="auto"/>
        <w:rPr>
          <w:sz w:val="22"/>
          <w:szCs w:val="22"/>
        </w:rPr>
      </w:pPr>
      <w:r w:rsidRPr="00DA2128">
        <w:rPr>
          <w:sz w:val="22"/>
          <w:szCs w:val="22"/>
        </w:rPr>
        <w:t xml:space="preserve">European Commission (2025), through their recent report “Impact of gender equality plans across the European Research Area” highlights that research organisations, HEIs and public bodies should dedicate appropriate resources to the development and implementation of Gender Equality Plans (GEP), embed gender equality principles in the governance framework of organisations and facilitate and demonstrate internal stakeholder involvement. Even where </w:t>
      </w:r>
      <w:r w:rsidRPr="00DA2128">
        <w:rPr>
          <w:sz w:val="22"/>
          <w:szCs w:val="22"/>
        </w:rPr>
        <w:lastRenderedPageBreak/>
        <w:t>formal EDI structures exist, they are frequently under-resourced and reliant on the commitment of individuals rather than embedded within institutional mandates (Bencivenga et al., 2025). Even though the knowledge about EDI initiatives have increased in recent years, staff members working with inclusion still struggle with lack clarity of mandate, accountability and mechanisms for evaluation. This situation undermines sustainability and risks positioning EDI as peripheral and not integrated to institutional strategy. Because of these structural inequalities, institutional responses often fall short in providing accessible facilities, trained staff, and adequate assistive technologies (Hauschildt et al., 2024).</w:t>
      </w:r>
    </w:p>
    <w:p w14:paraId="3E13D61A" w14:textId="77777777" w:rsidR="00F26ED7" w:rsidRPr="00DA2128" w:rsidRDefault="00F26ED7" w:rsidP="00A937C6">
      <w:pPr>
        <w:spacing w:line="240" w:lineRule="auto"/>
        <w:rPr>
          <w:sz w:val="22"/>
          <w:szCs w:val="22"/>
        </w:rPr>
      </w:pPr>
      <w:r w:rsidRPr="00DA2128">
        <w:rPr>
          <w:sz w:val="22"/>
          <w:szCs w:val="22"/>
        </w:rPr>
        <w:t>Beyond structural factors, rooted cultural dynamics continue to hinder inclusivity. Microaggressions and interpersonal exclusion, whether expressed as unconscious bias, subtle insults, invalidations, or more overt acts—remain common in academic environments, contributing to exclusion and undermining belonging (Watson, Ahmed &amp; Bhopal, 2023; Branlæt, 2023). Research demonstrates that microaggressions and unconscious bias in academic environments are subtle yet persistent, particularly affecting students from marginalised groups and minority backgrounds. Such experiences undermine students’ sense of belonging and mattering, even where formal inclusion policies are in place. A systematic review of the literature further highlights that microaggressions contribute to heightened psychological stress, cultural mistrust, and disengagement, thereby weakening students’ academic participation and wellbeing. Addressing these cultural barriers requires sustained reflection, structured training, and ongoing dialogue aimed at transforming the informal norms and practices that enable exclusion (Ogunyemi et al., 2020). As UNESCO (2020) underscores, inclusion should not be regarded as a static end-state but as a dynamic and ongoing institutional process requiring continuous adaptation, reflection and systemic commitment.</w:t>
      </w:r>
    </w:p>
    <w:p w14:paraId="7674A994" w14:textId="73C68944" w:rsidR="00F26ED7" w:rsidRPr="00DA2128" w:rsidRDefault="00F26ED7" w:rsidP="00A937C6">
      <w:pPr>
        <w:spacing w:line="240" w:lineRule="auto"/>
        <w:rPr>
          <w:sz w:val="22"/>
          <w:szCs w:val="22"/>
        </w:rPr>
      </w:pPr>
      <w:r w:rsidRPr="00DA2128">
        <w:rPr>
          <w:sz w:val="22"/>
          <w:szCs w:val="22"/>
        </w:rPr>
        <w:t>The evidence suggests that the primary challenges to advancing EDI in higher education are interlinked: the lack of robust data hampers targeted interventions; under-resourced EDI structures weaken institutional capacity; entrenched cultural dynamics undermine inclusivity and non-structured trainings reinforce the unconscious bias. Together, these dynamics contribute to a pronounced gap between policy rhetoric and practical reality. Addressing them requires a holistic, intersectional and institutionally embedded approach.</w:t>
      </w:r>
    </w:p>
    <w:p w14:paraId="10B7C597" w14:textId="77777777" w:rsidR="00E9152D" w:rsidRPr="00DA2128" w:rsidRDefault="00E9152D" w:rsidP="00A937C6">
      <w:pPr>
        <w:spacing w:line="240" w:lineRule="auto"/>
        <w:rPr>
          <w:sz w:val="22"/>
          <w:szCs w:val="22"/>
        </w:rPr>
      </w:pPr>
    </w:p>
    <w:p w14:paraId="749A9BE2" w14:textId="77777777" w:rsidR="00F26ED7" w:rsidRPr="00DA2128" w:rsidRDefault="00F26ED7" w:rsidP="00A937C6">
      <w:pPr>
        <w:pStyle w:val="Sub-subheading"/>
        <w:spacing w:line="240" w:lineRule="auto"/>
        <w:rPr>
          <w:b/>
          <w:bCs/>
        </w:rPr>
      </w:pPr>
      <w:r w:rsidRPr="00DA2128">
        <w:rPr>
          <w:b/>
          <w:bCs/>
        </w:rPr>
        <w:t>References</w:t>
      </w:r>
    </w:p>
    <w:p w14:paraId="437C0266" w14:textId="275B3A75" w:rsidR="00F26ED7" w:rsidRPr="00DA2128" w:rsidRDefault="00F26ED7" w:rsidP="00A937C6">
      <w:pPr>
        <w:spacing w:line="240" w:lineRule="auto"/>
        <w:rPr>
          <w:sz w:val="22"/>
          <w:szCs w:val="22"/>
        </w:rPr>
      </w:pPr>
      <w:r w:rsidRPr="00DA2128">
        <w:rPr>
          <w:sz w:val="22"/>
          <w:szCs w:val="22"/>
        </w:rPr>
        <w:t>BENCIVENGA, R., CAMPANINI VILHENA, F. &amp; TARAMASSO, A. C. 2025. The European Union’s Push for Equality, Diversity and Inclusion (EDI) and Its Implications for Career Development: A Perspective on Skills and Competences. In: LEONE, C. (ed.) Career Development - Challenges and Opportunities in Contemporary Societies. Rijeka: IntechOpen.</w:t>
      </w:r>
    </w:p>
    <w:p w14:paraId="0774D63B" w14:textId="77777777" w:rsidR="00F26ED7" w:rsidRPr="00AD442B" w:rsidRDefault="00F26ED7" w:rsidP="00A937C6">
      <w:pPr>
        <w:spacing w:line="240" w:lineRule="auto"/>
        <w:rPr>
          <w:sz w:val="22"/>
          <w:szCs w:val="22"/>
          <w:lang w:val="sv-SE"/>
        </w:rPr>
      </w:pPr>
      <w:r w:rsidRPr="00DA2128">
        <w:rPr>
          <w:sz w:val="22"/>
          <w:szCs w:val="22"/>
        </w:rPr>
        <w:t xml:space="preserve">Branlæt, E. (2023) Microaggressions, Jenifer Branlat. In: Gender Diversity, Equity, and Inclusion in Academia. </w:t>
      </w:r>
      <w:r w:rsidRPr="00AD442B">
        <w:rPr>
          <w:sz w:val="22"/>
          <w:szCs w:val="22"/>
          <w:lang w:val="sv-SE"/>
        </w:rPr>
        <w:t xml:space="preserve">Trondheim: NTNU. https://www.taylorfrancis.com/reader/download/5acd8d3b-0d59-4931-a2ef-0d7b5a4fba9b/chapter/pdf?context=ubx </w:t>
      </w:r>
    </w:p>
    <w:p w14:paraId="690B3D67" w14:textId="3843A2B6" w:rsidR="00F26ED7" w:rsidRPr="00DA2128" w:rsidRDefault="00F26ED7" w:rsidP="00A937C6">
      <w:pPr>
        <w:spacing w:line="240" w:lineRule="auto"/>
        <w:rPr>
          <w:sz w:val="22"/>
          <w:szCs w:val="22"/>
        </w:rPr>
      </w:pPr>
      <w:r w:rsidRPr="00DA2128">
        <w:rPr>
          <w:sz w:val="22"/>
          <w:szCs w:val="22"/>
        </w:rPr>
        <w:t>Guerrina, R., &amp; Slootmaeckers, K. (2023). The Sound of Silence: EDI in the European Studies Canon.</w:t>
      </w:r>
    </w:p>
    <w:p w14:paraId="74D1E8D0" w14:textId="71523403" w:rsidR="00F26ED7" w:rsidRPr="00DA2128" w:rsidRDefault="00F26ED7" w:rsidP="00A937C6">
      <w:pPr>
        <w:spacing w:line="240" w:lineRule="auto"/>
        <w:rPr>
          <w:sz w:val="22"/>
          <w:szCs w:val="22"/>
        </w:rPr>
      </w:pPr>
      <w:r w:rsidRPr="00DA2128">
        <w:rPr>
          <w:sz w:val="22"/>
          <w:szCs w:val="22"/>
        </w:rPr>
        <w:t>EUROPEAN COMMISSION, DIRECTORATE-GENERAL FOR RESEARCH INNOVATION, ANDRIESCU, M., PÉPIN, A., MOUNGOU, A., BUCKINGHAM, S., GILLOZ, O., DUNN, K., SVÍČKOVÁ, K., COLLIER, N., BROUGHTON, A., TENGLEROVA, H., HOYA, C., NÁJERA, L., KELLY, G., SMĘTEK, J., GÓRNIAK, A., NICOSIA, D., MICHALCAKOVA, J., ANTANAVIČIUS, J. &amp; DAVIES, R. 2025. Impact of gender equality plans across the European research area – Report, Publications Office of the European Union.</w:t>
      </w:r>
    </w:p>
    <w:p w14:paraId="4E7E9CAE" w14:textId="49D6A59C" w:rsidR="00F26ED7" w:rsidRPr="00DA2128" w:rsidRDefault="00F26ED7" w:rsidP="00A937C6">
      <w:pPr>
        <w:spacing w:line="240" w:lineRule="auto"/>
        <w:rPr>
          <w:sz w:val="22"/>
          <w:szCs w:val="22"/>
        </w:rPr>
      </w:pPr>
      <w:r w:rsidRPr="00DA2128">
        <w:rPr>
          <w:sz w:val="22"/>
          <w:szCs w:val="22"/>
        </w:rPr>
        <w:t>HAUSCHILDT, K., GWOSC, C., SCHIRMER, H., MANDL, S. &amp; MENZ, C. 2024. Social and economic conditions of student life in Europe: Eurostudent 8 synopsis of indicators 2021-2024, wbv Media GmbH &amp; Company KG.</w:t>
      </w:r>
    </w:p>
    <w:p w14:paraId="6A4D8CAF" w14:textId="77777777" w:rsidR="00F26ED7" w:rsidRPr="00DA2128" w:rsidRDefault="00F26ED7" w:rsidP="00A937C6">
      <w:pPr>
        <w:spacing w:line="240" w:lineRule="auto"/>
        <w:rPr>
          <w:sz w:val="22"/>
          <w:szCs w:val="22"/>
        </w:rPr>
      </w:pPr>
      <w:r w:rsidRPr="00DA2128">
        <w:rPr>
          <w:sz w:val="22"/>
          <w:szCs w:val="22"/>
        </w:rPr>
        <w:lastRenderedPageBreak/>
        <w:t>Kelly, C., et al. (2022) ‘Intersectionality, health equity, and EDI: What’s the difference for health researchers?’, International Journal for Equity in Health, 21(95).</w:t>
      </w:r>
    </w:p>
    <w:p w14:paraId="3C1B0EBC" w14:textId="77777777" w:rsidR="00F26ED7" w:rsidRPr="00DA2128" w:rsidRDefault="00F26ED7" w:rsidP="00A937C6">
      <w:pPr>
        <w:spacing w:line="240" w:lineRule="auto"/>
        <w:rPr>
          <w:sz w:val="22"/>
          <w:szCs w:val="22"/>
        </w:rPr>
      </w:pPr>
      <w:r w:rsidRPr="00DA2128">
        <w:rPr>
          <w:sz w:val="22"/>
          <w:szCs w:val="22"/>
        </w:rPr>
        <w:t>Varsik, S., &amp; Gorochovskij, J. (2023). Intersectionality in Education: Rationale and practices to address the needs of students' intersecting identities. OECD Education Working Papers, (302), 1-95.Papp, E. (2024) Exploring experiences of inclusion and exclusion among minority women in Swedish higher education. Malmö: Malmö University.</w:t>
      </w:r>
    </w:p>
    <w:p w14:paraId="7511111E" w14:textId="77777777" w:rsidR="00F26ED7" w:rsidRPr="00DA2128" w:rsidRDefault="00F26ED7" w:rsidP="00A937C6">
      <w:pPr>
        <w:spacing w:line="240" w:lineRule="auto"/>
        <w:rPr>
          <w:sz w:val="22"/>
          <w:szCs w:val="22"/>
        </w:rPr>
      </w:pPr>
      <w:r w:rsidRPr="00DA2128">
        <w:rPr>
          <w:sz w:val="22"/>
          <w:szCs w:val="22"/>
        </w:rPr>
        <w:t>UNESCO 2020. Global education monitoring report: Inclusion and education. ‘All means all’.</w:t>
      </w:r>
    </w:p>
    <w:p w14:paraId="2ACAAF66" w14:textId="77777777" w:rsidR="00F26ED7" w:rsidRPr="00DA2128" w:rsidRDefault="00F26ED7" w:rsidP="00A937C6">
      <w:pPr>
        <w:spacing w:line="240" w:lineRule="auto"/>
        <w:rPr>
          <w:sz w:val="22"/>
          <w:szCs w:val="22"/>
        </w:rPr>
      </w:pPr>
      <w:r w:rsidRPr="00DA2128">
        <w:rPr>
          <w:sz w:val="22"/>
          <w:szCs w:val="22"/>
        </w:rPr>
        <w:t>Watson, H. R., Wisdom, H., Michael, C., Marshall, N., &amp; Neve, H. (2023). Equality pledges: A novel approach to embedding EDI and promoting positive culture change in a UK university. Equity in Education &amp; Society, 2(1), 110-122.</w:t>
      </w:r>
    </w:p>
    <w:p w14:paraId="5F9D7C60" w14:textId="59AEA138" w:rsidR="00B255BD" w:rsidRPr="00DA2128" w:rsidRDefault="00F26ED7" w:rsidP="00A937C6">
      <w:pPr>
        <w:spacing w:line="240" w:lineRule="auto"/>
        <w:rPr>
          <w:sz w:val="22"/>
          <w:szCs w:val="22"/>
        </w:rPr>
      </w:pPr>
      <w:r w:rsidRPr="00DA2128">
        <w:rPr>
          <w:sz w:val="22"/>
          <w:szCs w:val="22"/>
        </w:rPr>
        <w:t>Ogunyemi, D., Clare, C., Astudillo, Y. M., Marseille, M., Manu, E., &amp; Kim, S. (2020). Microaggressions in the learning environment: A systematic review. Journal of Diversity in Higher Education, 13(2), 97.</w:t>
      </w:r>
    </w:p>
    <w:p w14:paraId="114EB0D9" w14:textId="77777777" w:rsidR="00E9152D" w:rsidRPr="00DA2128" w:rsidRDefault="00E9152D" w:rsidP="00A937C6">
      <w:pPr>
        <w:spacing w:line="240" w:lineRule="auto"/>
        <w:rPr>
          <w:sz w:val="22"/>
          <w:szCs w:val="22"/>
        </w:rPr>
      </w:pPr>
    </w:p>
    <w:p w14:paraId="0E3504AD" w14:textId="00786C4D" w:rsidR="00B255BD" w:rsidRPr="00DA2128" w:rsidRDefault="00B255BD" w:rsidP="00A937C6">
      <w:pPr>
        <w:pStyle w:val="Heading1"/>
        <w:spacing w:line="240" w:lineRule="auto"/>
      </w:pPr>
      <w:bookmarkStart w:id="4" w:name="_Toc211351787"/>
      <w:r w:rsidRPr="00DA2128">
        <w:t>Activities in Work Package 5</w:t>
      </w:r>
      <w:bookmarkEnd w:id="4"/>
    </w:p>
    <w:p w14:paraId="17805106" w14:textId="77777777" w:rsidR="00E9152D" w:rsidRPr="00DA2128" w:rsidRDefault="00E9152D" w:rsidP="00A937C6">
      <w:pPr>
        <w:spacing w:line="240" w:lineRule="auto"/>
        <w:rPr>
          <w:sz w:val="22"/>
          <w:szCs w:val="22"/>
        </w:rPr>
      </w:pPr>
      <w:r w:rsidRPr="00DA2128">
        <w:rPr>
          <w:sz w:val="22"/>
          <w:szCs w:val="22"/>
        </w:rPr>
        <w:t>Building on the EDI framework outlined in the introduction, which emphasises the need for systemic, intersectional and evidence-based approaches, Work Package 5 of the COLOURS Alliance has been designed to provide a structured and research-informed response to the persistent challenges facing higher education. Recognising the interconnection between systemic, structural and cultural barriers, the work package has sought to ground its activities in rigorous academic research, internationally recognised EDI frameworks and local insights from staff members and students across the alliance. The central aim has been to move beyond policy rhetoric and to develop practical, proactive and context-sensitive tools for advancing equity, diversity and inclusion across partner universities.</w:t>
      </w:r>
    </w:p>
    <w:p w14:paraId="30B11EDC" w14:textId="77777777" w:rsidR="00E9152D" w:rsidRPr="00DA2128" w:rsidRDefault="00E9152D" w:rsidP="00A937C6">
      <w:pPr>
        <w:spacing w:line="240" w:lineRule="auto"/>
        <w:rPr>
          <w:sz w:val="22"/>
          <w:szCs w:val="22"/>
        </w:rPr>
      </w:pPr>
      <w:r w:rsidRPr="00DA2128">
        <w:rPr>
          <w:sz w:val="22"/>
          <w:szCs w:val="22"/>
        </w:rPr>
        <w:t xml:space="preserve">To this end, Work Package 5 has adopted a multi-layered approach. First, we conducted a systematic review and mapping of existing EDI policies across the alliance to identify gaps, strengths, and opportunities for harmonisation. Second, the project has prioritised the development of measurable indicators linked to EDI, enabling both accountability and comparability across institutions. Third, drawing on design thinking methodologies, the </w:t>
      </w:r>
      <w:r w:rsidRPr="00DA2128">
        <w:rPr>
          <w:i/>
          <w:iCs/>
          <w:sz w:val="22"/>
          <w:szCs w:val="22"/>
        </w:rPr>
        <w:t>IMAGINE</w:t>
      </w:r>
      <w:r w:rsidRPr="00DA2128">
        <w:rPr>
          <w:sz w:val="22"/>
          <w:szCs w:val="22"/>
        </w:rPr>
        <w:t xml:space="preserve"> workshops have been used to capture and analyse students’ visions for a more inclusive academic environment, emphasising training and lived experience as central to EDI development. Fourth, through the </w:t>
      </w:r>
      <w:r w:rsidRPr="00DA2128">
        <w:rPr>
          <w:i/>
          <w:iCs/>
          <w:sz w:val="22"/>
          <w:szCs w:val="22"/>
        </w:rPr>
        <w:t>Group Concept Mapping (GCM)</w:t>
      </w:r>
      <w:r w:rsidRPr="00DA2128">
        <w:rPr>
          <w:sz w:val="22"/>
          <w:szCs w:val="22"/>
        </w:rPr>
        <w:t xml:space="preserve"> process, staff perspectives have been systematically collected, allowing for an evidence-based understanding of how employees envision the advancement of EDI in their institutions.</w:t>
      </w:r>
    </w:p>
    <w:p w14:paraId="276A4401" w14:textId="23A705D2" w:rsidR="00B255BD" w:rsidRPr="00DA2128" w:rsidRDefault="00E9152D" w:rsidP="00A937C6">
      <w:pPr>
        <w:spacing w:line="240" w:lineRule="auto"/>
        <w:rPr>
          <w:sz w:val="22"/>
          <w:szCs w:val="22"/>
        </w:rPr>
      </w:pPr>
      <w:r w:rsidRPr="00DA2128">
        <w:rPr>
          <w:sz w:val="22"/>
          <w:szCs w:val="22"/>
        </w:rPr>
        <w:t>Taken together, these strands form a coherent, research-informed strategy that aligns empirical data with participatory methodologies. By combining institutional analysis, up-to-date research and student- and staff-driven insights, Work Package 5 has created a robust framework for embedding EDI as a pathway of academic culture within the COLOURS Alliance.</w:t>
      </w:r>
    </w:p>
    <w:p w14:paraId="047B2C80" w14:textId="77777777" w:rsidR="004D7A63" w:rsidRPr="00DA2128" w:rsidRDefault="00B255BD" w:rsidP="00A937C6">
      <w:pPr>
        <w:pStyle w:val="Heading1"/>
        <w:spacing w:line="240" w:lineRule="auto"/>
      </w:pPr>
      <w:bookmarkStart w:id="5" w:name="_Toc211351788"/>
      <w:r w:rsidRPr="00DA2128">
        <w:t>Task number 5.1: Prepare EDI Emerging Evidence Report</w:t>
      </w:r>
      <w:bookmarkEnd w:id="5"/>
    </w:p>
    <w:p w14:paraId="5DD1DB7B" w14:textId="77777777" w:rsidR="006B5065" w:rsidRPr="00DA2128" w:rsidRDefault="006B5065" w:rsidP="00A937C6">
      <w:pPr>
        <w:spacing w:line="240" w:lineRule="auto"/>
        <w:rPr>
          <w:sz w:val="22"/>
          <w:szCs w:val="22"/>
        </w:rPr>
      </w:pPr>
      <w:r w:rsidRPr="00DA2128">
        <w:rPr>
          <w:sz w:val="22"/>
          <w:szCs w:val="22"/>
        </w:rPr>
        <w:t xml:space="preserve">The preparation of the </w:t>
      </w:r>
      <w:r w:rsidRPr="00DA2128">
        <w:rPr>
          <w:i/>
          <w:iCs/>
          <w:sz w:val="22"/>
          <w:szCs w:val="22"/>
        </w:rPr>
        <w:t>EDI Emerging Evidence Report</w:t>
      </w:r>
      <w:r w:rsidRPr="00DA2128">
        <w:rPr>
          <w:sz w:val="22"/>
          <w:szCs w:val="22"/>
        </w:rPr>
        <w:t xml:space="preserve"> began at an early stage of the project, reflecting the strategic importance of establishing an evidence-based basis for the EDI policy framework. Throughout 2024–2025, continuous efforts have been directed towards the </w:t>
      </w:r>
      <w:r w:rsidRPr="00DA2128">
        <w:rPr>
          <w:sz w:val="22"/>
          <w:szCs w:val="22"/>
        </w:rPr>
        <w:lastRenderedPageBreak/>
        <w:t>development of this report, with dedicated activities aimed at gathering, analysing, and consolidating data from across the COLOURS Alliance.</w:t>
      </w:r>
    </w:p>
    <w:p w14:paraId="56DDD739" w14:textId="77777777" w:rsidR="006B5065" w:rsidRPr="00DA2128" w:rsidRDefault="006B5065" w:rsidP="00A937C6">
      <w:pPr>
        <w:spacing w:line="240" w:lineRule="auto"/>
        <w:rPr>
          <w:sz w:val="22"/>
          <w:szCs w:val="22"/>
        </w:rPr>
      </w:pPr>
      <w:r w:rsidRPr="00DA2128">
        <w:rPr>
          <w:sz w:val="22"/>
          <w:szCs w:val="22"/>
        </w:rPr>
        <w:t xml:space="preserve">During the ongoing development of the </w:t>
      </w:r>
      <w:r w:rsidRPr="00DA2128">
        <w:rPr>
          <w:i/>
          <w:iCs/>
          <w:sz w:val="22"/>
          <w:szCs w:val="22"/>
        </w:rPr>
        <w:t>EDI Emerging Evidence Report</w:t>
      </w:r>
      <w:r w:rsidRPr="00DA2128">
        <w:rPr>
          <w:sz w:val="22"/>
          <w:szCs w:val="22"/>
        </w:rPr>
        <w:t>, student participation has been an important, albeit challenging, dimension of this task. While the Student Forum was formally involved, engagement has been constrained by the frequent turnover of student representatives, limiting continuity and institutional memory. To address this difficulty, alternative channels for student voice were actively pursued. Students were engaged through the Imagine workshops, annual conferences, and other large-scale gatherings, ensuring that their perspectives contributed meaningfully to the evidence base.</w:t>
      </w:r>
    </w:p>
    <w:p w14:paraId="179698E0" w14:textId="77777777" w:rsidR="006B5065" w:rsidRPr="00DA2128" w:rsidRDefault="006B5065" w:rsidP="00A937C6">
      <w:pPr>
        <w:spacing w:line="240" w:lineRule="auto"/>
        <w:rPr>
          <w:sz w:val="22"/>
          <w:szCs w:val="22"/>
        </w:rPr>
      </w:pPr>
      <w:r w:rsidRPr="00DA2128">
        <w:rPr>
          <w:sz w:val="22"/>
          <w:szCs w:val="22"/>
        </w:rPr>
        <w:t>In addition, the COLOURS Strategy Board (CSB) and Student Forum (SF) were consulted at key stages, providing oversight and ensuring that the findings were aligned with broader alliance priorities. Preparations were also made to present the findings at the COLOURS Convention (CC), thereby ensuring visibility and facilitating dialogue among stakeholders.</w:t>
      </w:r>
    </w:p>
    <w:p w14:paraId="077383D3" w14:textId="77777777" w:rsidR="006B5065" w:rsidRPr="00DA2128" w:rsidRDefault="006B5065" w:rsidP="00A937C6">
      <w:pPr>
        <w:spacing w:line="240" w:lineRule="auto"/>
        <w:rPr>
          <w:sz w:val="22"/>
          <w:szCs w:val="22"/>
        </w:rPr>
      </w:pPr>
      <w:r w:rsidRPr="00DA2128">
        <w:rPr>
          <w:sz w:val="22"/>
          <w:szCs w:val="22"/>
        </w:rPr>
        <w:t>At the outset, EDI Officers were appointed at all nine partner universities, ensuring that institutional responsibilities for equity, diversity and inclusion were formally established. These officers have since engaged in regular monthly meetings to monitor progress, exchange best practices, and coordinate joint activities. The first key task was for each EDI Officer to prepare an institutional report outlining the current state of EDI at their respective university. These reports provided insight into local policies, practices, and challenges, thereby offering the necessary foundation for cross-alliance analysis. Building on this, the officers collectively identified policy gaps and areas requiring further alignment or support at the alliance level. The outcome of this collaborative process is a Summary Report that synthesises institutional findings, maps areas of convergence and divergence, and highlights the specific needs of the COLOURS Alliance regarding EDI policy development.</w:t>
      </w:r>
    </w:p>
    <w:p w14:paraId="7594DCD6" w14:textId="4897D318" w:rsidR="006B5065" w:rsidRPr="00DA2128" w:rsidRDefault="006B5065" w:rsidP="00A937C6">
      <w:pPr>
        <w:spacing w:line="240" w:lineRule="auto"/>
        <w:rPr>
          <w:sz w:val="22"/>
          <w:szCs w:val="22"/>
        </w:rPr>
      </w:pPr>
      <w:r w:rsidRPr="00DA2128">
        <w:rPr>
          <w:sz w:val="22"/>
          <w:szCs w:val="22"/>
        </w:rPr>
        <w:t xml:space="preserve">What follows is the </w:t>
      </w:r>
      <w:r w:rsidR="004E1B7E" w:rsidRPr="00DA2128">
        <w:rPr>
          <w:i/>
          <w:iCs/>
          <w:sz w:val="22"/>
          <w:szCs w:val="22"/>
        </w:rPr>
        <w:t>Summary</w:t>
      </w:r>
      <w:r w:rsidRPr="00DA2128">
        <w:rPr>
          <w:i/>
          <w:iCs/>
          <w:sz w:val="22"/>
          <w:szCs w:val="22"/>
        </w:rPr>
        <w:t xml:space="preserve"> of Already Existing EDI-related Policies in the Alliance</w:t>
      </w:r>
      <w:r w:rsidRPr="00DA2128">
        <w:rPr>
          <w:sz w:val="22"/>
          <w:szCs w:val="22"/>
        </w:rPr>
        <w:t>, which synthesises the key findings from all nine universities. This synthesis places particular emphasis on the policy and practice gaps that were identified through collective analysis. It highlights where additional effort is required to ensure that the alliance as a whole can meet its EDI objectives, and it provides a shared platform from which future policy recommendations and strategic interventions can be formulated.</w:t>
      </w:r>
    </w:p>
    <w:p w14:paraId="6A5B3A01" w14:textId="77777777" w:rsidR="004D7A63" w:rsidRPr="00DA2128" w:rsidRDefault="004D7A63" w:rsidP="00A937C6">
      <w:pPr>
        <w:spacing w:line="240" w:lineRule="auto"/>
        <w:rPr>
          <w:sz w:val="22"/>
          <w:szCs w:val="22"/>
        </w:rPr>
      </w:pPr>
    </w:p>
    <w:p w14:paraId="4A072128" w14:textId="0F8FB143" w:rsidR="00300997" w:rsidRPr="00DA2128" w:rsidRDefault="004D7A63" w:rsidP="00A937C6">
      <w:pPr>
        <w:pStyle w:val="Subtitle"/>
        <w:spacing w:line="240" w:lineRule="auto"/>
        <w:rPr>
          <w:noProof w:val="0"/>
        </w:rPr>
      </w:pPr>
      <w:r w:rsidRPr="00DA2128">
        <w:rPr>
          <w:noProof w:val="0"/>
        </w:rPr>
        <w:t>Summery Report: Already existing EDI-related policies at each University</w:t>
      </w:r>
    </w:p>
    <w:p w14:paraId="0E8FCA49" w14:textId="77777777" w:rsidR="00300997" w:rsidRPr="00DA2128" w:rsidRDefault="00300997" w:rsidP="00A937C6">
      <w:pPr>
        <w:pStyle w:val="Sub-subheading"/>
        <w:spacing w:line="240" w:lineRule="auto"/>
      </w:pPr>
      <w:r w:rsidRPr="00DA2128">
        <w:t>Introduction</w:t>
      </w:r>
    </w:p>
    <w:p w14:paraId="3D500253" w14:textId="77777777" w:rsidR="00300997" w:rsidRPr="00DA2128" w:rsidRDefault="00300997" w:rsidP="00A937C6">
      <w:pPr>
        <w:spacing w:line="240" w:lineRule="auto"/>
        <w:rPr>
          <w:sz w:val="22"/>
          <w:szCs w:val="22"/>
        </w:rPr>
      </w:pPr>
      <w:r w:rsidRPr="00DA2128">
        <w:rPr>
          <w:sz w:val="22"/>
          <w:szCs w:val="22"/>
        </w:rPr>
        <w:t xml:space="preserve">The COLOURS Alliance is working towards a deep and systematic transformation in different areas, focusing on green, social, and techno-digital development. The nine academic institutions, mentioned below, have joined the Alliance to be part of an innovative, value-driven, and sustainable European University. </w:t>
      </w:r>
    </w:p>
    <w:p w14:paraId="4175FFA5" w14:textId="77777777" w:rsidR="00300997" w:rsidRPr="00DA2128" w:rsidRDefault="00300997" w:rsidP="00A937C6">
      <w:pPr>
        <w:spacing w:line="240" w:lineRule="auto"/>
        <w:rPr>
          <w:sz w:val="22"/>
          <w:szCs w:val="22"/>
        </w:rPr>
      </w:pPr>
      <w:r w:rsidRPr="00DA2128">
        <w:rPr>
          <w:sz w:val="22"/>
          <w:szCs w:val="22"/>
        </w:rPr>
        <w:t>The Alliance places Equality, Diversity, and Inclusion (EDI) at the heart of its governance, reflecting its commitment to these values as core principles. Through a dedicated Work Package 5 (WP5), all nine member universities will actively collaborate to create equitable and inclusive environments in academia. Each University has prepared detailed reports on its current EDI work, such as gender equality policies, legal frameworks, and practices. This document summarises the EDI reports and identifies areas for further enhancement across the COLOURS Alliance.</w:t>
      </w:r>
    </w:p>
    <w:p w14:paraId="66DD4072" w14:textId="77777777" w:rsidR="00300997" w:rsidRPr="00DA2128" w:rsidRDefault="00300997" w:rsidP="00A937C6">
      <w:pPr>
        <w:spacing w:line="240" w:lineRule="auto"/>
        <w:rPr>
          <w:sz w:val="22"/>
          <w:szCs w:val="22"/>
        </w:rPr>
      </w:pPr>
      <w:r w:rsidRPr="00DA2128">
        <w:rPr>
          <w:sz w:val="22"/>
          <w:szCs w:val="22"/>
        </w:rPr>
        <w:t>The following is an overview of how each university within the COLOURS Alliance upholds the principles of Equity, Diversity, and Inclusion (EDI). The Universities involved in the Alliance are:</w:t>
      </w:r>
    </w:p>
    <w:p w14:paraId="50FE37A5" w14:textId="77777777" w:rsidR="00300997" w:rsidRPr="00DA2128" w:rsidRDefault="00300997" w:rsidP="00A937C6">
      <w:pPr>
        <w:spacing w:line="240" w:lineRule="auto"/>
        <w:rPr>
          <w:sz w:val="22"/>
          <w:szCs w:val="22"/>
        </w:rPr>
      </w:pPr>
    </w:p>
    <w:p w14:paraId="43A993CD" w14:textId="77777777" w:rsidR="00300997" w:rsidRPr="00DA2128" w:rsidRDefault="00300997" w:rsidP="00A937C6">
      <w:pPr>
        <w:spacing w:line="240" w:lineRule="auto"/>
        <w:rPr>
          <w:sz w:val="22"/>
          <w:szCs w:val="22"/>
        </w:rPr>
      </w:pPr>
      <w:r w:rsidRPr="00DA2128">
        <w:rPr>
          <w:sz w:val="22"/>
          <w:szCs w:val="22"/>
        </w:rPr>
        <w:t>• Paderborn University (UPB), Germany</w:t>
      </w:r>
    </w:p>
    <w:p w14:paraId="5B97F7A9" w14:textId="77777777" w:rsidR="00300997" w:rsidRPr="00DA2128" w:rsidRDefault="00300997" w:rsidP="00A937C6">
      <w:pPr>
        <w:spacing w:line="240" w:lineRule="auto"/>
        <w:rPr>
          <w:sz w:val="22"/>
          <w:szCs w:val="22"/>
        </w:rPr>
      </w:pPr>
      <w:r w:rsidRPr="00DA2128">
        <w:rPr>
          <w:sz w:val="22"/>
          <w:szCs w:val="22"/>
        </w:rPr>
        <w:t>• University of Ferrara (UNIFE), Italy</w:t>
      </w:r>
    </w:p>
    <w:p w14:paraId="70050694" w14:textId="77777777" w:rsidR="00300997" w:rsidRPr="00DA2128" w:rsidRDefault="00300997" w:rsidP="00A937C6">
      <w:pPr>
        <w:spacing w:line="240" w:lineRule="auto"/>
        <w:rPr>
          <w:sz w:val="22"/>
          <w:szCs w:val="22"/>
        </w:rPr>
      </w:pPr>
      <w:r w:rsidRPr="00DA2128">
        <w:rPr>
          <w:sz w:val="22"/>
          <w:szCs w:val="22"/>
        </w:rPr>
        <w:t>• Kristianstad University (HKR), Sweden</w:t>
      </w:r>
    </w:p>
    <w:p w14:paraId="0BDA4318" w14:textId="77777777" w:rsidR="00300997" w:rsidRPr="00DA2128" w:rsidRDefault="00300997" w:rsidP="00A937C6">
      <w:pPr>
        <w:spacing w:line="240" w:lineRule="auto"/>
        <w:rPr>
          <w:sz w:val="22"/>
          <w:szCs w:val="22"/>
        </w:rPr>
      </w:pPr>
      <w:r w:rsidRPr="00DA2128">
        <w:rPr>
          <w:sz w:val="22"/>
          <w:szCs w:val="22"/>
        </w:rPr>
        <w:t>• Josip Juraj Strossmayer University of Osijek (UNIOS), Croatia</w:t>
      </w:r>
    </w:p>
    <w:p w14:paraId="4F4CB5C7" w14:textId="77777777" w:rsidR="00300997" w:rsidRPr="00AD442B" w:rsidRDefault="00300997" w:rsidP="00A937C6">
      <w:pPr>
        <w:spacing w:line="240" w:lineRule="auto"/>
        <w:rPr>
          <w:sz w:val="22"/>
          <w:szCs w:val="22"/>
          <w:lang w:val="pl-PL"/>
        </w:rPr>
      </w:pPr>
      <w:r w:rsidRPr="00AD442B">
        <w:rPr>
          <w:sz w:val="22"/>
          <w:szCs w:val="22"/>
          <w:lang w:val="pl-PL"/>
        </w:rPr>
        <w:t>• Jan Długosz University in Częstochowa (JDU), Poland</w:t>
      </w:r>
    </w:p>
    <w:p w14:paraId="4CE666C3" w14:textId="77777777" w:rsidR="00300997" w:rsidRPr="00DA2128" w:rsidRDefault="00300997" w:rsidP="00A937C6">
      <w:pPr>
        <w:spacing w:line="240" w:lineRule="auto"/>
        <w:rPr>
          <w:sz w:val="22"/>
          <w:szCs w:val="22"/>
        </w:rPr>
      </w:pPr>
      <w:r w:rsidRPr="00DA2128">
        <w:rPr>
          <w:sz w:val="22"/>
          <w:szCs w:val="22"/>
        </w:rPr>
        <w:t>• University of Castilla - La Mancha (UCLM), Spain</w:t>
      </w:r>
    </w:p>
    <w:p w14:paraId="3E012E04" w14:textId="77777777" w:rsidR="00300997" w:rsidRPr="00DA2128" w:rsidRDefault="00300997" w:rsidP="00A937C6">
      <w:pPr>
        <w:spacing w:line="240" w:lineRule="auto"/>
        <w:rPr>
          <w:sz w:val="22"/>
          <w:szCs w:val="22"/>
        </w:rPr>
      </w:pPr>
      <w:r w:rsidRPr="00DA2128">
        <w:rPr>
          <w:sz w:val="22"/>
          <w:szCs w:val="22"/>
        </w:rPr>
        <w:t>• Le Mans University (LMU), France</w:t>
      </w:r>
    </w:p>
    <w:p w14:paraId="4E4F2DDD" w14:textId="77777777" w:rsidR="00300997" w:rsidRPr="00DA2128" w:rsidRDefault="00300997" w:rsidP="00A937C6">
      <w:pPr>
        <w:spacing w:line="240" w:lineRule="auto"/>
        <w:rPr>
          <w:sz w:val="22"/>
          <w:szCs w:val="22"/>
        </w:rPr>
      </w:pPr>
      <w:r w:rsidRPr="00DA2128">
        <w:rPr>
          <w:sz w:val="22"/>
          <w:szCs w:val="22"/>
        </w:rPr>
        <w:t>• University St. Kliment Ohridski – Bitola (UKLO), North Macedonia</w:t>
      </w:r>
    </w:p>
    <w:p w14:paraId="4E9F4C07" w14:textId="77777777" w:rsidR="00300997" w:rsidRPr="00DA2128" w:rsidRDefault="00300997" w:rsidP="00A937C6">
      <w:pPr>
        <w:spacing w:line="240" w:lineRule="auto"/>
        <w:rPr>
          <w:sz w:val="22"/>
          <w:szCs w:val="22"/>
        </w:rPr>
      </w:pPr>
      <w:r w:rsidRPr="00DA2128">
        <w:rPr>
          <w:sz w:val="22"/>
          <w:szCs w:val="22"/>
        </w:rPr>
        <w:t>• Ventspils University of Applied Sciences (VUAS), Latvia</w:t>
      </w:r>
    </w:p>
    <w:p w14:paraId="50349317" w14:textId="77777777" w:rsidR="00300997" w:rsidRPr="00DA2128" w:rsidRDefault="00300997" w:rsidP="00A937C6">
      <w:pPr>
        <w:spacing w:line="240" w:lineRule="auto"/>
        <w:rPr>
          <w:sz w:val="22"/>
          <w:szCs w:val="22"/>
        </w:rPr>
      </w:pPr>
    </w:p>
    <w:p w14:paraId="0BFBBE70" w14:textId="77777777" w:rsidR="00300997" w:rsidRPr="00DA2128" w:rsidRDefault="00300997" w:rsidP="00A937C6">
      <w:pPr>
        <w:pStyle w:val="Sub-subheading"/>
        <w:spacing w:line="240" w:lineRule="auto"/>
      </w:pPr>
      <w:r w:rsidRPr="00DA2128">
        <w:t>Gender Equality</w:t>
      </w:r>
    </w:p>
    <w:p w14:paraId="53C58370" w14:textId="77777777" w:rsidR="00300997" w:rsidRPr="00DA2128" w:rsidRDefault="00300997" w:rsidP="00A937C6">
      <w:pPr>
        <w:spacing w:line="240" w:lineRule="auto"/>
        <w:rPr>
          <w:sz w:val="22"/>
          <w:szCs w:val="22"/>
        </w:rPr>
      </w:pPr>
      <w:r w:rsidRPr="00DA2128">
        <w:rPr>
          <w:sz w:val="22"/>
          <w:szCs w:val="22"/>
        </w:rPr>
        <w:t>Gender equality is a central dimension of EDI. All COLOURS universities have an existing Gender Equality Policy (GEP), whereas the current ones have been updated since at least 2021. Many of the elements described in the GEPs are recommendations. It is therefore difficult to say whether they have all been applied and complied with since they were drawn up. Regardless, the GEPs serve as valuable references for understanding the universities' EDI work providing clear insights into their commitments and approaches.</w:t>
      </w:r>
    </w:p>
    <w:p w14:paraId="5B5034BB" w14:textId="77777777" w:rsidR="00300997" w:rsidRPr="00DA2128" w:rsidRDefault="00300997" w:rsidP="00A937C6">
      <w:pPr>
        <w:spacing w:line="240" w:lineRule="auto"/>
        <w:rPr>
          <w:sz w:val="22"/>
          <w:szCs w:val="22"/>
        </w:rPr>
      </w:pPr>
      <w:r w:rsidRPr="00DA2128">
        <w:rPr>
          <w:sz w:val="22"/>
          <w:szCs w:val="22"/>
        </w:rPr>
        <w:t>The university has a role to play both as an institution of learning and as an employer. Gender Equality officers are responsible for the implementation of GEP in each institution and on all levels. The GEPs are accessible on the universities' websites and encompass various key areas, offering insights into institutional strategies and priorities for promoting equity and inclusion. Below is a description of identified key areas.</w:t>
      </w:r>
    </w:p>
    <w:p w14:paraId="2F03C9FE" w14:textId="77777777" w:rsidR="00300997" w:rsidRPr="00DA2128" w:rsidRDefault="00300997" w:rsidP="00A937C6">
      <w:pPr>
        <w:spacing w:line="240" w:lineRule="auto"/>
        <w:rPr>
          <w:sz w:val="22"/>
          <w:szCs w:val="22"/>
        </w:rPr>
      </w:pPr>
    </w:p>
    <w:p w14:paraId="3F68E9DE" w14:textId="77777777" w:rsidR="00300997" w:rsidRPr="00DA2128" w:rsidRDefault="00300997" w:rsidP="00A937C6">
      <w:pPr>
        <w:pStyle w:val="Sub-subheading"/>
        <w:spacing w:line="240" w:lineRule="auto"/>
      </w:pPr>
      <w:r w:rsidRPr="00DA2128">
        <w:t xml:space="preserve">Disparities in fields of study </w:t>
      </w:r>
    </w:p>
    <w:p w14:paraId="36E0C643" w14:textId="77777777" w:rsidR="00300997" w:rsidRPr="00DA2128" w:rsidRDefault="00300997" w:rsidP="00A937C6">
      <w:pPr>
        <w:spacing w:line="240" w:lineRule="auto"/>
        <w:rPr>
          <w:sz w:val="22"/>
          <w:szCs w:val="22"/>
        </w:rPr>
      </w:pPr>
      <w:r w:rsidRPr="00DA2128">
        <w:rPr>
          <w:sz w:val="22"/>
          <w:szCs w:val="22"/>
        </w:rPr>
        <w:t>All the partners of Colours Alliance have noted the challenging disparities between men and women in different fields of study among the student population. Although women outnumber men in the general student population, they are in the minority in Science, Technology, Engineering, and Mathematics (STEM) disciplines. Men, on the other hand, are not very present in literary subjects, humanities, and administration. To address this issue, HKRs dedicated strategy, “Equal Opportunity plan 2021–2024”, is gaining a deeper understanding of students' choices by conducting targeted surveys on gender mainstreaming initiatives. These surveys are designed to gather insights into the factors influencing students' academic decisions, enabling more informed strategies to promote gender balance in underrepresented fields. Through a nuanced examination of gender dynamics in educational pathways, HKR aims to disassemble deeply rooted beliefs and stereotypes that perpetuate gender inequalities.</w:t>
      </w:r>
    </w:p>
    <w:p w14:paraId="6822BF4B" w14:textId="77777777" w:rsidR="00300997" w:rsidRPr="00DA2128" w:rsidRDefault="00300997" w:rsidP="00A937C6">
      <w:pPr>
        <w:spacing w:line="240" w:lineRule="auto"/>
        <w:rPr>
          <w:sz w:val="22"/>
          <w:szCs w:val="22"/>
        </w:rPr>
      </w:pPr>
      <w:r w:rsidRPr="00DA2128">
        <w:rPr>
          <w:sz w:val="22"/>
          <w:szCs w:val="22"/>
        </w:rPr>
        <w:t xml:space="preserve">UCLM and LMU are working actively to highlight female role models in the woman underrepresented fields. ULCM have a specific program called “Adventure with scientists at the UCLM”, where primary school students have the opportunity to meet female researchers at the university, enabling secondary school girls to meet female students and professionals from this field. UPB also offers female tutor and mentor programs in the natural sciences and technical subjects, which can be very helpful for first-year students. The mentoring program is also intended for female doctoral candidates to achieve a proportion of female doctorates and </w:t>
      </w:r>
      <w:r w:rsidRPr="00DA2128">
        <w:rPr>
          <w:sz w:val="22"/>
          <w:szCs w:val="22"/>
        </w:rPr>
        <w:lastRenderedPageBreak/>
        <w:t>habilitations that is at least equal to the proportion of women at the previous qualification level. UPB calls it “The cascade principle”. Doctoral scholarships also contribute to that strategy.</w:t>
      </w:r>
    </w:p>
    <w:p w14:paraId="1811A0FA" w14:textId="77777777" w:rsidR="00300997" w:rsidRPr="00DA2128" w:rsidRDefault="00300997" w:rsidP="00A937C6">
      <w:pPr>
        <w:spacing w:line="240" w:lineRule="auto"/>
        <w:rPr>
          <w:sz w:val="22"/>
          <w:szCs w:val="22"/>
        </w:rPr>
      </w:pPr>
      <w:r w:rsidRPr="00DA2128">
        <w:rPr>
          <w:sz w:val="22"/>
          <w:szCs w:val="22"/>
        </w:rPr>
        <w:t xml:space="preserve">In order to highlight the importance of raising the profile of women in different ways, UCLM and LMU aim to name and rename classrooms and auditoriums in their universities according to famous women in their fields of study. These two universities also organise commemorative days throughout the year, particularly around 8 March, International Women's Day. Moreover, the visibility of women can go through the use of inclusive language in which the feminine appears. UCLM uses this principle in its communications and provides staff and students with guides and training on how to apply inclusive writing. UNIFE also uses inclusive communication. </w:t>
      </w:r>
    </w:p>
    <w:p w14:paraId="77594C8A" w14:textId="77777777" w:rsidR="00300997" w:rsidRPr="00DA2128" w:rsidRDefault="00300997" w:rsidP="00A937C6">
      <w:pPr>
        <w:spacing w:line="240" w:lineRule="auto"/>
        <w:rPr>
          <w:sz w:val="22"/>
          <w:szCs w:val="22"/>
        </w:rPr>
      </w:pPr>
      <w:r w:rsidRPr="00DA2128">
        <w:rPr>
          <w:sz w:val="22"/>
          <w:szCs w:val="22"/>
        </w:rPr>
        <w:t>Disparities in the fields of study also exist in areas where men are underrepresented, such as literary subjects, humanities, and administrative disciplines. However, there is a noticeable lack of targeted efforts in universities’ EDI reports to address and balance these gender disparities. While significant resources and strategies are dedicated to increasing female participation in male-dominated fields, there is comparatively little attention paid to encouraging men to pursue studies in areas where they are the minority.</w:t>
      </w:r>
    </w:p>
    <w:p w14:paraId="37DA5367" w14:textId="77777777" w:rsidR="00300997" w:rsidRPr="00DA2128" w:rsidRDefault="00300997" w:rsidP="00A937C6">
      <w:pPr>
        <w:spacing w:line="240" w:lineRule="auto"/>
        <w:rPr>
          <w:sz w:val="22"/>
          <w:szCs w:val="22"/>
        </w:rPr>
      </w:pPr>
    </w:p>
    <w:p w14:paraId="4DBE6744" w14:textId="77777777" w:rsidR="00300997" w:rsidRPr="00DA2128" w:rsidRDefault="00300997" w:rsidP="00A937C6">
      <w:pPr>
        <w:pStyle w:val="Sub-subheading"/>
        <w:spacing w:line="240" w:lineRule="auto"/>
      </w:pPr>
      <w:r w:rsidRPr="00DA2128">
        <w:t>Gender balance in executive positions</w:t>
      </w:r>
    </w:p>
    <w:p w14:paraId="1C8C752C" w14:textId="77777777" w:rsidR="00300997" w:rsidRPr="00DA2128" w:rsidRDefault="00300997" w:rsidP="00A937C6">
      <w:pPr>
        <w:spacing w:line="240" w:lineRule="auto"/>
        <w:rPr>
          <w:sz w:val="22"/>
          <w:szCs w:val="22"/>
        </w:rPr>
      </w:pPr>
      <w:r w:rsidRPr="00DA2128">
        <w:rPr>
          <w:sz w:val="22"/>
          <w:szCs w:val="22"/>
        </w:rPr>
        <w:t xml:space="preserve">The analysis of gender balance in executive positions presented in these reports is described in different ways in the institutions, even though an observed imbalance between men and women in decision-making processes within academia is evident across the whole Colours Alliance. </w:t>
      </w:r>
    </w:p>
    <w:p w14:paraId="5377C7D0" w14:textId="77777777" w:rsidR="00300997" w:rsidRPr="00DA2128" w:rsidRDefault="00300997" w:rsidP="00A937C6">
      <w:pPr>
        <w:spacing w:line="240" w:lineRule="auto"/>
        <w:rPr>
          <w:sz w:val="22"/>
          <w:szCs w:val="22"/>
        </w:rPr>
      </w:pPr>
      <w:r w:rsidRPr="00DA2128">
        <w:rPr>
          <w:sz w:val="22"/>
          <w:szCs w:val="22"/>
        </w:rPr>
        <w:t>JDU data shows that gender balance has been achieved among teaching staff, with 51% women and 49% men. However, the data reveals an imbalance in leadership and professorial positions. Decision-making structures remain male-dominated at JDU, with men disproportionately represented in positions such as rector, pro-rector, institute director, department head, chair of disciplinary boards and in the composition of dean's colleges. UCLM and UPB have conducted similar analyses in their respective organisations.</w:t>
      </w:r>
    </w:p>
    <w:p w14:paraId="3539648F" w14:textId="77777777" w:rsidR="00300997" w:rsidRPr="00DA2128" w:rsidRDefault="00300997" w:rsidP="00A937C6">
      <w:pPr>
        <w:spacing w:line="240" w:lineRule="auto"/>
        <w:rPr>
          <w:sz w:val="22"/>
          <w:szCs w:val="22"/>
        </w:rPr>
      </w:pPr>
      <w:r w:rsidRPr="00DA2128">
        <w:rPr>
          <w:sz w:val="22"/>
          <w:szCs w:val="22"/>
        </w:rPr>
        <w:t xml:space="preserve">UKLO, on the other hand, is the only one of the COLOURS universities to report gender imbalance with 2/3 of managerial positions held by women. UKLO defines in the report that even before their current policies and strategies on gender equality, they were promoting managerial positions based on accomplishments and competencies. No further information is provided on how the prework has been done. </w:t>
      </w:r>
    </w:p>
    <w:p w14:paraId="75D38E4C" w14:textId="77777777" w:rsidR="00300997" w:rsidRPr="00DA2128" w:rsidRDefault="00300997" w:rsidP="00A937C6">
      <w:pPr>
        <w:spacing w:line="240" w:lineRule="auto"/>
        <w:rPr>
          <w:sz w:val="22"/>
          <w:szCs w:val="22"/>
        </w:rPr>
      </w:pPr>
      <w:r w:rsidRPr="00DA2128">
        <w:rPr>
          <w:sz w:val="22"/>
          <w:szCs w:val="22"/>
        </w:rPr>
        <w:t>All the university's reports demonstrate a strong commitment to addressing these disparities by fostering gender-equal and inclusive academic environments. Various strategies and action plans are highlighted, focusing on increasing women's representation in leadership roles and male-dominated fields. For instance, UPB has set a goal to raise the proportion of female professors by an additional 5% over the next three years. The reports also underscore the importance of tackling gender stereotypes and unconscious biases while promoting the visibility of female role models within academia, especially at HKR and LMU.</w:t>
      </w:r>
    </w:p>
    <w:p w14:paraId="5006FD55" w14:textId="77777777" w:rsidR="00300997" w:rsidRPr="00DA2128" w:rsidRDefault="00300997" w:rsidP="00A937C6">
      <w:pPr>
        <w:spacing w:line="240" w:lineRule="auto"/>
        <w:rPr>
          <w:sz w:val="22"/>
          <w:szCs w:val="22"/>
        </w:rPr>
      </w:pPr>
      <w:r w:rsidRPr="00DA2128">
        <w:rPr>
          <w:sz w:val="22"/>
          <w:szCs w:val="22"/>
        </w:rPr>
        <w:t>UCLM highlights the need to have a balanced composition by gender in each of the evaluation committees and hiring committees and to promote a balanced composition of women and men in coordination tasks of master’s degrees and direction of doctoral thesis. The staff is also encouraged to participate in training courses on equality. UCLM and HKR also stress the importance of keeping a record of employees' pay to carry out a comparative statistical analysis of men's and women's pay year after year.</w:t>
      </w:r>
    </w:p>
    <w:p w14:paraId="37318C4F" w14:textId="77777777" w:rsidR="00300997" w:rsidRPr="00DA2128" w:rsidRDefault="00300997" w:rsidP="00A937C6">
      <w:pPr>
        <w:spacing w:line="240" w:lineRule="auto"/>
        <w:rPr>
          <w:sz w:val="22"/>
          <w:szCs w:val="22"/>
        </w:rPr>
      </w:pPr>
      <w:r w:rsidRPr="00DA2128">
        <w:rPr>
          <w:sz w:val="22"/>
          <w:szCs w:val="22"/>
        </w:rPr>
        <w:t xml:space="preserve">UPB plans to reach gender parity in the appointment committee and to have the active involvement of the Equal Opportunities Officer in all steps of the procedure. They also recommend inviting the same number of women as men or all female applicants when under-represented, on the condition that they meet the required qualifications defined in the </w:t>
      </w:r>
      <w:r w:rsidRPr="00DA2128">
        <w:rPr>
          <w:sz w:val="22"/>
          <w:szCs w:val="22"/>
        </w:rPr>
        <w:lastRenderedPageBreak/>
        <w:t xml:space="preserve">advertisement. During the appointment, the use of guidelines and a checklist in which gender equality aspects are explicitly checked is recommended. </w:t>
      </w:r>
    </w:p>
    <w:p w14:paraId="02E071CB" w14:textId="77777777" w:rsidR="00300997" w:rsidRPr="00DA2128" w:rsidRDefault="00300997" w:rsidP="00A937C6">
      <w:pPr>
        <w:spacing w:line="240" w:lineRule="auto"/>
        <w:rPr>
          <w:sz w:val="22"/>
          <w:szCs w:val="22"/>
        </w:rPr>
      </w:pPr>
      <w:r w:rsidRPr="00DA2128">
        <w:rPr>
          <w:sz w:val="22"/>
          <w:szCs w:val="22"/>
        </w:rPr>
        <w:t xml:space="preserve">UNIOS has a “Gender Equality Committee” (UNIOS GEC) that collects gender-disaggregated data to analyse gender distribution across various areas, including leadership positions. However, the report does not specifically mention gender distribution within leadership roles at UNIOS. UNIFE, VUAS, and HKR also describe the challenge of having great policies that stand for equal human rights, equal opportunities, and the same possibilities regardless of gender, yet struggling to implement them in the daily work of the institutions. </w:t>
      </w:r>
    </w:p>
    <w:p w14:paraId="777A29F9" w14:textId="77777777" w:rsidR="00300997" w:rsidRPr="00DA2128" w:rsidRDefault="00300997" w:rsidP="00A937C6">
      <w:pPr>
        <w:spacing w:line="240" w:lineRule="auto"/>
        <w:rPr>
          <w:sz w:val="22"/>
          <w:szCs w:val="22"/>
        </w:rPr>
      </w:pPr>
    </w:p>
    <w:p w14:paraId="24A91C43" w14:textId="77777777" w:rsidR="00300997" w:rsidRPr="00DA2128" w:rsidRDefault="00300997" w:rsidP="00A937C6">
      <w:pPr>
        <w:pStyle w:val="Sub-subheading"/>
        <w:spacing w:line="240" w:lineRule="auto"/>
      </w:pPr>
      <w:r w:rsidRPr="00DA2128">
        <w:t>Sexist and sexual violence</w:t>
      </w:r>
    </w:p>
    <w:p w14:paraId="06AE08FD" w14:textId="77777777" w:rsidR="00300997" w:rsidRPr="00DA2128" w:rsidRDefault="00300997" w:rsidP="00A937C6">
      <w:pPr>
        <w:spacing w:line="240" w:lineRule="auto"/>
        <w:rPr>
          <w:sz w:val="22"/>
          <w:szCs w:val="22"/>
        </w:rPr>
      </w:pPr>
      <w:r w:rsidRPr="00DA2128">
        <w:rPr>
          <w:sz w:val="22"/>
          <w:szCs w:val="22"/>
        </w:rPr>
        <w:t>Reports from the COLOURS Alliance demonstrate a clear awareness of the issue of sexual harassment and violence within academia. The reports recognise the importance of creating a safe and respectful learning environment for all and, to that, universities have implemented various strategies to prevent and address incidents of sexual harassment or violence.</w:t>
      </w:r>
    </w:p>
    <w:p w14:paraId="5D9B92CC" w14:textId="77777777" w:rsidR="00300997" w:rsidRPr="00DA2128" w:rsidRDefault="00300997" w:rsidP="00A937C6">
      <w:pPr>
        <w:spacing w:line="240" w:lineRule="auto"/>
        <w:rPr>
          <w:sz w:val="22"/>
          <w:szCs w:val="22"/>
        </w:rPr>
      </w:pPr>
      <w:r w:rsidRPr="00DA2128">
        <w:rPr>
          <w:sz w:val="22"/>
          <w:szCs w:val="22"/>
        </w:rPr>
        <w:t xml:space="preserve">Combating gender-based and sexual violence is central to the fight for gender equality and it comes back in every GEP of the COLOURS universities. As JDU points out, the first step is to make sure that the information about how to react when facing gender-based or sexual violence and the options of support available are visible and known. </w:t>
      </w:r>
    </w:p>
    <w:p w14:paraId="345B817D" w14:textId="77777777" w:rsidR="00300997" w:rsidRPr="00DA2128" w:rsidRDefault="00300997" w:rsidP="00A937C6">
      <w:pPr>
        <w:spacing w:line="240" w:lineRule="auto"/>
        <w:rPr>
          <w:sz w:val="22"/>
          <w:szCs w:val="22"/>
        </w:rPr>
      </w:pPr>
      <w:r w:rsidRPr="00DA2128">
        <w:rPr>
          <w:sz w:val="22"/>
          <w:szCs w:val="22"/>
        </w:rPr>
        <w:t>In general, the universities emphasise the importance of providing support for victims, thoroughly investigating complaints, and taking appropriate action against perpetrators. Several institutions have established dedicated units or designated contact persons to handle issues related to sexual harassment. For instance, LMU's “V2S Unit” supports victims and witnesses while actively engaging in preventive efforts. JDU has appointed a gender equality officer to advocate for violence and harassment issues. UPB and HKR have implemented clear guidelines stating zero tolerance for any form of sexual harassment, including providing support for victims and conducting investigations into complaints.</w:t>
      </w:r>
    </w:p>
    <w:p w14:paraId="35836909" w14:textId="77777777" w:rsidR="00300997" w:rsidRPr="00DA2128" w:rsidRDefault="00300997" w:rsidP="00A937C6">
      <w:pPr>
        <w:spacing w:line="240" w:lineRule="auto"/>
        <w:rPr>
          <w:sz w:val="22"/>
          <w:szCs w:val="22"/>
        </w:rPr>
      </w:pPr>
      <w:r w:rsidRPr="00DA2128">
        <w:rPr>
          <w:sz w:val="22"/>
          <w:szCs w:val="22"/>
        </w:rPr>
        <w:t>Some universities stand out for their particularly comprehensive measures. Besides LMU, UCLM has updated its harassment policy to encompass all forms of harassment and established a committee, “COPREDIA”, to manage complaints. Other universities provide more general information about their policies and actions against sexual harassment but consistently emphasise the importance of tackling the issue. VUAS, for example, conducted a survey that confirmed the existence of the problem and committed to creating a safer working environment. UNIOS has adopted a policy addressing harassment and bullying, while UNIFE offers support through a “Listening centre”.</w:t>
      </w:r>
    </w:p>
    <w:p w14:paraId="0D6142D5" w14:textId="77777777" w:rsidR="00300997" w:rsidRPr="00DA2128" w:rsidRDefault="00300997" w:rsidP="00A937C6">
      <w:pPr>
        <w:spacing w:line="240" w:lineRule="auto"/>
        <w:rPr>
          <w:sz w:val="22"/>
          <w:szCs w:val="22"/>
        </w:rPr>
      </w:pPr>
      <w:r w:rsidRPr="00DA2128">
        <w:rPr>
          <w:sz w:val="22"/>
          <w:szCs w:val="22"/>
        </w:rPr>
        <w:t>JDU conducted an anonymous survey among its students to assess the prevalence of harassment and discrimination, particularly involving teachers. The results revealed that 72.7% of doctoral students reported not experiencing such issues, indicating that 27.3% had faced harassment or discrimination. Individual responses mentioned behaviours such as malicious scales, jokes, teasing, commenting on a doctoral student's personal affairs, sexist behaviour in class.  These results can be a reason for satisfaction and satisfaction that academic staff represent a high level of culture and professional ethics. Few negative behaviours were also observed by doctoral students from their colleagues - 90.9% of the respondents did not observe such behaviours.  Single indications concerned being ignored and disrespected in the group and harassment by phone calls and emails.  Among the general student population in the country, the figure stood at 21.5%.</w:t>
      </w:r>
    </w:p>
    <w:p w14:paraId="674DA092" w14:textId="77777777" w:rsidR="00300997" w:rsidRPr="00DA2128" w:rsidRDefault="00300997" w:rsidP="00A937C6">
      <w:pPr>
        <w:spacing w:line="240" w:lineRule="auto"/>
        <w:rPr>
          <w:sz w:val="22"/>
          <w:szCs w:val="22"/>
        </w:rPr>
      </w:pPr>
      <w:r w:rsidRPr="00DA2128">
        <w:rPr>
          <w:sz w:val="22"/>
          <w:szCs w:val="22"/>
        </w:rPr>
        <w:t xml:space="preserve">Similarly, in 2024, VUAS conducted a survey targeting its employees. While the majority of respondents reported they had not experienced sexual harassment, homophobia, or discrimination from colleagues, a significant minority indicated otherwise. Based on these </w:t>
      </w:r>
      <w:r w:rsidRPr="00DA2128">
        <w:rPr>
          <w:sz w:val="22"/>
          <w:szCs w:val="22"/>
        </w:rPr>
        <w:lastRenderedPageBreak/>
        <w:t>findings, it was concluded that clear guidelines are essential to help staff understand how to respond to and report such incidents effectively and manage them professionally.</w:t>
      </w:r>
    </w:p>
    <w:p w14:paraId="2815EDE9" w14:textId="77777777" w:rsidR="00300997" w:rsidRPr="00DA2128" w:rsidRDefault="00300997" w:rsidP="00A937C6">
      <w:pPr>
        <w:spacing w:line="240" w:lineRule="auto"/>
        <w:rPr>
          <w:sz w:val="22"/>
          <w:szCs w:val="22"/>
        </w:rPr>
      </w:pPr>
      <w:r w:rsidRPr="00DA2128">
        <w:rPr>
          <w:sz w:val="22"/>
          <w:szCs w:val="22"/>
        </w:rPr>
        <w:t>HKR explained being legally obliged to investigate any instances where a student feels harassed or discriminated against while participating in or applying to the university's activities. The program coordinators, department heads, student support centres, and health services are implied, and the university’s rector has the final decision on disciplinary action. During the reporting process, the victim can ask for anonymity. However, the counsellors will explain to them how it can be a limit because it may hinder the resolution process, as detailed information is crucial for a thorough investigation. However, the victim has the final decision. Support structures are available to help the victim simultaneously with the investigation. At UNIOS, just like HKR, a clear procedure for reporting incidents exists with a support system for victims. A tool called “Call your voice” is aimed to report any form of violation of academic integrity and freedom. They adopted a zero-tolerance approach to harassment and bullying.</w:t>
      </w:r>
    </w:p>
    <w:p w14:paraId="6C54DA8F" w14:textId="77777777" w:rsidR="00300997" w:rsidRPr="00DA2128" w:rsidRDefault="00300997" w:rsidP="00A937C6">
      <w:pPr>
        <w:spacing w:line="240" w:lineRule="auto"/>
        <w:rPr>
          <w:sz w:val="22"/>
          <w:szCs w:val="22"/>
        </w:rPr>
      </w:pPr>
      <w:r w:rsidRPr="00DA2128">
        <w:rPr>
          <w:sz w:val="22"/>
          <w:szCs w:val="22"/>
        </w:rPr>
        <w:t>UPB provides its employees involved in training, teaching, and management with guidance on how to appropriately address incidents of sexual discrimination, harassment, and violence. The institution has established guidelines promoting respectful interactions and protecting against disadvantage, discrimination, sexual violence, and bullying. A complaints office affiliated with the human resources department encourages affected individuals to report incidents and supports witnesses in offering assistance. Additionally, some universities can adjust the working conditions of individuals experiencing harassment. For example, UCLM allows affected individuals to choose their work schedules where possible, authorises increased teleworking, and notifies them in advance if they are likely to encounter the alleged harasser at work due to overlapping roles.</w:t>
      </w:r>
    </w:p>
    <w:p w14:paraId="0E5194C4" w14:textId="77777777" w:rsidR="00300997" w:rsidRPr="00DA2128" w:rsidRDefault="00300997" w:rsidP="00A937C6">
      <w:pPr>
        <w:spacing w:line="240" w:lineRule="auto"/>
        <w:rPr>
          <w:sz w:val="22"/>
          <w:szCs w:val="22"/>
        </w:rPr>
      </w:pPr>
      <w:r w:rsidRPr="00DA2128">
        <w:rPr>
          <w:sz w:val="22"/>
          <w:szCs w:val="22"/>
        </w:rPr>
        <w:t xml:space="preserve">When it comes to preventive work related to sexual harassment and abuse within academia, several universities, including HKR, JDU, UPB, VUAS, and UNIFE, emphasise that a key aspect of these efforts is fostering an inclusive and respectful environment where both students and staff can feel safe and welcomed. UPB, for example, has developed guidelines to ensure that events organised by student councils are inclusive and create safer spaces. For instance, students attending such events are encouraged to look out for one another, remain observant, and assist anyone in need. The guidelines also emphasise the principle of consent, prohibit the use of illegal drugs, and introduce a specific code phrase that participants can use to seek help discreetly. At LMU, something similar exists. It was created by the “Health Relay students” who promote health services among students, and it consists of a safe party label. Its goals are to foster the decrease of risks in the party environment, to encourage student associations to join this movement, to propose training courses to associative members, to give more resources to associations for the organisation of students’ evenings, and to support these associations in terms of safety and prevention. </w:t>
      </w:r>
    </w:p>
    <w:p w14:paraId="6AC4DD92" w14:textId="77777777" w:rsidR="00300997" w:rsidRPr="00DA2128" w:rsidRDefault="00300997" w:rsidP="00A937C6">
      <w:pPr>
        <w:spacing w:line="240" w:lineRule="auto"/>
        <w:rPr>
          <w:sz w:val="22"/>
          <w:szCs w:val="22"/>
        </w:rPr>
      </w:pPr>
      <w:r w:rsidRPr="00DA2128">
        <w:rPr>
          <w:sz w:val="22"/>
          <w:szCs w:val="22"/>
        </w:rPr>
        <w:t xml:space="preserve">Finally, the fight against gender-based and sexual violence also includes LGBTQIA+ people, who are facing a lot of discrimination and abuse. UCLM and LMU created a protocol for the change of name of trans and intersex people at the University. It is downloadable from the university website. They also promote awareness and organise training and prevention of lesbophobic, homophobic, biphobic, transphobic, and interphobic behaviors. UNIFE gives them the possibility to use an alias identity with an elective name that reflects their gender identity. </w:t>
      </w:r>
    </w:p>
    <w:p w14:paraId="1D7516FD" w14:textId="77777777" w:rsidR="00300997" w:rsidRPr="00DA2128" w:rsidRDefault="00300997" w:rsidP="00A937C6">
      <w:pPr>
        <w:spacing w:line="240" w:lineRule="auto"/>
        <w:rPr>
          <w:sz w:val="22"/>
          <w:szCs w:val="22"/>
        </w:rPr>
      </w:pPr>
      <w:r w:rsidRPr="00DA2128">
        <w:rPr>
          <w:sz w:val="22"/>
          <w:szCs w:val="22"/>
        </w:rPr>
        <w:t>In summary, all the universities are addressing discrimination and harassment through clear policies and comprehensive support systems for victims. They emphasise the importance of accessible reporting procedures, thorough investigations, and a zero-tolerance approach to all forms of harassment. Support structures ensure that affected individuals receive the assistance they need while incidents are addressed appropriately. While there are some legal obligations to address harassment issues, the preventive efforts, on the other hand, focus on recommendations and guidelines. Some of them are raising awareness, promoting respectful interactions, and fostering a culture of consent and inclusion. Ultimately, the reports highlight that creating inclusivity and acceptance seems to be essential to preventing harassment and promoting safety and well-being within academia for both staff and students.</w:t>
      </w:r>
    </w:p>
    <w:p w14:paraId="2FFF9F95" w14:textId="77777777" w:rsidR="00300997" w:rsidRPr="00DA2128" w:rsidRDefault="00300997" w:rsidP="00A937C6">
      <w:pPr>
        <w:spacing w:line="240" w:lineRule="auto"/>
        <w:rPr>
          <w:sz w:val="22"/>
          <w:szCs w:val="22"/>
        </w:rPr>
      </w:pPr>
    </w:p>
    <w:p w14:paraId="7C99EF64" w14:textId="77777777" w:rsidR="00300997" w:rsidRPr="00DA2128" w:rsidRDefault="00300997" w:rsidP="00A937C6">
      <w:pPr>
        <w:pStyle w:val="Sub-subheading"/>
        <w:spacing w:line="240" w:lineRule="auto"/>
      </w:pPr>
      <w:r w:rsidRPr="00DA2128">
        <w:t>Gender dimension in research and education</w:t>
      </w:r>
    </w:p>
    <w:p w14:paraId="3881CE7B" w14:textId="77777777" w:rsidR="00300997" w:rsidRPr="00DA2128" w:rsidRDefault="00300997" w:rsidP="00A937C6">
      <w:pPr>
        <w:spacing w:line="240" w:lineRule="auto"/>
        <w:rPr>
          <w:sz w:val="22"/>
          <w:szCs w:val="22"/>
        </w:rPr>
      </w:pPr>
      <w:r w:rsidRPr="00DA2128">
        <w:rPr>
          <w:sz w:val="22"/>
          <w:szCs w:val="22"/>
        </w:rPr>
        <w:t>The focus on integrating a gender perspective in academia stems from the current overrepresentation of men in research and other leadership positions. Several of the universities' reports demonstrate a strong commitment to addressing this imbalance by incorporating gender perspectives into both research and education through various strategies and tools, as outlined in their policy documents and initiatives.</w:t>
      </w:r>
    </w:p>
    <w:p w14:paraId="66DB27F6" w14:textId="77777777" w:rsidR="00300997" w:rsidRPr="00DA2128" w:rsidRDefault="00300997" w:rsidP="00A937C6">
      <w:pPr>
        <w:spacing w:line="240" w:lineRule="auto"/>
        <w:rPr>
          <w:sz w:val="22"/>
          <w:szCs w:val="22"/>
        </w:rPr>
      </w:pPr>
      <w:r w:rsidRPr="00DA2128">
        <w:rPr>
          <w:sz w:val="22"/>
          <w:szCs w:val="22"/>
        </w:rPr>
        <w:t>LMU stands out as a model by offering an online master's program in gender studies accredited by several universities. They also provide a foundational course titled "Acting for Gender Equality on Campus" and host a seminar specifically addressing the representation of women in academia. Additionally, they have identified the gender pay gap as a critical issue and implemented measures in their gender equality plan, including promoting balanced gender representation in recruitment panels and integrating a gender perspective into traditionally male-dominated programs. VUAS, on the other hand, has developed a gender equality policy covering all operational areas, including research and education. They have also recognised the lack of inclusive study materials as a weakness and are actively working to address this issue. At JDU, a gender equality plan with clear goals has been implemented to support the development of women’s academic careers and ensure balanced gender representation in decision-making processes. The university has observed uneven gender representation across fields, with women underrepresented in leadership roles and men dominating senior academic positions. Gender studies were implemented as a free choice subject for students across the university. Organised Diversity Month to promote successful women and equality in science.</w:t>
      </w:r>
    </w:p>
    <w:p w14:paraId="0098FC10" w14:textId="77777777" w:rsidR="00300997" w:rsidRPr="00DA2128" w:rsidRDefault="00300997" w:rsidP="00A937C6">
      <w:pPr>
        <w:spacing w:line="240" w:lineRule="auto"/>
        <w:rPr>
          <w:sz w:val="22"/>
          <w:szCs w:val="22"/>
        </w:rPr>
      </w:pPr>
      <w:r w:rsidRPr="00DA2128">
        <w:rPr>
          <w:sz w:val="22"/>
          <w:szCs w:val="22"/>
        </w:rPr>
        <w:t>UCLM and HKR stand out by offering a dedicated course for staff focusing on gender and norm-critical perspectives in teaching, research, and management. UCLM has also developed basic and advanced courses on equality, diversity, and inclusion for students, alongside initiatives to promote gender equality in STEM careers by highlighting female role models in these fields, even though none of these training is mandatory.</w:t>
      </w:r>
    </w:p>
    <w:p w14:paraId="080A9050" w14:textId="77777777" w:rsidR="00300997" w:rsidRPr="00DA2128" w:rsidRDefault="00300997" w:rsidP="00A937C6">
      <w:pPr>
        <w:spacing w:line="240" w:lineRule="auto"/>
        <w:rPr>
          <w:sz w:val="22"/>
          <w:szCs w:val="22"/>
        </w:rPr>
      </w:pPr>
      <w:r w:rsidRPr="00DA2128">
        <w:rPr>
          <w:sz w:val="22"/>
          <w:szCs w:val="22"/>
        </w:rPr>
        <w:t>HKR has designed a plan for gender integration focusing on equitable education and academic career pathways. The university actively works to create a more balanced gender distribution across disciplines and challenges gender stereotypes in its marketing efforts. Also, UNIFE has implemented guidelines to promote gender equality and inclusion in scientific events.</w:t>
      </w:r>
    </w:p>
    <w:p w14:paraId="184EFDC5" w14:textId="77777777" w:rsidR="00300997" w:rsidRPr="00DA2128" w:rsidRDefault="00300997" w:rsidP="00A937C6">
      <w:pPr>
        <w:spacing w:line="240" w:lineRule="auto"/>
        <w:rPr>
          <w:sz w:val="22"/>
          <w:szCs w:val="22"/>
        </w:rPr>
      </w:pPr>
      <w:r w:rsidRPr="00DA2128">
        <w:rPr>
          <w:sz w:val="22"/>
          <w:szCs w:val="22"/>
        </w:rPr>
        <w:t>The report from UPB lifts the need to strengthen gender research. They have a “Centre for Gender Studies” that is working to expand its offerings in both research and education. The university has a Master's program in “Comparative Literature” with a focus on Interculturality, Intermediality, and Gender Studies and is planning to launch a new Master's program in "Culture and Society" with a specialization in "Gender Studies". In addition, gender research topics are integrated into seminars and lectures across various disciplines. The university also demonstrates its commitment to fostering the next generation of gender scholars by offering two-year doctoral scholarships in the field of gender research annually.</w:t>
      </w:r>
    </w:p>
    <w:p w14:paraId="296A3018" w14:textId="77777777" w:rsidR="00300997" w:rsidRPr="00DA2128" w:rsidRDefault="00300997" w:rsidP="00A937C6">
      <w:pPr>
        <w:spacing w:line="240" w:lineRule="auto"/>
        <w:rPr>
          <w:sz w:val="22"/>
          <w:szCs w:val="22"/>
        </w:rPr>
      </w:pPr>
      <w:r w:rsidRPr="00DA2128">
        <w:rPr>
          <w:sz w:val="22"/>
          <w:szCs w:val="22"/>
        </w:rPr>
        <w:t xml:space="preserve">In general, many of the universities from the COLOURS Alliance have taken significant steps to integrate gender perspectives into research and education. They have developed policy documents, guidelines, and concrete measures to promote gender equality and counteract stereotypes. Regarding to the reports, raising awareness and educating both students and staff about gender perspectives seems to be essential in moving closer to the balance in research and education that these initiatives aim to achieve. </w:t>
      </w:r>
    </w:p>
    <w:p w14:paraId="69C3C96B" w14:textId="77777777" w:rsidR="00300997" w:rsidRPr="00DA2128" w:rsidRDefault="00300997" w:rsidP="00A937C6">
      <w:pPr>
        <w:spacing w:line="240" w:lineRule="auto"/>
        <w:rPr>
          <w:sz w:val="22"/>
          <w:szCs w:val="22"/>
        </w:rPr>
      </w:pPr>
      <w:r w:rsidRPr="00DA2128">
        <w:rPr>
          <w:sz w:val="22"/>
          <w:szCs w:val="22"/>
        </w:rPr>
        <w:t>Health and well-being</w:t>
      </w:r>
    </w:p>
    <w:p w14:paraId="1712F503" w14:textId="77777777" w:rsidR="00300997" w:rsidRPr="00DA2128" w:rsidRDefault="00300997" w:rsidP="00A937C6">
      <w:pPr>
        <w:spacing w:line="240" w:lineRule="auto"/>
        <w:rPr>
          <w:sz w:val="22"/>
          <w:szCs w:val="22"/>
        </w:rPr>
      </w:pPr>
      <w:r w:rsidRPr="00DA2128">
        <w:rPr>
          <w:sz w:val="22"/>
          <w:szCs w:val="22"/>
        </w:rPr>
        <w:t xml:space="preserve">Health and well-being are identified as the second crucial aspect in the EDI reports from the COLOURS Alliance, consistently emphasized across all reports, even though described in different ways. The primary goal is to ensure that members of the university community can work </w:t>
      </w:r>
      <w:r w:rsidRPr="00DA2128">
        <w:rPr>
          <w:sz w:val="22"/>
          <w:szCs w:val="22"/>
        </w:rPr>
        <w:lastRenderedPageBreak/>
        <w:t>or study without their health and well-being becoming a barrier or being damaged. Existing policies and guidelines play a vital role in fostering inclusion and making these universities supportive and inclusive spaces.</w:t>
      </w:r>
    </w:p>
    <w:p w14:paraId="4D4E3BDF" w14:textId="77777777" w:rsidR="00300997" w:rsidRPr="00DA2128" w:rsidRDefault="00300997" w:rsidP="00A937C6">
      <w:pPr>
        <w:spacing w:line="240" w:lineRule="auto"/>
        <w:rPr>
          <w:sz w:val="22"/>
          <w:szCs w:val="22"/>
        </w:rPr>
      </w:pPr>
    </w:p>
    <w:p w14:paraId="4D5BB44D" w14:textId="77777777" w:rsidR="00300997" w:rsidRPr="00DA2128" w:rsidRDefault="00300997" w:rsidP="00A937C6">
      <w:pPr>
        <w:pStyle w:val="Sub-subheading"/>
        <w:spacing w:line="240" w:lineRule="auto"/>
      </w:pPr>
      <w:r w:rsidRPr="00DA2128">
        <w:t>Health Support Service for students and staff</w:t>
      </w:r>
    </w:p>
    <w:p w14:paraId="5220C317" w14:textId="77777777" w:rsidR="00300997" w:rsidRPr="00DA2128" w:rsidRDefault="00300997" w:rsidP="00A937C6">
      <w:pPr>
        <w:spacing w:line="240" w:lineRule="auto"/>
        <w:rPr>
          <w:sz w:val="22"/>
          <w:szCs w:val="22"/>
        </w:rPr>
      </w:pPr>
      <w:r w:rsidRPr="00DA2128">
        <w:rPr>
          <w:sz w:val="22"/>
          <w:szCs w:val="22"/>
        </w:rPr>
        <w:t>Many of the universities place a strong focus on the health and well-being of their students and staff, offering a variety of support services to promote a positive and thriving academic environment. However, some institutions also acknowledge challenges in meeting the demand for mental health support and highlight the need for additional resources and preventative measures.</w:t>
      </w:r>
    </w:p>
    <w:p w14:paraId="4DE93062" w14:textId="77777777" w:rsidR="00300997" w:rsidRPr="00DA2128" w:rsidRDefault="00300997" w:rsidP="00A937C6">
      <w:pPr>
        <w:spacing w:line="240" w:lineRule="auto"/>
        <w:rPr>
          <w:sz w:val="22"/>
          <w:szCs w:val="22"/>
        </w:rPr>
      </w:pPr>
      <w:r w:rsidRPr="00DA2128">
        <w:rPr>
          <w:sz w:val="22"/>
          <w:szCs w:val="22"/>
        </w:rPr>
        <w:t>Psychological counselling services for students are widely available across universities. LMU and UNIOS integrate psychologists, psychiatrists, and social workers into their health services, while JDU has a dedicated “Support centre” staffed with professionals, including psychologists and also an “Office for Persons with Disabilities” and in each department a student accessibility coordinator. UCLM provides psychological support through its “Support Service for Students with Disabilities”, and UNIOS runs a “Psychological Counselling Centre for Students” managed by professors from the Department of Psychology.</w:t>
      </w:r>
    </w:p>
    <w:p w14:paraId="05F1F014" w14:textId="77777777" w:rsidR="00300997" w:rsidRPr="00DA2128" w:rsidRDefault="00300997" w:rsidP="00A937C6">
      <w:pPr>
        <w:spacing w:line="240" w:lineRule="auto"/>
        <w:rPr>
          <w:sz w:val="22"/>
          <w:szCs w:val="22"/>
        </w:rPr>
      </w:pPr>
      <w:r w:rsidRPr="00DA2128">
        <w:rPr>
          <w:sz w:val="22"/>
          <w:szCs w:val="22"/>
        </w:rPr>
        <w:t xml:space="preserve">Meanwhile, VUAS identifies a lack of adequate support for mental health and burnout prevention, suggesting the recruitment of a dedicated on-site psychologist or specialist to address this gap. VUAS recognise that the limited availability of specialists poses a significant obstacle since the state-funded healthcare system is not optimal. HKR has a similar system of a healthcare centre for students and health support for staff, even though these services are more of an information hub, as it refers to further investigation and treatment within the public healthcare system. </w:t>
      </w:r>
    </w:p>
    <w:p w14:paraId="2D93E5E4" w14:textId="77777777" w:rsidR="00300997" w:rsidRPr="00DA2128" w:rsidRDefault="00300997" w:rsidP="00A937C6">
      <w:pPr>
        <w:spacing w:line="240" w:lineRule="auto"/>
        <w:rPr>
          <w:sz w:val="22"/>
          <w:szCs w:val="22"/>
        </w:rPr>
      </w:pPr>
      <w:r w:rsidRPr="00DA2128">
        <w:rPr>
          <w:sz w:val="22"/>
          <w:szCs w:val="22"/>
        </w:rPr>
        <w:t>To maintain a healthy environment, UPB fosters a family-friendly work environment. The strategy is to offer flexible working hours, childcare options, and support for parents. UNIFE demonstrates its commitment to staff well-being through the "UNIFE INCLUSIVA" section on its website, which provides comprehensive information about support services and initiatives for both staff and students. UNIFE also reported offering physical, mental, and social well-being in the form of an inclusion space for staff members who do not feel good in the workplace and psychological support for students who are facing a period of psychological difficulty. At LMU, a prevention officer is also part of the health support service. It works with health relay students (employed by the university) to promote the service and set up preventive actions, such as the safe party label, for example.</w:t>
      </w:r>
    </w:p>
    <w:p w14:paraId="1DE71F44" w14:textId="77777777" w:rsidR="00300997" w:rsidRPr="00DA2128" w:rsidRDefault="00300997" w:rsidP="00A937C6">
      <w:pPr>
        <w:spacing w:line="240" w:lineRule="auto"/>
        <w:rPr>
          <w:sz w:val="22"/>
          <w:szCs w:val="22"/>
        </w:rPr>
      </w:pPr>
      <w:r w:rsidRPr="00DA2128">
        <w:rPr>
          <w:sz w:val="22"/>
          <w:szCs w:val="22"/>
        </w:rPr>
        <w:t xml:space="preserve">A recurring challenge pointed out by several universities is the lack of resources to adequately address the growing demand for health and well-being support as well as the decreased ability to provide proactive actions. Universities recognize the need for a greater emphasis on preventative measures to foster a healthy and sustainable work environment for both students and staff. </w:t>
      </w:r>
    </w:p>
    <w:p w14:paraId="46A73976" w14:textId="77777777" w:rsidR="00300997" w:rsidRPr="00DA2128" w:rsidRDefault="00300997" w:rsidP="00A937C6">
      <w:pPr>
        <w:spacing w:line="240" w:lineRule="auto"/>
        <w:rPr>
          <w:sz w:val="22"/>
          <w:szCs w:val="22"/>
        </w:rPr>
      </w:pPr>
      <w:r w:rsidRPr="00DA2128">
        <w:rPr>
          <w:sz w:val="22"/>
          <w:szCs w:val="22"/>
        </w:rPr>
        <w:t>All the universities' reports highlight their efforts to create an inclusive environment for students and staff with disabilities. These services vary in scope and focus, but all aim to ensure equitable access to education and employment. At LMU, a dedicated disability office works closely with the health support service to establish specific accommodations for students with disabilities. The university offers a special contact person for staff members with disabilities, ensuring their needs are addressed. Additionally, LMU as well as HKR, employ students on a contractual basis to assist their peers with disabilities through various tasks, such as sharing lecture notes or transcribing answers during exams.</w:t>
      </w:r>
    </w:p>
    <w:p w14:paraId="185441D4" w14:textId="77777777" w:rsidR="00300997" w:rsidRPr="00DA2128" w:rsidRDefault="00300997" w:rsidP="00A937C6">
      <w:pPr>
        <w:spacing w:line="240" w:lineRule="auto"/>
        <w:rPr>
          <w:sz w:val="22"/>
          <w:szCs w:val="22"/>
        </w:rPr>
      </w:pPr>
      <w:r w:rsidRPr="00DA2128">
        <w:rPr>
          <w:sz w:val="22"/>
          <w:szCs w:val="22"/>
        </w:rPr>
        <w:t xml:space="preserve">UCLM provides comprehensive support through its service for students with disabilities and its Specific Educational Support Needs (SAED) service. These services offer personalised assistance to any member of the university community affected by a disability or chronic illness that impacts their studies or work. The support includes information dissemination, hiring sign </w:t>
      </w:r>
      <w:r w:rsidRPr="00DA2128">
        <w:rPr>
          <w:sz w:val="22"/>
          <w:szCs w:val="22"/>
        </w:rPr>
        <w:lastRenderedPageBreak/>
        <w:t>language interpreters, arranging adapted transport, and more. Furthermore, UCLM organizes training programs for university staff, including teaching and administrative personnel, to better equip them to support individuals with disabilities. At JDU’s disability office is staffed by specialists in various fields, including educational counselling, educational assistance, assistive technology, digital accessibility, and psychological support. Both JDU and UKLO provide financial aid and specialised equipment to support individuals with disabilities. These services are tailored to meet the diverse needs of the university’s community members.</w:t>
      </w:r>
    </w:p>
    <w:p w14:paraId="736E334F" w14:textId="77777777" w:rsidR="00300997" w:rsidRPr="00DA2128" w:rsidRDefault="00300997" w:rsidP="00A937C6">
      <w:pPr>
        <w:spacing w:line="240" w:lineRule="auto"/>
        <w:rPr>
          <w:sz w:val="22"/>
          <w:szCs w:val="22"/>
        </w:rPr>
      </w:pPr>
      <w:r w:rsidRPr="00DA2128">
        <w:rPr>
          <w:sz w:val="22"/>
          <w:szCs w:val="22"/>
        </w:rPr>
        <w:t>UNIFE offers a comprehensive service charter for its community members with disabilities. Key services include assistance with university facilities, the provision of technological aids (either on loan or through grants), the digitalization of textbooks, access to sign language interpreters, and ensuring the university website is fully accessible. These measures are aimed at fostering inclusivity across the institution. UNIOS has implemented an accessibility policy and operates an office specifically for students with disabilities. This office coordinates reasonable accommodations and provides support services to address the needs of students requiring assistance. The goal is to ensure equitable participation in academic activities for all students.</w:t>
      </w:r>
    </w:p>
    <w:p w14:paraId="65B360F9" w14:textId="77777777" w:rsidR="00300997" w:rsidRPr="00DA2128" w:rsidRDefault="00300997" w:rsidP="00A937C6">
      <w:pPr>
        <w:spacing w:line="240" w:lineRule="auto"/>
        <w:rPr>
          <w:sz w:val="22"/>
          <w:szCs w:val="22"/>
        </w:rPr>
      </w:pPr>
      <w:r w:rsidRPr="00DA2128">
        <w:rPr>
          <w:sz w:val="22"/>
          <w:szCs w:val="22"/>
        </w:rPr>
        <w:t>The universities discussed above are committed to supporting individuals with disabilities through various targeted programs and services. By addressing specific needs—ranging from assistive technology and financial support to staff training and accessibility policies—these institutions strive to create an inclusive and supportive environment. While the scope and implementation of these services vary, their collective efforts underscore the importance of accessibility in higher education.</w:t>
      </w:r>
    </w:p>
    <w:p w14:paraId="2D9C134A" w14:textId="77777777" w:rsidR="00300997" w:rsidRPr="00DA2128" w:rsidRDefault="00300997" w:rsidP="00A937C6">
      <w:pPr>
        <w:spacing w:line="240" w:lineRule="auto"/>
        <w:rPr>
          <w:sz w:val="22"/>
          <w:szCs w:val="22"/>
        </w:rPr>
      </w:pPr>
    </w:p>
    <w:p w14:paraId="579CC7C3" w14:textId="77777777" w:rsidR="00300997" w:rsidRPr="00DA2128" w:rsidRDefault="00300997" w:rsidP="00A937C6">
      <w:pPr>
        <w:pStyle w:val="Sub-subheading"/>
        <w:spacing w:line="240" w:lineRule="auto"/>
      </w:pPr>
      <w:r w:rsidRPr="00DA2128">
        <w:t>Facilities for Disabled</w:t>
      </w:r>
    </w:p>
    <w:p w14:paraId="34A8616D" w14:textId="77777777" w:rsidR="00300997" w:rsidRPr="00DA2128" w:rsidRDefault="00300997" w:rsidP="00A937C6">
      <w:pPr>
        <w:spacing w:line="240" w:lineRule="auto"/>
        <w:rPr>
          <w:sz w:val="22"/>
          <w:szCs w:val="22"/>
        </w:rPr>
      </w:pPr>
      <w:r w:rsidRPr="00DA2128">
        <w:rPr>
          <w:sz w:val="22"/>
          <w:szCs w:val="22"/>
        </w:rPr>
        <w:t>The COLOURS universities have all reported ongoing work of providing facilities for staff and students with disability. Most of the universities made significant actions in creating accessible environments for people with mobility impairments. At VUAS, the infrastructure is designed to be particularly friendly for individuals with reduced mobility and wheelchair users. Detailed information about the accessibility of the university's facilities is available on their website. Similarly, UNIFE has ensured that its university facilities are visible and adapted for people with disabilities. To aid navigation, UNIFE has created a comprehensive map for each facility, providing essential details such as accessibility levels, entrance locations, restrooms, and designated parking spots.</w:t>
      </w:r>
    </w:p>
    <w:p w14:paraId="3AAE676B" w14:textId="77777777" w:rsidR="00300997" w:rsidRPr="00DA2128" w:rsidRDefault="00300997" w:rsidP="00A937C6">
      <w:pPr>
        <w:spacing w:line="240" w:lineRule="auto"/>
        <w:rPr>
          <w:sz w:val="22"/>
          <w:szCs w:val="22"/>
        </w:rPr>
      </w:pPr>
      <w:r w:rsidRPr="00DA2128">
        <w:rPr>
          <w:sz w:val="22"/>
          <w:szCs w:val="22"/>
        </w:rPr>
        <w:t>Some universities, like JDU, are still in the process of addressing architectural barriers. JDU provides full digital communication and information accessibility. Students take Universal Design classes as a compulsory part of their programme of study.</w:t>
      </w:r>
    </w:p>
    <w:p w14:paraId="4FC23F06" w14:textId="77777777" w:rsidR="00300997" w:rsidRPr="00DA2128" w:rsidRDefault="00300997" w:rsidP="00A937C6">
      <w:pPr>
        <w:spacing w:line="240" w:lineRule="auto"/>
        <w:rPr>
          <w:sz w:val="22"/>
          <w:szCs w:val="22"/>
        </w:rPr>
      </w:pPr>
      <w:r w:rsidRPr="00DA2128">
        <w:rPr>
          <w:sz w:val="22"/>
          <w:szCs w:val="22"/>
        </w:rPr>
        <w:t>While many COLOURS universities have made significant improvements for mobility-impaired individuals, the provision of facilities for students with visual or hearing impairments is less developed. For example, while UCLM and VUAS claim to have specialised facilities for blind or deaf students, other universities have not explicitly mentioned this. VUAS acknowledges its shortcomings in this area, stating the need to rethink the accessibility of rooms, building blocks, and indoor mobility for individuals with visual and hearing impairments. To address these gaps, VUAS plans to equip classrooms with large screens, projectors, and improved lighting to better accommodate students with sensory impairments.</w:t>
      </w:r>
    </w:p>
    <w:p w14:paraId="69F8AA22" w14:textId="77777777" w:rsidR="00300997" w:rsidRPr="00DA2128" w:rsidRDefault="00300997" w:rsidP="00A937C6">
      <w:pPr>
        <w:spacing w:line="240" w:lineRule="auto"/>
        <w:rPr>
          <w:sz w:val="22"/>
          <w:szCs w:val="22"/>
        </w:rPr>
      </w:pPr>
      <w:r w:rsidRPr="00DA2128">
        <w:rPr>
          <w:sz w:val="22"/>
          <w:szCs w:val="22"/>
        </w:rPr>
        <w:t xml:space="preserve">Across the COLOURS universities, policies related to health and well-being, particularly those concerning psychological health and physical disabilities, are being actively developed. However, there is still room for improvement, especially in terms of addressing the needs of individuals with physiological disabilities. Notably, UCLM stands out within the network by offering a lifelong learning course specifically aimed at students with intellectual disabilities. This two-year program is designed to provide students with essential skills for both public and private sectors while also </w:t>
      </w:r>
      <w:r w:rsidRPr="00DA2128">
        <w:rPr>
          <w:sz w:val="22"/>
          <w:szCs w:val="22"/>
        </w:rPr>
        <w:lastRenderedPageBreak/>
        <w:t>creating a bridge between academic training and the labour market. UCLM is currently the only COLOURS university to offer such a program for individuals with intellectual disabilities.</w:t>
      </w:r>
    </w:p>
    <w:p w14:paraId="03A3DC35" w14:textId="77777777" w:rsidR="00300997" w:rsidRPr="00DA2128" w:rsidRDefault="00300997" w:rsidP="00A937C6">
      <w:pPr>
        <w:spacing w:line="240" w:lineRule="auto"/>
        <w:rPr>
          <w:sz w:val="22"/>
          <w:szCs w:val="22"/>
        </w:rPr>
      </w:pPr>
      <w:r w:rsidRPr="00DA2128">
        <w:rPr>
          <w:sz w:val="22"/>
          <w:szCs w:val="22"/>
        </w:rPr>
        <w:t>In conclusion, the COLOURS universities have made considerable progress in improving support systems and services for students with disabilities, particularly in terms of mobility and health-related needs. However, there are still areas that require attention, especially for individuals with sensory impairments and intellectual disabilities, to ensure everybody's health and well-being in the academic community.</w:t>
      </w:r>
    </w:p>
    <w:p w14:paraId="5D252F17" w14:textId="77777777" w:rsidR="00300997" w:rsidRPr="00DA2128" w:rsidRDefault="00300997" w:rsidP="00A937C6">
      <w:pPr>
        <w:spacing w:line="240" w:lineRule="auto"/>
        <w:rPr>
          <w:sz w:val="22"/>
          <w:szCs w:val="22"/>
        </w:rPr>
      </w:pPr>
    </w:p>
    <w:p w14:paraId="4043886A" w14:textId="77777777" w:rsidR="00300997" w:rsidRPr="00DA2128" w:rsidRDefault="00300997" w:rsidP="00A937C6">
      <w:pPr>
        <w:pStyle w:val="Sub-subheading"/>
        <w:spacing w:line="240" w:lineRule="auto"/>
      </w:pPr>
      <w:r w:rsidRPr="00DA2128">
        <w:t xml:space="preserve">Financial and Material Support </w:t>
      </w:r>
    </w:p>
    <w:p w14:paraId="79D515F5" w14:textId="77777777" w:rsidR="00300997" w:rsidRPr="00DA2128" w:rsidRDefault="00300997" w:rsidP="00A937C6">
      <w:pPr>
        <w:spacing w:line="240" w:lineRule="auto"/>
        <w:rPr>
          <w:sz w:val="22"/>
          <w:szCs w:val="22"/>
        </w:rPr>
      </w:pPr>
      <w:r w:rsidRPr="00DA2128">
        <w:rPr>
          <w:sz w:val="22"/>
          <w:szCs w:val="22"/>
        </w:rPr>
        <w:t xml:space="preserve">The COLOURS universities have multiple programs and services to help their staff and students who need them. Several universities offer financial assistance and welfare services to students facing economic hardships to ensure inclusion and the possibility for everyone to access higher education regardless of socioeconomic situation. </w:t>
      </w:r>
    </w:p>
    <w:p w14:paraId="7EB854D5" w14:textId="77777777" w:rsidR="00300997" w:rsidRPr="00DA2128" w:rsidRDefault="00300997" w:rsidP="00A937C6">
      <w:pPr>
        <w:spacing w:line="240" w:lineRule="auto"/>
        <w:rPr>
          <w:sz w:val="22"/>
          <w:szCs w:val="22"/>
        </w:rPr>
      </w:pPr>
      <w:r w:rsidRPr="00DA2128">
        <w:rPr>
          <w:sz w:val="22"/>
          <w:szCs w:val="22"/>
        </w:rPr>
        <w:t xml:space="preserve">For example, UCLM has a social support program that is an aid for students in special situations, including students with disabilities. They also propose grants to initiate university studies for students with disabilities who can be in economic precariousness due to that specificity. UNIFE also offers socio-economic support for students who need it, accommodations, and scholarships. LMU has welfare services with two social workers to accompany students who are in precarious situations and need help to know what aid they can get. In addition to direct financial aid, UNIFE and LMU offer discounted cultural, sports, and recreational activities for students and staff. LMU also runs a social grocery service providing free vegetables and discounted meat for students in need, along with a second-hand shop for reduced-price items. </w:t>
      </w:r>
    </w:p>
    <w:p w14:paraId="68DE132A" w14:textId="77777777" w:rsidR="00300997" w:rsidRPr="00DA2128" w:rsidRDefault="00300997" w:rsidP="00A937C6">
      <w:pPr>
        <w:spacing w:line="240" w:lineRule="auto"/>
        <w:rPr>
          <w:sz w:val="22"/>
          <w:szCs w:val="22"/>
        </w:rPr>
      </w:pPr>
    </w:p>
    <w:p w14:paraId="009B60E6" w14:textId="77777777" w:rsidR="00300997" w:rsidRPr="00DA2128" w:rsidRDefault="00300997" w:rsidP="00A937C6">
      <w:pPr>
        <w:pStyle w:val="Sub-subheading"/>
        <w:spacing w:line="240" w:lineRule="auto"/>
      </w:pPr>
      <w:r w:rsidRPr="00DA2128">
        <w:t>Support for Migrants and International Students</w:t>
      </w:r>
    </w:p>
    <w:p w14:paraId="63E11239" w14:textId="77777777" w:rsidR="00300997" w:rsidRPr="00DA2128" w:rsidRDefault="00300997" w:rsidP="00A937C6">
      <w:pPr>
        <w:spacing w:line="240" w:lineRule="auto"/>
        <w:rPr>
          <w:sz w:val="22"/>
          <w:szCs w:val="22"/>
        </w:rPr>
      </w:pPr>
      <w:r w:rsidRPr="00DA2128">
        <w:rPr>
          <w:sz w:val="22"/>
          <w:szCs w:val="22"/>
        </w:rPr>
        <w:t xml:space="preserve">Some COLOURS universities also have dedicated programs for migrants and international students. JDU and LMU provide a Welcome Centre to assist foreign students with accommodation, medical care, and legal matters. LMU also has a Migrant Student Officer who coordinates support for refugee and migrant students, including French language courses for integration. UPB focuses on reducing language barriers for international students by promoting bilingualism and offering introductory courses. HKR, on the other hand, doesn’t provide dedicated support for migrants since there is a welfare system with dedicated institutions to take care of different parts of welcoming a foreigner into Sweden. However, there is a Welcome Office for international students and those who choose to change their campus to HKR that provides all the administrative and cultural support needed. </w:t>
      </w:r>
    </w:p>
    <w:p w14:paraId="4C84F72A" w14:textId="77777777" w:rsidR="00300997" w:rsidRPr="00DA2128" w:rsidRDefault="00300997" w:rsidP="00A937C6">
      <w:pPr>
        <w:spacing w:line="240" w:lineRule="auto"/>
        <w:rPr>
          <w:sz w:val="22"/>
          <w:szCs w:val="22"/>
        </w:rPr>
      </w:pPr>
    </w:p>
    <w:p w14:paraId="240ADF20" w14:textId="77777777" w:rsidR="00300997" w:rsidRPr="00DA2128" w:rsidRDefault="00300997" w:rsidP="00A937C6">
      <w:pPr>
        <w:pStyle w:val="Sub-subheading"/>
        <w:spacing w:line="240" w:lineRule="auto"/>
      </w:pPr>
      <w:r w:rsidRPr="00DA2128">
        <w:t>Conclusion</w:t>
      </w:r>
    </w:p>
    <w:p w14:paraId="501E926F" w14:textId="77777777" w:rsidR="00300997" w:rsidRPr="00DA2128" w:rsidRDefault="00300997" w:rsidP="00A937C6">
      <w:pPr>
        <w:spacing w:line="240" w:lineRule="auto"/>
        <w:rPr>
          <w:sz w:val="22"/>
          <w:szCs w:val="22"/>
        </w:rPr>
      </w:pPr>
      <w:r w:rsidRPr="00DA2128">
        <w:rPr>
          <w:sz w:val="22"/>
          <w:szCs w:val="22"/>
        </w:rPr>
        <w:t xml:space="preserve">All the universities in the COLOURS Alliance are dedicated to creating equal and diverse academic environments. Regarding the nine EDI reports, the universities are primarily working towards their goal by adopting policies and guidelines that promote gender equality, equal rights, and diversity. All the universities recognise that fostering an environment where differences are respected is crucial for students' and staff's well-being and development, which aligns with European values and guidelines. European Higher Education Area (EHEA) has declared that EDI is a critical strategic focus for improving the higher education sector, influencing institutional culture, research, and teaching, as well as shaping policies that impact both professional and personal spheres (European Commission/EACEA/Eurydice, 2022; European Higher Education Area, 2020). </w:t>
      </w:r>
    </w:p>
    <w:p w14:paraId="3FE494ED" w14:textId="77777777" w:rsidR="00300997" w:rsidRPr="00DA2128" w:rsidRDefault="00300997" w:rsidP="00A937C6">
      <w:pPr>
        <w:spacing w:line="240" w:lineRule="auto"/>
        <w:rPr>
          <w:sz w:val="22"/>
          <w:szCs w:val="22"/>
        </w:rPr>
      </w:pPr>
      <w:r w:rsidRPr="00DA2128">
        <w:rPr>
          <w:sz w:val="22"/>
          <w:szCs w:val="22"/>
        </w:rPr>
        <w:lastRenderedPageBreak/>
        <w:t>The universities in COLOURS Alliance have made significant strides in promoting EDI, with initiatives such as gender equality policies, disability support, and socio-economic assistance focusing on underrepresented groups. However, according to research about inclusive academic environments, EDI is not solely about addressing underrepresentation in specific groups but about fostering a wider view of inclusion where all individuals are encouraged to be their unique selves and feel included, supported, valued, and accepted (Siri, Cinzia &amp; Bencivenga 2022; Waite et al., 2024, s. 101809).</w:t>
      </w:r>
    </w:p>
    <w:p w14:paraId="3F321174" w14:textId="77777777" w:rsidR="00300997" w:rsidRPr="00DA2128" w:rsidRDefault="00300997" w:rsidP="00A937C6">
      <w:pPr>
        <w:spacing w:line="240" w:lineRule="auto"/>
        <w:rPr>
          <w:sz w:val="22"/>
          <w:szCs w:val="22"/>
        </w:rPr>
      </w:pPr>
      <w:r w:rsidRPr="00DA2128">
        <w:rPr>
          <w:sz w:val="22"/>
          <w:szCs w:val="22"/>
        </w:rPr>
        <w:t xml:space="preserve">Although progress has been made in areas such as guidelines in recruitment processes, visibility of women in research fields, and increasing access for marginalised groups, there is still potential for the development of EDI in the Alliance. In the reports, universities acknowledge the need for more proactive actions when creating an inclusive campus culture. A conclusion could be that, along with the policies and charters, resources should additionally aim to embrace all dimensions of diversity and inclusion, systematically ensuring that every individual feels the EDI-related actions are needed, that they benefit all, and most importantly, that everybody is part of the solution. </w:t>
      </w:r>
    </w:p>
    <w:p w14:paraId="7ED4624F" w14:textId="77777777" w:rsidR="00300997" w:rsidRPr="00DA2128" w:rsidRDefault="00300997" w:rsidP="00A937C6">
      <w:pPr>
        <w:spacing w:line="240" w:lineRule="auto"/>
        <w:rPr>
          <w:sz w:val="22"/>
          <w:szCs w:val="22"/>
        </w:rPr>
      </w:pPr>
      <w:r w:rsidRPr="00DA2128">
        <w:rPr>
          <w:sz w:val="22"/>
          <w:szCs w:val="22"/>
        </w:rPr>
        <w:t xml:space="preserve">A key component of this vision is the integration of an intersectional perspective (Siri et al., 2022), which considers how various aspects of identity, such as gender, age, body size, ethnicity, disability, sexual orientation, etc. interact and influence individuals' experiences. By increasing awareness of intersectionality, universities can foster a deeper understanding of how diverse identities contribute to the richness of the academic and social environment, as well as realise that intersectionality affects all members of the university community and not only marginalised groups. As most individuals at university are navigating the transition into adulthood and exploring their identities, they are more susceptible to influence from academic and social challenges as well as demands and norms (Montgomery &amp; Cˆot´e, 2003), which makes the student population an important target group. </w:t>
      </w:r>
    </w:p>
    <w:p w14:paraId="34CC625E" w14:textId="77777777" w:rsidR="00300997" w:rsidRPr="00DA2128" w:rsidRDefault="00300997" w:rsidP="00A937C6">
      <w:pPr>
        <w:spacing w:line="240" w:lineRule="auto"/>
        <w:rPr>
          <w:sz w:val="22"/>
          <w:szCs w:val="22"/>
        </w:rPr>
      </w:pPr>
      <w:r w:rsidRPr="00DA2128">
        <w:rPr>
          <w:sz w:val="22"/>
          <w:szCs w:val="22"/>
        </w:rPr>
        <w:t>According to the European Commission's guidelines on implementing the Social Dimension, European Universities Alliances are seen as a role model in creating an inclusive environment in higher education that fosters equity and diversity, and is responsive to the needs of local communities (European Commission/EACEA/Eurydice). (2020). Furthermore, the student-centred approach, along with the provision of lifelong learning and the utilisation of digital technologies to enhance the quality of education, serves as a clear strategy for fostering a resilient society. (ibid).</w:t>
      </w:r>
    </w:p>
    <w:p w14:paraId="1FE678C2" w14:textId="77777777" w:rsidR="00300997" w:rsidRPr="00DA2128" w:rsidRDefault="00300997" w:rsidP="00A937C6">
      <w:pPr>
        <w:spacing w:line="240" w:lineRule="auto"/>
        <w:rPr>
          <w:sz w:val="22"/>
          <w:szCs w:val="22"/>
        </w:rPr>
      </w:pPr>
      <w:r w:rsidRPr="00DA2128">
        <w:rPr>
          <w:sz w:val="22"/>
          <w:szCs w:val="22"/>
        </w:rPr>
        <w:t>University students are especially vulnerable to appearance-related social pressures (Grossbard et al., 2009; Yager &amp; O’Dea, 2008) and as university students will often be future leaders with the potential to impact society (Thomas, 2014), identifying and addressing issues relating to wider EDI perspectives is highly beneficial in creating an inclusive and healthy environment for all. Focusing on improving the health and wellbeing of students, not only benefits those enrolled but can have a positive impact on wider society in the long term.</w:t>
      </w:r>
    </w:p>
    <w:p w14:paraId="67B35E53" w14:textId="77777777" w:rsidR="00300997" w:rsidRPr="00DA2128" w:rsidRDefault="00300997" w:rsidP="00A937C6">
      <w:pPr>
        <w:spacing w:line="240" w:lineRule="auto"/>
        <w:rPr>
          <w:sz w:val="22"/>
          <w:szCs w:val="22"/>
        </w:rPr>
      </w:pPr>
      <w:r w:rsidRPr="00DA2128">
        <w:rPr>
          <w:sz w:val="22"/>
          <w:szCs w:val="22"/>
        </w:rPr>
        <w:t xml:space="preserve">In addition to promoting diversity and inclusion, universities must continue to prioritise creating an inclusive environment not only for students but also for the staff. The League of European Research Universities (LERU) have identified a few gaps in the EDI approach that need to be closed (Siri et al., 2022). One of them is that the focus of many efforts has been either on staff issues or on student issues rather than on addressing the needs of the university community as a whole (ibid). </w:t>
      </w:r>
    </w:p>
    <w:p w14:paraId="67368AAA" w14:textId="77777777" w:rsidR="00300997" w:rsidRPr="00DA2128" w:rsidRDefault="00300997" w:rsidP="00A937C6">
      <w:pPr>
        <w:spacing w:line="240" w:lineRule="auto"/>
        <w:rPr>
          <w:sz w:val="22"/>
          <w:szCs w:val="22"/>
        </w:rPr>
      </w:pPr>
      <w:r w:rsidRPr="00DA2128">
        <w:rPr>
          <w:sz w:val="22"/>
          <w:szCs w:val="22"/>
        </w:rPr>
        <w:t xml:space="preserve">Therefore, the first step in the EDI improvement process should be an accessible, easy-to-understand, and target-oriented training program about what EDI principles are and how applying them impacts the environment for both students and staff. Furthermore, the intersectional perspective needs to be considered to increase understanding of the interplay between various individual aspects and their effects. Greater awareness of how intersectionality affects both individuals and groups can enrich the university environment by creating a space where different backgrounds, experiences, and perspectives can meet and exchange ideas. This </w:t>
      </w:r>
      <w:r w:rsidRPr="00DA2128">
        <w:rPr>
          <w:sz w:val="22"/>
          <w:szCs w:val="22"/>
        </w:rPr>
        <w:lastRenderedPageBreak/>
        <w:t>approach impacts representation and inclusion in decision-making. It is crucial for promoting EDI and addressing homogeneity within leadership, which also has been highlighted as an equality challenge within the Alliance.</w:t>
      </w:r>
    </w:p>
    <w:p w14:paraId="327286E8" w14:textId="77777777" w:rsidR="00300997" w:rsidRPr="00DA2128" w:rsidRDefault="00300997" w:rsidP="00A937C6">
      <w:pPr>
        <w:spacing w:line="240" w:lineRule="auto"/>
        <w:rPr>
          <w:sz w:val="22"/>
          <w:szCs w:val="22"/>
        </w:rPr>
      </w:pPr>
      <w:r w:rsidRPr="00DA2128">
        <w:rPr>
          <w:sz w:val="22"/>
          <w:szCs w:val="22"/>
        </w:rPr>
        <w:t>Another important aspect of implementing EDI principles via a training program is clarifying how an inclusive environment concerns everyone in the context. While diversity brings people from various backgrounds together, equity ensures that everyone has fair access to opportunities, and inclusion ensures that everyone feels valued and heard. This broadens the academic world's understanding of society and fosters empathy, critical thinking, and problem-solving skills. By educating the students and staff about EDI principles and their effects for all, an environment is created where well-being, development, and innovation can truly thrive.</w:t>
      </w:r>
    </w:p>
    <w:p w14:paraId="6EAE4261" w14:textId="77777777" w:rsidR="00300997" w:rsidRPr="00DA2128" w:rsidRDefault="00300997" w:rsidP="00A937C6">
      <w:pPr>
        <w:spacing w:line="240" w:lineRule="auto"/>
        <w:rPr>
          <w:sz w:val="22"/>
          <w:szCs w:val="22"/>
        </w:rPr>
      </w:pPr>
      <w:r w:rsidRPr="00DA2128">
        <w:rPr>
          <w:sz w:val="22"/>
          <w:szCs w:val="22"/>
        </w:rPr>
        <w:t>In conclusion, the COLOURS universities are dedicated to cultivating an environment where diversity is celebrated and inclusivity is woven into the core values of both academic and social life. By reframing the narrative surrounding EDI initiatives, the COLOURS Alliance has the opportunity to take a bold and innovative step toward genuine inclusivity. This involves shifting from the traditional view that EDI is solely relevant to underrepresented groups to recognising that equity, diversity, and inclusion are embracing a universal benefit. Embracing this perspective enriches individual experiences and also strengthens the entire academic community, fostering a culture where everyone can thrive. When equity, diversity, and inclusion are understood as essential for all, they become powerful drivers of innovation, collaboration, and shared success across the academic landscape.</w:t>
      </w:r>
    </w:p>
    <w:p w14:paraId="2E3563BF" w14:textId="77777777" w:rsidR="00300997" w:rsidRPr="00DA2128" w:rsidRDefault="00300997" w:rsidP="00A937C6">
      <w:pPr>
        <w:spacing w:line="240" w:lineRule="auto"/>
        <w:rPr>
          <w:sz w:val="22"/>
          <w:szCs w:val="22"/>
        </w:rPr>
      </w:pPr>
    </w:p>
    <w:p w14:paraId="51406E6D" w14:textId="77777777" w:rsidR="00300997" w:rsidRPr="00DA2128" w:rsidRDefault="00300997" w:rsidP="00A937C6">
      <w:pPr>
        <w:pStyle w:val="Sub-subheading"/>
        <w:spacing w:line="240" w:lineRule="auto"/>
        <w:rPr>
          <w:b/>
          <w:bCs/>
        </w:rPr>
      </w:pPr>
      <w:r w:rsidRPr="00DA2128">
        <w:rPr>
          <w:b/>
          <w:bCs/>
        </w:rPr>
        <w:t xml:space="preserve">References </w:t>
      </w:r>
    </w:p>
    <w:p w14:paraId="2FD935D9" w14:textId="77777777" w:rsidR="00300997" w:rsidRPr="00DA2128" w:rsidRDefault="00300997" w:rsidP="00A937C6">
      <w:pPr>
        <w:spacing w:line="240" w:lineRule="auto"/>
        <w:rPr>
          <w:sz w:val="22"/>
          <w:szCs w:val="22"/>
        </w:rPr>
      </w:pPr>
      <w:r w:rsidRPr="00DA2128">
        <w:rPr>
          <w:sz w:val="22"/>
          <w:szCs w:val="22"/>
        </w:rPr>
        <w:t xml:space="preserve">European Commission/EACEA/Eurydice. (2022). Towards equity and inclusion in higher education in Europe: Eurydice report. Luxemburg: Publications Office of the European Union. </w:t>
      </w:r>
    </w:p>
    <w:p w14:paraId="3AF38F0A" w14:textId="77777777" w:rsidR="00300997" w:rsidRPr="00DA2128" w:rsidRDefault="00300997" w:rsidP="00A937C6">
      <w:pPr>
        <w:spacing w:line="240" w:lineRule="auto"/>
        <w:rPr>
          <w:sz w:val="22"/>
          <w:szCs w:val="22"/>
        </w:rPr>
      </w:pPr>
      <w:r w:rsidRPr="00DA2128">
        <w:rPr>
          <w:sz w:val="22"/>
          <w:szCs w:val="22"/>
        </w:rPr>
        <w:t>European Commission/EACEA/Eurydice. (2020). The European Higher Education Area in 2020: Bologna Process Implementation Report. Luxembourg: Publications Office of the European Union.</w:t>
      </w:r>
    </w:p>
    <w:p w14:paraId="2CC337DE" w14:textId="77777777" w:rsidR="00300997" w:rsidRPr="00DA2128" w:rsidRDefault="00300997" w:rsidP="00A937C6">
      <w:pPr>
        <w:spacing w:line="240" w:lineRule="auto"/>
        <w:rPr>
          <w:sz w:val="22"/>
          <w:szCs w:val="22"/>
        </w:rPr>
      </w:pPr>
      <w:r w:rsidRPr="00DA2128">
        <w:rPr>
          <w:sz w:val="22"/>
          <w:szCs w:val="22"/>
        </w:rPr>
        <w:t xml:space="preserve">European Higher Education Area. (2020). Principles and guidelines to strengthen the social dimension of higher education in the EHEA. Ministerkonferensen i Rom, 25-27 November 2020. </w:t>
      </w:r>
    </w:p>
    <w:p w14:paraId="58431331" w14:textId="77777777" w:rsidR="00300997" w:rsidRPr="00DA2128" w:rsidRDefault="00300997" w:rsidP="00A937C6">
      <w:pPr>
        <w:spacing w:line="240" w:lineRule="auto"/>
        <w:rPr>
          <w:sz w:val="22"/>
          <w:szCs w:val="22"/>
        </w:rPr>
      </w:pPr>
      <w:r w:rsidRPr="00DA2128">
        <w:rPr>
          <w:sz w:val="22"/>
          <w:szCs w:val="22"/>
        </w:rPr>
        <w:t>Grossbard, J. R., Lee, C. M., Neighbors, C., &amp; Larimer, M. E. (2009). Body image concerns and contingent self-esteem in male and female college students. Sex Roles, 60(3), 198–207. https://doi.org/10.1007/s11199-008-9535-y</w:t>
      </w:r>
    </w:p>
    <w:p w14:paraId="20442CF3" w14:textId="77777777" w:rsidR="00300997" w:rsidRPr="00DA2128" w:rsidRDefault="00300997" w:rsidP="00A937C6">
      <w:pPr>
        <w:spacing w:line="240" w:lineRule="auto"/>
        <w:rPr>
          <w:sz w:val="22"/>
          <w:szCs w:val="22"/>
        </w:rPr>
      </w:pPr>
      <w:r w:rsidRPr="00DA2128">
        <w:rPr>
          <w:sz w:val="22"/>
          <w:szCs w:val="22"/>
        </w:rPr>
        <w:t>Montgomery, M. J., &amp; Côté, J. E. (2003). College as a transition to adulthood. I G. R. Adams &amp; M. D. Berzonsky (Red.), Blackwell Handbook of Adolescence (s. 149–172). Blackwell Publishing.</w:t>
      </w:r>
    </w:p>
    <w:p w14:paraId="727D1A33" w14:textId="77777777" w:rsidR="00300997" w:rsidRPr="00DA2128" w:rsidRDefault="00300997" w:rsidP="00A937C6">
      <w:pPr>
        <w:spacing w:line="240" w:lineRule="auto"/>
        <w:rPr>
          <w:sz w:val="22"/>
          <w:szCs w:val="22"/>
        </w:rPr>
      </w:pPr>
      <w:r w:rsidRPr="00DA2128">
        <w:rPr>
          <w:sz w:val="22"/>
          <w:szCs w:val="22"/>
        </w:rPr>
        <w:t>Siri, A., Leone, C., &amp; Bencivenga, R. (2022). Equality, Diversity, and Inclusion Strategies Adopted in a European University Alliance to Facilitate the Higher Education-to-Work Transition. Societies, 12(5), 140. https://doi.org/10.3390/soc12050140</w:t>
      </w:r>
    </w:p>
    <w:p w14:paraId="44631202" w14:textId="77777777" w:rsidR="00300997" w:rsidRPr="00DA2128" w:rsidRDefault="00300997" w:rsidP="00A937C6">
      <w:pPr>
        <w:spacing w:line="240" w:lineRule="auto"/>
        <w:rPr>
          <w:sz w:val="22"/>
          <w:szCs w:val="22"/>
        </w:rPr>
      </w:pPr>
      <w:r w:rsidRPr="00DA2128">
        <w:rPr>
          <w:sz w:val="22"/>
          <w:szCs w:val="22"/>
        </w:rPr>
        <w:t>Thomas, A. (2014). Internal governance imperatives for universities. African Journal of Business Studies, 4(1), 25–36.  https://doi.org/10.15249/4-1-62</w:t>
      </w:r>
    </w:p>
    <w:p w14:paraId="07346FFE" w14:textId="27B6BDC1" w:rsidR="0035681A" w:rsidRPr="00DA2128" w:rsidRDefault="00300997" w:rsidP="00A937C6">
      <w:pPr>
        <w:spacing w:line="240" w:lineRule="auto"/>
      </w:pPr>
      <w:r w:rsidRPr="00DA2128">
        <w:rPr>
          <w:sz w:val="22"/>
          <w:szCs w:val="22"/>
        </w:rPr>
        <w:t>Waite, E., Parnell, J., Guest, E., Harcourt, D., Stokes, R., &amp; Slater, A. (2024). “Make sure that everybody feels there is a space for them”: Understanding and promoting appearance inclusivity at university. Body Image, 51, 101809. https://doi.org/10.1016/j.bodyim.2024.101809</w:t>
      </w:r>
      <w:r w:rsidR="0035681A" w:rsidRPr="00DA2128">
        <w:br w:type="page"/>
      </w:r>
    </w:p>
    <w:p w14:paraId="096F9ED1" w14:textId="4E11FF77" w:rsidR="00A54919" w:rsidRPr="00DA2128" w:rsidRDefault="00A54919" w:rsidP="00A937C6">
      <w:pPr>
        <w:pStyle w:val="Heading1"/>
        <w:spacing w:line="240" w:lineRule="auto"/>
      </w:pPr>
      <w:bookmarkStart w:id="6" w:name="_Toc211351789"/>
      <w:r w:rsidRPr="00DA2128">
        <w:lastRenderedPageBreak/>
        <w:t>Task number 5.2: Implement EDI</w:t>
      </w:r>
      <w:r w:rsidR="00D9494D" w:rsidRPr="00DA2128">
        <w:t xml:space="preserve"> – Group Concept Mapping</w:t>
      </w:r>
      <w:bookmarkEnd w:id="6"/>
    </w:p>
    <w:p w14:paraId="56522AFB" w14:textId="77777777" w:rsidR="00522133" w:rsidRPr="00DA2128" w:rsidRDefault="00522133" w:rsidP="00A937C6">
      <w:pPr>
        <w:spacing w:line="240" w:lineRule="auto"/>
        <w:rPr>
          <w:sz w:val="22"/>
          <w:szCs w:val="22"/>
        </w:rPr>
      </w:pPr>
      <w:r w:rsidRPr="00DA2128">
        <w:rPr>
          <w:sz w:val="22"/>
          <w:szCs w:val="22"/>
        </w:rPr>
        <w:t>Task 5.2 focused on the application of Group Concept Mapping (GCM) as a participatory and evidence-informed method to explore how equity, diversity, and inclusion (EDI) can be improved across the COLOURS Alliance universities. The rationale for using GCM lay in its ability to integrate qualitative insights with quantitative analysis, thereby producing a structured conceptual map of staff perspectives on EDI. This approach enabled the systematic identification of priority areas, grounded in the lived experiences and professional expertise of academic, administrative, and leadership staff.</w:t>
      </w:r>
    </w:p>
    <w:p w14:paraId="2947C995" w14:textId="7A11D35C" w:rsidR="00522133" w:rsidRPr="00DA2128" w:rsidRDefault="00522133" w:rsidP="00A937C6">
      <w:pPr>
        <w:spacing w:line="240" w:lineRule="auto"/>
        <w:rPr>
          <w:sz w:val="22"/>
          <w:szCs w:val="22"/>
        </w:rPr>
      </w:pPr>
      <w:r w:rsidRPr="00DA2128">
        <w:rPr>
          <w:sz w:val="22"/>
          <w:szCs w:val="22"/>
        </w:rPr>
        <w:t xml:space="preserve">The GCM process was conducted collaboratively across all nine partner universities, with coordination provided by the appointed EDI Officers. Participants engaged in brainstorming, sorting, and rating exercises that generated a rich dataset of ideas on how to strengthen EDI practices within their institutions. Through multi-dimensional scaling and cluster analysis, six conceptual areas were identified: Providing training and education; Facilitating events, activities and community engagement; Promoting inclusive collaboration; Fostering a supportive and inclusive environment and culture; Ensuring equity in leadership and decision-making; and </w:t>
      </w:r>
      <w:r w:rsidR="002C3A78" w:rsidRPr="00DA2128">
        <w:rPr>
          <w:sz w:val="22"/>
          <w:szCs w:val="22"/>
        </w:rPr>
        <w:t>a</w:t>
      </w:r>
      <w:r w:rsidRPr="00DA2128">
        <w:rPr>
          <w:sz w:val="22"/>
          <w:szCs w:val="22"/>
        </w:rPr>
        <w:t>dvancing policy, implementation, and evaluation.</w:t>
      </w:r>
    </w:p>
    <w:p w14:paraId="25A7840C" w14:textId="6E9BB08B" w:rsidR="00D75B79" w:rsidRPr="00DA2128" w:rsidRDefault="00522133" w:rsidP="00A937C6">
      <w:pPr>
        <w:spacing w:line="240" w:lineRule="auto"/>
        <w:rPr>
          <w:sz w:val="22"/>
          <w:szCs w:val="22"/>
        </w:rPr>
      </w:pPr>
      <w:r w:rsidRPr="00DA2128">
        <w:rPr>
          <w:sz w:val="22"/>
          <w:szCs w:val="22"/>
        </w:rPr>
        <w:t xml:space="preserve">The following section introduces the Group Concept Mapping Summary Report, outlining the methodology, findings, and implications of this task. It constitutes a cornerstone for identifying alliance-wide priorities in relation to EDI and establishes the analytical basis for subsequent tasks and policy recommendations. </w:t>
      </w:r>
    </w:p>
    <w:p w14:paraId="3FCA3B4F" w14:textId="77777777" w:rsidR="00D9494D" w:rsidRPr="00DA2128" w:rsidRDefault="00D9494D" w:rsidP="00A937C6">
      <w:pPr>
        <w:spacing w:line="240" w:lineRule="auto"/>
      </w:pPr>
    </w:p>
    <w:p w14:paraId="06A9063D" w14:textId="15BD9147" w:rsidR="00D9494D" w:rsidRPr="00DA2128" w:rsidRDefault="004E1B7E" w:rsidP="00A937C6">
      <w:pPr>
        <w:pStyle w:val="Heading2"/>
        <w:spacing w:line="240" w:lineRule="auto"/>
      </w:pPr>
      <w:r w:rsidRPr="00DA2128">
        <w:t>Summary</w:t>
      </w:r>
      <w:r w:rsidR="00D9494D" w:rsidRPr="00DA2128">
        <w:t xml:space="preserve"> Report: </w:t>
      </w:r>
      <w:r w:rsidR="00756B08" w:rsidRPr="00DA2128">
        <w:t>Group Concept Mapping in the Alliance</w:t>
      </w:r>
    </w:p>
    <w:p w14:paraId="49532038" w14:textId="2EB3E4DC" w:rsidR="007B2047" w:rsidRPr="00DA2128" w:rsidRDefault="007B2047" w:rsidP="00A937C6">
      <w:pPr>
        <w:pStyle w:val="Subtitle"/>
        <w:spacing w:line="240" w:lineRule="auto"/>
        <w:rPr>
          <w:noProof w:val="0"/>
        </w:rPr>
      </w:pPr>
      <w:bookmarkStart w:id="7" w:name="_Toc202182693"/>
      <w:r w:rsidRPr="00DA2128">
        <w:rPr>
          <w:noProof w:val="0"/>
        </w:rPr>
        <w:t>Introduction</w:t>
      </w:r>
      <w:bookmarkEnd w:id="7"/>
      <w:r w:rsidRPr="00DA2128">
        <w:rPr>
          <w:noProof w:val="0"/>
        </w:rPr>
        <w:t xml:space="preserve"> </w:t>
      </w:r>
    </w:p>
    <w:p w14:paraId="1507E4EE" w14:textId="77777777" w:rsidR="007B2047" w:rsidRPr="00DA2128" w:rsidRDefault="007B2047" w:rsidP="00A937C6">
      <w:pPr>
        <w:spacing w:line="240" w:lineRule="auto"/>
        <w:rPr>
          <w:sz w:val="22"/>
          <w:szCs w:val="22"/>
        </w:rPr>
      </w:pPr>
      <w:r w:rsidRPr="00DA2128">
        <w:rPr>
          <w:sz w:val="22"/>
          <w:szCs w:val="22"/>
        </w:rPr>
        <w:t xml:space="preserve">Equity, Diversity, and Inclusion (EDI) are foundational principles ensuring fairness, representation, and belonging within universities. Equity seeks to address and remove structural barriers; diversity encompasses varied identities, including but not limited to ethnicity, gender, ability, and socioeconomic background; while inclusion ensures that all individuals feel valued, respected, and empowered to fully engage in academic life  </w:t>
      </w:r>
      <w:r w:rsidRPr="00DA2128">
        <w:rPr>
          <w:sz w:val="22"/>
          <w:szCs w:val="22"/>
        </w:rPr>
        <w:fldChar w:fldCharType="begin"/>
      </w:r>
      <w:r w:rsidRPr="00DA2128">
        <w:rPr>
          <w:sz w:val="22"/>
          <w:szCs w:val="22"/>
        </w:rPr>
        <w:instrText xml:space="preserve"> ADDIN EN.CITE &lt;EndNote&gt;&lt;Cite&gt;&lt;Author&gt;European Commission European Education Culture Executive Agency&lt;/Author&gt;&lt;Year&gt;2022&lt;/Year&gt;&lt;RecNum&gt;75&lt;/RecNum&gt;&lt;DisplayText&gt;(European Commission European Education Culture Executive Agency et al., 2022)&lt;/DisplayText&gt;&lt;record&gt;&lt;rec-number&gt;75&lt;/rec-number&gt;&lt;foreign-keys&gt;&lt;key app="EN" db-id="rats9t2apspp9jew0scpa9ehrpzvesdt5ppp" timestamp="1750088388"&gt;75&lt;/key&gt;&lt;/foreign-keys&gt;&lt;ref-type name="Book"&gt;6&lt;/ref-type&gt;&lt;contributors&gt;&lt;authors&gt;&lt;author&gt;European Commission European Education Culture Executive Agency,&lt;/author&gt;&lt;author&gt;Crosier, D.&lt;/author&gt;&lt;author&gt;Sigalas, E.&lt;/author&gt;&lt;/authors&gt;&lt;/contributors&gt;&lt;titles&gt;&lt;title&gt;Towards equity and inclusion in higher education in Europe&lt;/title&gt;&lt;/titles&gt;&lt;dates&gt;&lt;year&gt;2022&lt;/year&gt;&lt;/dates&gt;&lt;publisher&gt;Publications Office of the European Union&lt;/publisher&gt;&lt;urls&gt;&lt;/urls&gt;&lt;electronic-resource-num&gt;doi/10.2797/631280&lt;/electronic-resource-num&gt;&lt;/record&gt;&lt;/Cite&gt;&lt;/EndNote&gt;</w:instrText>
      </w:r>
      <w:r w:rsidRPr="00DA2128">
        <w:rPr>
          <w:sz w:val="22"/>
          <w:szCs w:val="22"/>
        </w:rPr>
        <w:fldChar w:fldCharType="separate"/>
      </w:r>
      <w:r w:rsidRPr="00DA2128">
        <w:rPr>
          <w:sz w:val="22"/>
          <w:szCs w:val="22"/>
        </w:rPr>
        <w:t>(European Commission European Education Culture Executive Agency et al., 2022)</w:t>
      </w:r>
      <w:r w:rsidRPr="00DA2128">
        <w:rPr>
          <w:sz w:val="22"/>
          <w:szCs w:val="22"/>
        </w:rPr>
        <w:fldChar w:fldCharType="end"/>
      </w:r>
      <w:r w:rsidRPr="00DA2128">
        <w:rPr>
          <w:sz w:val="22"/>
          <w:szCs w:val="22"/>
        </w:rPr>
        <w:t>.</w:t>
      </w:r>
    </w:p>
    <w:p w14:paraId="6AE6371B" w14:textId="77777777" w:rsidR="007B2047" w:rsidRPr="00DA2128" w:rsidRDefault="007B2047" w:rsidP="00A937C6">
      <w:pPr>
        <w:spacing w:line="240" w:lineRule="auto"/>
        <w:rPr>
          <w:sz w:val="22"/>
          <w:szCs w:val="22"/>
        </w:rPr>
      </w:pPr>
      <w:r w:rsidRPr="00DA2128">
        <w:rPr>
          <w:sz w:val="22"/>
          <w:szCs w:val="22"/>
        </w:rPr>
        <w:t xml:space="preserve">Diversity is a critical priority for contemporary universities. It underpins institutional excellence and enhances the university's capacity to respond to increasing competition across all dimensions of its mission—education, research, and societal engagement. To sustain high standards of performance, universities must be equipped to attract and retain talent at every level. In a globalised and interconnected academic landscape, this necessitates a genuine openness to diversity. Evidence shows that diverse research teams foster greater creativity and deliver superior outcomes, while heterogeneous learning environments are more intellectually stimulating and enriching than their homogenous counterparts </w:t>
      </w:r>
      <w:r w:rsidRPr="00DA2128">
        <w:rPr>
          <w:sz w:val="22"/>
          <w:szCs w:val="22"/>
        </w:rPr>
        <w:fldChar w:fldCharType="begin"/>
      </w:r>
      <w:r w:rsidRPr="00DA2128">
        <w:rPr>
          <w:sz w:val="22"/>
          <w:szCs w:val="22"/>
        </w:rPr>
        <w:instrText xml:space="preserve"> ADDIN EN.CITE &lt;EndNote&gt;&lt;Cite&gt;&lt;Author&gt;Claeys-Kulik&lt;/Author&gt;&lt;Year&gt;2019&lt;/Year&gt;&lt;RecNum&gt;2&lt;/RecNum&gt;&lt;DisplayText&gt;(Claeys-Kulik et al., 2019)&lt;/DisplayText&gt;&lt;record&gt;&lt;rec-number&gt;2&lt;/rec-number&gt;&lt;foreign-keys&gt;&lt;key app="EN" db-id="w5z92zfriwv5t8edadtv0vs0vvv0saedda9w" timestamp="1750142696"&gt;2&lt;/key&gt;&lt;/foreign-keys&gt;&lt;ref-type name="Journal Article"&gt;17&lt;/ref-type&gt;&lt;contributors&gt;&lt;authors&gt;&lt;author&gt;Claeys-Kulik, Anna-Lena&lt;/author&gt;&lt;author&gt;Jørgensen, Thomas Ekman&lt;/author&gt;&lt;author&gt;Stöber, Henriette&lt;/author&gt;&lt;/authors&gt;&lt;/contributors&gt;&lt;titles&gt;&lt;title&gt;Diversity, equity and inclusion in European higher education institutions&lt;/title&gt;&lt;secondary-title&gt;Results from the INVITED Project. Brussel: European University Association Asil&lt;/secondary-title&gt;&lt;/titles&gt;&lt;periodical&gt;&lt;full-title&gt;Results from the INVITED Project. Brussel: European University Association Asil&lt;/full-title&gt;&lt;/periodical&gt;&lt;volume&gt;51&lt;/volume&gt;&lt;dates&gt;&lt;year&gt;2019&lt;/year&gt;&lt;/dates&gt;&lt;urls&gt;&lt;/urls&gt;&lt;/record&gt;&lt;/Cite&gt;&lt;/EndNote&gt;</w:instrText>
      </w:r>
      <w:r w:rsidRPr="00DA2128">
        <w:rPr>
          <w:sz w:val="22"/>
          <w:szCs w:val="22"/>
        </w:rPr>
        <w:fldChar w:fldCharType="separate"/>
      </w:r>
      <w:r w:rsidRPr="00DA2128">
        <w:rPr>
          <w:sz w:val="22"/>
          <w:szCs w:val="22"/>
        </w:rPr>
        <w:t>(Claeys-Kulik et al., 2019)</w:t>
      </w:r>
      <w:r w:rsidRPr="00DA2128">
        <w:rPr>
          <w:sz w:val="22"/>
          <w:szCs w:val="22"/>
        </w:rPr>
        <w:fldChar w:fldCharType="end"/>
      </w:r>
      <w:r w:rsidRPr="00DA2128">
        <w:rPr>
          <w:sz w:val="22"/>
          <w:szCs w:val="22"/>
        </w:rPr>
        <w:t xml:space="preserve">.  This has resulted for example that under Horizon Europe, all public bodies, research organisations, and higher education institutions from EU Member States and associated countries submitting proposals for calls with deadlines from 2022 onwards are required to have a Gender Equality Plan (GEP) or an equivalent strategy in place as a condition for funding eligibility </w:t>
      </w:r>
      <w:r w:rsidRPr="00DA2128">
        <w:rPr>
          <w:sz w:val="22"/>
          <w:szCs w:val="22"/>
        </w:rPr>
        <w:fldChar w:fldCharType="begin"/>
      </w:r>
      <w:r w:rsidRPr="00DA2128">
        <w:rPr>
          <w:sz w:val="22"/>
          <w:szCs w:val="22"/>
        </w:rPr>
        <w:instrText xml:space="preserve"> ADDIN EN.CITE &lt;EndNote&gt;&lt;Cite&gt;&lt;Author&gt;European Commission&lt;/Author&gt;&lt;Year&gt;2021&lt;/Year&gt;&lt;RecNum&gt;3&lt;/RecNum&gt;&lt;DisplayText&gt;(European Commission et al., 2021)&lt;/DisplayText&gt;&lt;record&gt;&lt;rec-number&gt;3&lt;/rec-number&gt;&lt;foreign-keys&gt;&lt;key app="EN" db-id="w5z92zfriwv5t8edadtv0vs0vvv0saedda9w" timestamp="1750143065"&gt;3&lt;/key&gt;&lt;/foreign-keys&gt;&lt;ref-type name="Book"&gt;6&lt;/ref-type&gt;&lt;contributors&gt;&lt;authors&gt;&lt;author&gt;European Commission,&lt;/author&gt;&lt;author&gt;Directorate-General for Research&lt;/author&gt;&lt;author&gt;Innovation&lt;/author&gt;&lt;/authors&gt;&lt;/contributors&gt;&lt;titles&gt;&lt;title&gt;Horizon Europe guidance on gender equality plans&lt;/title&gt;&lt;/titles&gt;&lt;dates&gt;&lt;year&gt;2021&lt;/year&gt;&lt;/dates&gt;&lt;publisher&gt;Publications Office of the European Union&lt;/publisher&gt;&lt;urls&gt;&lt;/urls&gt;&lt;electronic-resource-num&gt;doi/10.2777/876509&lt;/electronic-resource-num&gt;&lt;/record&gt;&lt;/Cite&gt;&lt;/EndNote&gt;</w:instrText>
      </w:r>
      <w:r w:rsidRPr="00DA2128">
        <w:rPr>
          <w:sz w:val="22"/>
          <w:szCs w:val="22"/>
        </w:rPr>
        <w:fldChar w:fldCharType="separate"/>
      </w:r>
      <w:r w:rsidRPr="00DA2128">
        <w:rPr>
          <w:sz w:val="22"/>
          <w:szCs w:val="22"/>
        </w:rPr>
        <w:t>(European Commission et al., 2021)</w:t>
      </w:r>
      <w:r w:rsidRPr="00DA2128">
        <w:rPr>
          <w:sz w:val="22"/>
          <w:szCs w:val="22"/>
        </w:rPr>
        <w:fldChar w:fldCharType="end"/>
      </w:r>
      <w:r w:rsidRPr="00DA2128">
        <w:rPr>
          <w:sz w:val="22"/>
          <w:szCs w:val="22"/>
        </w:rPr>
        <w:t xml:space="preserve">. In addition, to foster greater diversity in research and innovation (R&amp;I), the European Commission is expanding its gender policy framework to address intersecting social dimensions such as ethnicity, disability, and sexual orientation </w:t>
      </w:r>
      <w:r w:rsidRPr="00DA2128">
        <w:rPr>
          <w:sz w:val="22"/>
          <w:szCs w:val="22"/>
        </w:rPr>
        <w:fldChar w:fldCharType="begin"/>
      </w:r>
      <w:r w:rsidRPr="00DA2128">
        <w:rPr>
          <w:sz w:val="22"/>
          <w:szCs w:val="22"/>
        </w:rPr>
        <w:instrText xml:space="preserve"> ADDIN EN.CITE &lt;EndNote&gt;&lt;Cite&gt;&lt;Author&gt;European Commission&lt;/Author&gt;&lt;Year&gt;2022&lt;/Year&gt;&lt;RecNum&gt;4&lt;/RecNum&gt;&lt;DisplayText&gt;(European Commission et al., 2022b)&lt;/DisplayText&gt;&lt;record&gt;&lt;rec-number&gt;4&lt;/rec-number&gt;&lt;foreign-keys&gt;&lt;key app="EN" db-id="w5z92zfriwv5t8edadtv0vs0vvv0saedda9w" timestamp="1750143140"&gt;4&lt;/key&gt;&lt;/foreign-keys&gt;&lt;ref-type name="Book"&gt;6&lt;/ref-type&gt;&lt;contributors&gt;&lt;authors&gt;&lt;author&gt;European Commission,&lt;/author&gt;&lt;author&gt;Directorate-General for Research&lt;/author&gt;&lt;author&gt;Innovation&lt;/author&gt;&lt;/authors&gt;&lt;/contributors&gt;&lt;titles&gt;&lt;title&gt;Towards inclusive gender equality in research and innovation&lt;/title&gt;&lt;/titles&gt;&lt;dates&gt;&lt;year&gt;2022&lt;/year&gt;&lt;/dates&gt;&lt;publisher&gt;Publications Office of the European Union&lt;/publisher&gt;&lt;urls&gt;&lt;/urls&gt;&lt;electronic-resource-num&gt;doi/10.2777/162481&lt;/electronic-resource-num&gt;&lt;/record&gt;&lt;/Cite&gt;&lt;/EndNote&gt;</w:instrText>
      </w:r>
      <w:r w:rsidRPr="00DA2128">
        <w:rPr>
          <w:sz w:val="22"/>
          <w:szCs w:val="22"/>
        </w:rPr>
        <w:fldChar w:fldCharType="separate"/>
      </w:r>
      <w:r w:rsidRPr="00DA2128">
        <w:rPr>
          <w:sz w:val="22"/>
          <w:szCs w:val="22"/>
        </w:rPr>
        <w:t>(European Commission et al., 2022b)</w:t>
      </w:r>
      <w:r w:rsidRPr="00DA2128">
        <w:rPr>
          <w:sz w:val="22"/>
          <w:szCs w:val="22"/>
        </w:rPr>
        <w:fldChar w:fldCharType="end"/>
      </w:r>
      <w:r w:rsidRPr="00DA2128">
        <w:rPr>
          <w:sz w:val="22"/>
          <w:szCs w:val="22"/>
        </w:rPr>
        <w:t xml:space="preserve">. However, despite the growing policy emphasis on gender equality in research and higher education, many institutions continue to face persistent structural and operational barriers </w:t>
      </w:r>
      <w:r w:rsidRPr="00DA2128">
        <w:rPr>
          <w:sz w:val="22"/>
          <w:szCs w:val="22"/>
        </w:rPr>
        <w:lastRenderedPageBreak/>
        <w:t xml:space="preserve">that hinder meaningful implementation. A key barrier to both the adoption and implementation of GEPs in higher education institutions (HEIs) and research-performing organisations (RPOs) is the lack of sufficient resources, including dedicated staff, technical infrastructure, time, and funding </w:t>
      </w:r>
      <w:r w:rsidRPr="00DA2128">
        <w:rPr>
          <w:sz w:val="22"/>
          <w:szCs w:val="22"/>
        </w:rPr>
        <w:fldChar w:fldCharType="begin"/>
      </w:r>
      <w:r w:rsidRPr="00DA2128">
        <w:rPr>
          <w:sz w:val="22"/>
          <w:szCs w:val="22"/>
        </w:rPr>
        <w:instrText xml:space="preserve"> ADDIN EN.CITE &lt;EndNote&gt;&lt;Cite&gt;&lt;Author&gt;European Commission&lt;/Author&gt;&lt;Year&gt;2025&lt;/Year&gt;&lt;RecNum&gt;6&lt;/RecNum&gt;&lt;DisplayText&gt;(European Commission et al., 2025)&lt;/DisplayText&gt;&lt;record&gt;&lt;rec-number&gt;6&lt;/rec-number&gt;&lt;foreign-keys&gt;&lt;key app="EN" db-id="w5z92zfriwv5t8edadtv0vs0vvv0saedda9w" timestamp="1750159371"&gt;6&lt;/key&gt;&lt;/foreign-keys&gt;&lt;ref-type name="Book"&gt;6&lt;/ref-type&gt;&lt;contributors&gt;&lt;authors&gt;&lt;author&gt;European Commission,&lt;/author&gt;&lt;author&gt;Directorate-General for Research Innovation,&lt;/author&gt;&lt;author&gt;Andriescu, M.&lt;/author&gt;&lt;author&gt;Pépin, A.&lt;/author&gt;&lt;author&gt;Moungou, A.&lt;/author&gt;&lt;author&gt;Buckingham, S.&lt;/author&gt;&lt;author&gt;Gilloz, O.&lt;/author&gt;&lt;author&gt;Dunn, K.&lt;/author&gt;&lt;author&gt;Svíčková, K.&lt;/author&gt;&lt;author&gt;Collier, N.&lt;/author&gt;&lt;author&gt;Broughton, A.&lt;/author&gt;&lt;author&gt;Tenglerova, H.&lt;/author&gt;&lt;author&gt;Hoya, C.&lt;/author&gt;&lt;author&gt;Nájera, L.&lt;/author&gt;&lt;author&gt;Kelly, G.&lt;/author&gt;&lt;author&gt;Smętek, J.&lt;/author&gt;&lt;author&gt;Górniak, A.&lt;/author&gt;&lt;author&gt;Nicosia, D.&lt;/author&gt;&lt;author&gt;Michalcakova, J.&lt;/author&gt;&lt;author&gt;Antanavičius, J.&lt;/author&gt;&lt;author&gt;Davies, R.&lt;/author&gt;&lt;/authors&gt;&lt;secondary-authors&gt;&lt;author&gt;Pépin, A.&lt;/author&gt;&lt;author&gt;Moungou, A.&lt;/author&gt;&lt;author&gt;Gilloz, O.&lt;/author&gt;&lt;author&gt;Svíčková, K.&lt;/author&gt;&lt;author&gt;Tenglerova, H.&lt;/author&gt;&lt;/secondary-authors&gt;&lt;/contributors&gt;&lt;titles&gt;&lt;title&gt;Impact of gender equality plans across the European research area – Report&lt;/title&gt;&lt;/titles&gt;&lt;dates&gt;&lt;year&gt;2025&lt;/year&gt;&lt;/dates&gt;&lt;publisher&gt;Publications Office of the European Union&lt;/publisher&gt;&lt;urls&gt;&lt;/urls&gt;&lt;electronic-resource-num&gt;doi/10.2777/074644&lt;/electronic-resource-num&gt;&lt;/record&gt;&lt;/Cite&gt;&lt;/EndNote&gt;</w:instrText>
      </w:r>
      <w:r w:rsidRPr="00DA2128">
        <w:rPr>
          <w:sz w:val="22"/>
          <w:szCs w:val="22"/>
        </w:rPr>
        <w:fldChar w:fldCharType="separate"/>
      </w:r>
      <w:r w:rsidRPr="00DA2128">
        <w:rPr>
          <w:sz w:val="22"/>
          <w:szCs w:val="22"/>
        </w:rPr>
        <w:t>(European Commission et al., 2025)</w:t>
      </w:r>
      <w:r w:rsidRPr="00DA2128">
        <w:rPr>
          <w:sz w:val="22"/>
          <w:szCs w:val="22"/>
        </w:rPr>
        <w:fldChar w:fldCharType="end"/>
      </w:r>
      <w:r w:rsidRPr="00DA2128">
        <w:rPr>
          <w:sz w:val="22"/>
          <w:szCs w:val="22"/>
        </w:rPr>
        <w:t xml:space="preserve">. While external funding schemes may offer temporary relief, sustainable and long-term investment is essential to drive meaningful structural change. Another significant challenge is the limited support from staff and institutional leadership, which often arises from a lack of awareness or understanding of how gender inequality manifests and the broader societal and institutional consequences it entails. Compounding these issues is the absence of systematically collected, robust data, particularly data that account for intersectional dimensions such as ethnicity, disability, and socio-economic status, which impedes institutions' capacity to assess their specific needs and to effectively track progress in advancing gender equality </w:t>
      </w:r>
      <w:r w:rsidRPr="00DA2128">
        <w:rPr>
          <w:sz w:val="22"/>
          <w:szCs w:val="22"/>
        </w:rPr>
        <w:fldChar w:fldCharType="begin"/>
      </w:r>
      <w:r w:rsidRPr="00DA2128">
        <w:rPr>
          <w:sz w:val="22"/>
          <w:szCs w:val="22"/>
        </w:rPr>
        <w:instrText xml:space="preserve"> ADDIN EN.CITE &lt;EndNote&gt;&lt;Cite&gt;&lt;Author&gt;European Commission&lt;/Author&gt;&lt;Year&gt;2025&lt;/Year&gt;&lt;RecNum&gt;6&lt;/RecNum&gt;&lt;DisplayText&gt;(European Commission et al., 2025)&lt;/DisplayText&gt;&lt;record&gt;&lt;rec-number&gt;6&lt;/rec-number&gt;&lt;foreign-keys&gt;&lt;key app="EN" db-id="w5z92zfriwv5t8edadtv0vs0vvv0saedda9w" timestamp="1750159371"&gt;6&lt;/key&gt;&lt;/foreign-keys&gt;&lt;ref-type name="Book"&gt;6&lt;/ref-type&gt;&lt;contributors&gt;&lt;authors&gt;&lt;author&gt;European Commission,&lt;/author&gt;&lt;author&gt;Directorate-General for Research Innovation,&lt;/author&gt;&lt;author&gt;Andriescu, M.&lt;/author&gt;&lt;author&gt;Pépin, A.&lt;/author&gt;&lt;author&gt;Moungou, A.&lt;/author&gt;&lt;author&gt;Buckingham, S.&lt;/author&gt;&lt;author&gt;Gilloz, O.&lt;/author&gt;&lt;author&gt;Dunn, K.&lt;/author&gt;&lt;author&gt;Svíčková, K.&lt;/author&gt;&lt;author&gt;Collier, N.&lt;/author&gt;&lt;author&gt;Broughton, A.&lt;/author&gt;&lt;author&gt;Tenglerova, H.&lt;/author&gt;&lt;author&gt;Hoya, C.&lt;/author&gt;&lt;author&gt;Nájera, L.&lt;/author&gt;&lt;author&gt;Kelly, G.&lt;/author&gt;&lt;author&gt;Smętek, J.&lt;/author&gt;&lt;author&gt;Górniak, A.&lt;/author&gt;&lt;author&gt;Nicosia, D.&lt;/author&gt;&lt;author&gt;Michalcakova, J.&lt;/author&gt;&lt;author&gt;Antanavičius, J.&lt;/author&gt;&lt;author&gt;Davies, R.&lt;/author&gt;&lt;/authors&gt;&lt;secondary-authors&gt;&lt;author&gt;Pépin, A.&lt;/author&gt;&lt;author&gt;Moungou, A.&lt;/author&gt;&lt;author&gt;Gilloz, O.&lt;/author&gt;&lt;author&gt;Svíčková, K.&lt;/author&gt;&lt;author&gt;Tenglerova, H.&lt;/author&gt;&lt;/secondary-authors&gt;&lt;/contributors&gt;&lt;titles&gt;&lt;title&gt;Impact of gender equality plans across the European research area – Report&lt;/title&gt;&lt;/titles&gt;&lt;dates&gt;&lt;year&gt;2025&lt;/year&gt;&lt;/dates&gt;&lt;publisher&gt;Publications Office of the European Union&lt;/publisher&gt;&lt;urls&gt;&lt;/urls&gt;&lt;electronic-resource-num&gt;doi/10.2777/074644&lt;/electronic-resource-num&gt;&lt;/record&gt;&lt;/Cite&gt;&lt;/EndNote&gt;</w:instrText>
      </w:r>
      <w:r w:rsidRPr="00DA2128">
        <w:rPr>
          <w:sz w:val="22"/>
          <w:szCs w:val="22"/>
        </w:rPr>
        <w:fldChar w:fldCharType="separate"/>
      </w:r>
      <w:r w:rsidRPr="00DA2128">
        <w:rPr>
          <w:sz w:val="22"/>
          <w:szCs w:val="22"/>
        </w:rPr>
        <w:t>(European Commission et al., 2025)</w:t>
      </w:r>
      <w:r w:rsidRPr="00DA2128">
        <w:rPr>
          <w:sz w:val="22"/>
          <w:szCs w:val="22"/>
        </w:rPr>
        <w:fldChar w:fldCharType="end"/>
      </w:r>
      <w:r w:rsidRPr="00DA2128">
        <w:rPr>
          <w:sz w:val="22"/>
          <w:szCs w:val="22"/>
        </w:rPr>
        <w:t xml:space="preserve">. </w:t>
      </w:r>
    </w:p>
    <w:p w14:paraId="1CDCECF0" w14:textId="77777777" w:rsidR="007B2047" w:rsidRPr="00DA2128" w:rsidRDefault="007B2047" w:rsidP="00A937C6">
      <w:pPr>
        <w:spacing w:line="240" w:lineRule="auto"/>
        <w:rPr>
          <w:sz w:val="22"/>
          <w:szCs w:val="22"/>
        </w:rPr>
      </w:pPr>
      <w:r w:rsidRPr="00DA2128">
        <w:rPr>
          <w:sz w:val="22"/>
          <w:szCs w:val="22"/>
        </w:rPr>
        <w:t xml:space="preserve">Despite increased policy attention and strategic commitments to EDI in higher education, stark inequalities continue to characterise many institutions. Non-inclusive cultures persist at both structural and interpersonal levels </w:t>
      </w:r>
      <w:r w:rsidRPr="00DA2128">
        <w:rPr>
          <w:sz w:val="22"/>
          <w:szCs w:val="22"/>
        </w:rPr>
        <w:fldChar w:fldCharType="begin"/>
      </w:r>
      <w:r w:rsidRPr="00DA2128">
        <w:rPr>
          <w:sz w:val="22"/>
          <w:szCs w:val="22"/>
        </w:rPr>
        <w:instrText xml:space="preserve"> ADDIN EN.CITE &lt;EndNote&gt;&lt;Cite&gt;&lt;Author&gt;Watson&lt;/Author&gt;&lt;Year&gt;2023&lt;/Year&gt;&lt;RecNum&gt;7&lt;/RecNum&gt;&lt;DisplayText&gt;(Watson et al., 2023)&lt;/DisplayText&gt;&lt;record&gt;&lt;rec-number&gt;7&lt;/rec-number&gt;&lt;foreign-keys&gt;&lt;key app="EN" db-id="w5z92zfriwv5t8edadtv0vs0vvv0saedda9w" timestamp="1750159732"&gt;7&lt;/key&gt;&lt;/foreign-keys&gt;&lt;ref-type name="Journal Article"&gt;17&lt;/ref-type&gt;&lt;contributors&gt;&lt;authors&gt;&lt;author&gt;Watson, Helen R&lt;/author&gt;&lt;author&gt;Wisdom, Hannah&lt;/author&gt;&lt;author&gt;Michael, Caryn&lt;/author&gt;&lt;author&gt;Marshall, Nathan&lt;/author&gt;&lt;author&gt;Neve, Hilary&lt;/author&gt;&lt;/authors&gt;&lt;/contributors&gt;&lt;titles&gt;&lt;title&gt;Equality pledges: A novel approach to embedding EDI and promoting positive culture change in a UK university&lt;/title&gt;&lt;secondary-title&gt;Equity in Education &amp;amp; Society&lt;/secondary-title&gt;&lt;/titles&gt;&lt;periodical&gt;&lt;full-title&gt;Equity in Education &amp;amp; Society&lt;/full-title&gt;&lt;/periodical&gt;&lt;pages&gt;110-122&lt;/pages&gt;&lt;volume&gt;2&lt;/volume&gt;&lt;number&gt;1&lt;/number&gt;&lt;keywords&gt;&lt;keyword&gt;culture change, EDI, higher education, academic, education&lt;/keyword&gt;&lt;/keywords&gt;&lt;dates&gt;&lt;year&gt;2023&lt;/year&gt;&lt;/dates&gt;&lt;urls&gt;&lt;related-urls&gt;&lt;url&gt;https://journals.sagepub.com/doi/abs/10.1177/27526461221149033&lt;/url&gt;&lt;/related-urls&gt;&lt;/urls&gt;&lt;electronic-resource-num&gt;10.1177/27526461221149033&lt;/electronic-resource-num&gt;&lt;/record&gt;&lt;/Cite&gt;&lt;/EndNote&gt;</w:instrText>
      </w:r>
      <w:r w:rsidRPr="00DA2128">
        <w:rPr>
          <w:sz w:val="22"/>
          <w:szCs w:val="22"/>
        </w:rPr>
        <w:fldChar w:fldCharType="separate"/>
      </w:r>
      <w:r w:rsidRPr="00DA2128">
        <w:rPr>
          <w:sz w:val="22"/>
          <w:szCs w:val="22"/>
        </w:rPr>
        <w:t>(Watson et al., 2023)</w:t>
      </w:r>
      <w:r w:rsidRPr="00DA2128">
        <w:rPr>
          <w:sz w:val="22"/>
          <w:szCs w:val="22"/>
        </w:rPr>
        <w:fldChar w:fldCharType="end"/>
      </w:r>
      <w:r w:rsidRPr="00DA2128">
        <w:rPr>
          <w:sz w:val="22"/>
          <w:szCs w:val="22"/>
        </w:rPr>
        <w:t xml:space="preserve">, often manifesting in unequal access to opportunities, underrepresentation of marginalised groups, and environments that fail to fully support or value diverse identities and perspectives. In university settings, it is quite common that EDI efforts are often driven by committed individuals, typically from human resources, academic, or administrative roles, who take on this work voluntarily, despite the absence of a formal mandate </w:t>
      </w:r>
      <w:r w:rsidRPr="00DA2128">
        <w:rPr>
          <w:sz w:val="22"/>
          <w:szCs w:val="22"/>
        </w:rPr>
        <w:fldChar w:fldCharType="begin"/>
      </w:r>
      <w:r w:rsidRPr="00DA2128">
        <w:rPr>
          <w:sz w:val="22"/>
          <w:szCs w:val="22"/>
        </w:rPr>
        <w:instrText xml:space="preserve"> ADDIN EN.CITE &lt;EndNote&gt;&lt;Cite&gt;&lt;Author&gt;Bencivenga&lt;/Author&gt;&lt;Year&gt;2025&lt;/Year&gt;&lt;RecNum&gt;8&lt;/RecNum&gt;&lt;DisplayText&gt;(Bencivenga et al., 2025)&lt;/DisplayText&gt;&lt;record&gt;&lt;rec-number&gt;8&lt;/rec-number&gt;&lt;foreign-keys&gt;&lt;key app="EN" db-id="w5z92zfriwv5t8edadtv0vs0vvv0saedda9w" timestamp="1750160626"&gt;8&lt;/key&gt;&lt;/foreign-keys&gt;&lt;ref-type name="Book Section"&gt;5&lt;/ref-type&gt;&lt;contributors&gt;&lt;authors&gt;&lt;author&gt;Bencivenga, Rita&lt;/author&gt;&lt;author&gt;Campanini Vilhena, Fernanda&lt;/author&gt;&lt;author&gt;Taramasso, Angela Celeste&lt;/author&gt;&lt;/authors&gt;&lt;secondary-authors&gt;&lt;author&gt;Leone, Cinzia&lt;/author&gt;&lt;/secondary-authors&gt;&lt;/contributors&gt;&lt;titles&gt;&lt;title&gt;The European Union’s Push for Equality, Diversity and Inclusion (EDI) and Its Implications for Career Development: A Perspective on Skills and Competences&lt;/title&gt;&lt;secondary-title&gt;Career Development - Challenges and Opportunities in Contemporary Societies&lt;/secondary-title&gt;&lt;/titles&gt;&lt;dates&gt;&lt;year&gt;2025&lt;/year&gt;&lt;/dates&gt;&lt;pub-location&gt;Rijeka&lt;/pub-location&gt;&lt;publisher&gt;IntechOpen&lt;/publisher&gt;&lt;isbn&gt;978-0-85466-985-1&lt;/isbn&gt;&lt;urls&gt;&lt;related-urls&gt;&lt;url&gt;https://doi.org/10.5772/intechopen.1006286&lt;/url&gt;&lt;/related-urls&gt;&lt;/urls&gt;&lt;electronic-resource-num&gt;10.5772/intechopen.1006286&lt;/electronic-resource-num&gt;&lt;access-date&gt;2025-06-17&lt;/access-date&gt;&lt;/record&gt;&lt;/Cite&gt;&lt;/EndNote&gt;</w:instrText>
      </w:r>
      <w:r w:rsidRPr="00DA2128">
        <w:rPr>
          <w:sz w:val="22"/>
          <w:szCs w:val="22"/>
        </w:rPr>
        <w:fldChar w:fldCharType="separate"/>
      </w:r>
      <w:r w:rsidRPr="00DA2128">
        <w:rPr>
          <w:sz w:val="22"/>
          <w:szCs w:val="22"/>
        </w:rPr>
        <w:t>(Bencivenga et al., 2025)</w:t>
      </w:r>
      <w:r w:rsidRPr="00DA2128">
        <w:rPr>
          <w:sz w:val="22"/>
          <w:szCs w:val="22"/>
        </w:rPr>
        <w:fldChar w:fldCharType="end"/>
      </w:r>
      <w:r w:rsidRPr="00DA2128">
        <w:rPr>
          <w:sz w:val="22"/>
          <w:szCs w:val="22"/>
        </w:rPr>
        <w:t xml:space="preserve">. Even in institutions where EDI structures are in place, such roles are frequently under-resourced, lack formal authority, and are insufficiently recognised or legitimised within the institutional hierarchy </w:t>
      </w:r>
      <w:r w:rsidRPr="00DA2128">
        <w:rPr>
          <w:sz w:val="22"/>
          <w:szCs w:val="22"/>
        </w:rPr>
        <w:fldChar w:fldCharType="begin"/>
      </w:r>
      <w:r w:rsidRPr="00DA2128">
        <w:rPr>
          <w:sz w:val="22"/>
          <w:szCs w:val="22"/>
        </w:rPr>
        <w:instrText xml:space="preserve"> ADDIN EN.CITE &lt;EndNote&gt;&lt;Cite&gt;&lt;Author&gt;van den Brink&lt;/Author&gt;&lt;Year&gt;2020&lt;/Year&gt;&lt;RecNum&gt;9&lt;/RecNum&gt;&lt;DisplayText&gt;(van den Brink, 2020)&lt;/DisplayText&gt;&lt;record&gt;&lt;rec-number&gt;9&lt;/rec-number&gt;&lt;foreign-keys&gt;&lt;key app="EN" db-id="w5z92zfriwv5t8edadtv0vs0vvv0saedda9w" timestamp="1750160676"&gt;9&lt;/key&gt;&lt;/foreign-keys&gt;&lt;ref-type name="Journal Article"&gt;17&lt;/ref-type&gt;&lt;contributors&gt;&lt;authors&gt;&lt;author&gt;van den Brink, Marieke&lt;/author&gt;&lt;/authors&gt;&lt;/contributors&gt;&lt;titles&gt;&lt;title&gt;“Reinventing the wheel over and over again”. Organizational learning, memory and forgetting in doing diversity work&lt;/title&gt;&lt;secondary-title&gt;Equality, Diversity and Inclusion: An International Journal&lt;/secondary-title&gt;&lt;/titles&gt;&lt;periodical&gt;&lt;full-title&gt;Equality, Diversity and Inclusion: An International Journal&lt;/full-title&gt;&lt;/periodical&gt;&lt;pages&gt;379-393&lt;/pages&gt;&lt;volume&gt;39&lt;/volume&gt;&lt;number&gt;4&lt;/number&gt;&lt;dates&gt;&lt;year&gt;2020&lt;/year&gt;&lt;/dates&gt;&lt;isbn&gt;2040-7149&lt;/isbn&gt;&lt;urls&gt;&lt;/urls&gt;&lt;/record&gt;&lt;/Cite&gt;&lt;/EndNote&gt;</w:instrText>
      </w:r>
      <w:r w:rsidRPr="00DA2128">
        <w:rPr>
          <w:sz w:val="22"/>
          <w:szCs w:val="22"/>
        </w:rPr>
        <w:fldChar w:fldCharType="separate"/>
      </w:r>
      <w:r w:rsidRPr="00DA2128">
        <w:rPr>
          <w:sz w:val="22"/>
          <w:szCs w:val="22"/>
        </w:rPr>
        <w:t>(van den Brink, 2020)</w:t>
      </w:r>
      <w:r w:rsidRPr="00DA2128">
        <w:rPr>
          <w:sz w:val="22"/>
          <w:szCs w:val="22"/>
        </w:rPr>
        <w:fldChar w:fldCharType="end"/>
      </w:r>
      <w:r w:rsidRPr="00DA2128">
        <w:rPr>
          <w:sz w:val="22"/>
          <w:szCs w:val="22"/>
        </w:rPr>
        <w:t xml:space="preserve">. </w:t>
      </w:r>
    </w:p>
    <w:p w14:paraId="627A7CD7" w14:textId="77777777" w:rsidR="007B2047" w:rsidRPr="00DA2128" w:rsidRDefault="007B2047" w:rsidP="00A937C6">
      <w:pPr>
        <w:spacing w:line="240" w:lineRule="auto"/>
        <w:rPr>
          <w:sz w:val="22"/>
          <w:szCs w:val="22"/>
        </w:rPr>
      </w:pPr>
      <w:r w:rsidRPr="00DA2128">
        <w:rPr>
          <w:sz w:val="22"/>
          <w:szCs w:val="22"/>
        </w:rPr>
        <w:t xml:space="preserve">At universities within the Colours Alliance, questions of EDI are increasingly being recognised as vital to creating fair, respectful, and thriving academic environments. Rather than assuming </w:t>
      </w:r>
      <w:r w:rsidRPr="00DA2128">
        <w:rPr>
          <w:sz w:val="22"/>
          <w:szCs w:val="22"/>
          <w14:ligatures w14:val="none"/>
        </w:rPr>
        <w:t>that these values are already fully embedded in institutional practices, it is essential to critically reflect on and evaluate our current position and identify areas for improvement.</w:t>
      </w:r>
      <w:r w:rsidRPr="00DA2128">
        <w:rPr>
          <w:sz w:val="22"/>
          <w:szCs w:val="22"/>
        </w:rPr>
        <w:t xml:space="preserve"> With this in mind, this study and report sought to identify and assess the areas where staff perceive a need for growth and improvement in relation to EDI. By evaluating our current position, we can ensure that future initiatives are grounded in real needs and informed by the perspectives of those who contribute to the university's operations and development. </w:t>
      </w:r>
    </w:p>
    <w:p w14:paraId="10143327" w14:textId="77777777" w:rsidR="007B2047" w:rsidRPr="00DA2128" w:rsidRDefault="007B2047" w:rsidP="00A937C6">
      <w:pPr>
        <w:spacing w:line="240" w:lineRule="auto"/>
        <w:rPr>
          <w:sz w:val="22"/>
          <w:szCs w:val="22"/>
        </w:rPr>
      </w:pPr>
      <w:r w:rsidRPr="00DA2128">
        <w:rPr>
          <w:sz w:val="22"/>
          <w:szCs w:val="22"/>
        </w:rPr>
        <w:t>To support this, we conducted extensive data collection involving staff from the nine member universities of the Colours Alliance. Their experiences and insights formed the basis for a thorough mixed-methods analysis that combined both quantitative and qualitative approaches to produce a nuanced understanding of staff perspectives on improvements of EDI.</w:t>
      </w:r>
    </w:p>
    <w:p w14:paraId="71FB19FC" w14:textId="77777777" w:rsidR="007B2047" w:rsidRPr="00DA2128" w:rsidRDefault="007B2047" w:rsidP="00A937C6">
      <w:pPr>
        <w:pStyle w:val="Subtitle"/>
        <w:spacing w:line="240" w:lineRule="auto"/>
        <w:rPr>
          <w:noProof w:val="0"/>
        </w:rPr>
      </w:pPr>
      <w:r w:rsidRPr="00DA2128">
        <w:rPr>
          <w:noProof w:val="0"/>
        </w:rPr>
        <w:t>Aim</w:t>
      </w:r>
    </w:p>
    <w:p w14:paraId="4920C8F0" w14:textId="77777777" w:rsidR="007B2047" w:rsidRPr="00DA2128" w:rsidRDefault="007B2047" w:rsidP="00A937C6">
      <w:pPr>
        <w:spacing w:line="240" w:lineRule="auto"/>
        <w:rPr>
          <w:sz w:val="22"/>
          <w:szCs w:val="22"/>
        </w:rPr>
      </w:pPr>
      <w:r w:rsidRPr="00DA2128">
        <w:rPr>
          <w:sz w:val="22"/>
          <w:szCs w:val="22"/>
        </w:rPr>
        <w:t xml:space="preserve">The data collection and analysis aimed to generate conceptual areas on how to improve equity, diversity, and inclusion (EDI) at the universities. The </w:t>
      </w:r>
      <w:r w:rsidRPr="00DA2128">
        <w:rPr>
          <w:rFonts w:eastAsiaTheme="minorEastAsia"/>
          <w:sz w:val="22"/>
          <w:szCs w:val="22"/>
        </w:rPr>
        <w:t>Group Concept Mapping method</w:t>
      </w:r>
      <w:r w:rsidRPr="00DA2128">
        <w:rPr>
          <w:sz w:val="22"/>
          <w:szCs w:val="22"/>
        </w:rPr>
        <w:t xml:space="preserve"> was used to digitally gather diverse perspectives from all participants and, through structured analysis, merge them into a single map that illustrates key conceptual areas of importance for improving EDI. </w:t>
      </w:r>
    </w:p>
    <w:p w14:paraId="09C98AB7" w14:textId="77777777" w:rsidR="007B2047" w:rsidRPr="00DA2128" w:rsidRDefault="007B2047" w:rsidP="00A937C6">
      <w:pPr>
        <w:pStyle w:val="Subtitle"/>
        <w:spacing w:line="240" w:lineRule="auto"/>
        <w:rPr>
          <w:noProof w:val="0"/>
        </w:rPr>
      </w:pPr>
      <w:r w:rsidRPr="00DA2128">
        <w:rPr>
          <w:noProof w:val="0"/>
        </w:rPr>
        <w:t>Method</w:t>
      </w:r>
    </w:p>
    <w:p w14:paraId="13DB34B2" w14:textId="77777777" w:rsidR="007B2047" w:rsidRPr="00DA2128" w:rsidRDefault="007B2047" w:rsidP="00A937C6">
      <w:pPr>
        <w:pStyle w:val="Sub-subheading"/>
        <w:spacing w:line="240" w:lineRule="auto"/>
      </w:pPr>
      <w:r w:rsidRPr="00DA2128">
        <w:t>Design</w:t>
      </w:r>
    </w:p>
    <w:p w14:paraId="5B815C91" w14:textId="77777777" w:rsidR="007B2047" w:rsidRPr="00DA2128" w:rsidRDefault="007B2047" w:rsidP="00A937C6">
      <w:pPr>
        <w:spacing w:line="240" w:lineRule="auto"/>
        <w:rPr>
          <w:rFonts w:eastAsia="Times New Roman" w:cs="Times New Roman"/>
          <w:sz w:val="22"/>
          <w:szCs w:val="22"/>
        </w:rPr>
      </w:pPr>
      <w:r w:rsidRPr="00DA2128">
        <w:rPr>
          <w:rFonts w:eastAsia="Times New Roman" w:cs="Times New Roman"/>
          <w:sz w:val="22"/>
          <w:szCs w:val="22"/>
        </w:rPr>
        <w:t xml:space="preserve">A mixed-method design was employed to collect and analyse data, aiming to investigate the perspectives of university staff in the Colours Alliance on how EDI can be improved at the universities. </w:t>
      </w:r>
      <w:r w:rsidRPr="00DA2128">
        <w:rPr>
          <w:rFonts w:eastAsiaTheme="minorEastAsia"/>
          <w:sz w:val="22"/>
          <w:szCs w:val="22"/>
        </w:rPr>
        <w:t xml:space="preserve">To ensure that perspectives from all nine universities are represented, a participatory method involving stakeholders at multiple stages of the process was adopted. Consequently, the Group Concept Mapping (GCM) </w:t>
      </w:r>
      <w:r w:rsidRPr="00DA2128">
        <w:rPr>
          <w:rFonts w:eastAsiaTheme="minorEastAsia"/>
          <w:sz w:val="22"/>
          <w:szCs w:val="22"/>
        </w:rPr>
        <w:fldChar w:fldCharType="begin"/>
      </w:r>
      <w:r w:rsidRPr="00DA2128">
        <w:rPr>
          <w:rFonts w:eastAsiaTheme="minorEastAsia"/>
          <w:sz w:val="22"/>
          <w:szCs w:val="22"/>
        </w:rPr>
        <w:instrText xml:space="preserve"> ADDIN EN.CITE &lt;EndNote&gt;&lt;Cite&gt;&lt;Author&gt;Kane&lt;/Author&gt;&lt;Year&gt;2017&lt;/Year&gt;&lt;RecNum&gt;16&lt;/RecNum&gt;&lt;DisplayText&gt;(Kane and Rosas, 2017)&lt;/DisplayText&gt;&lt;record&gt;&lt;rec-number&gt;16&lt;/rec-number&gt;&lt;foreign-keys&gt;&lt;key app="EN" db-id="w5z92zfriwv5t8edadtv0vs0vvv0saedda9w" timestamp="1751280653"&gt;16&lt;/key&gt;&lt;/foreign-keys&gt;&lt;ref-type name="Book"&gt;6&lt;/ref-type&gt;&lt;contributors&gt;&lt;authors&gt;&lt;author&gt;Kane, Mary&lt;/author&gt;&lt;author&gt;Rosas, Scott&lt;/author&gt;&lt;/authors&gt;&lt;/contributors&gt;&lt;titles&gt;&lt;title&gt;Conversations about group concept mapping: Applications, examples, and enhancements&lt;/title&gt;&lt;/titles&gt;&lt;dates&gt;&lt;year&gt;2017&lt;/year&gt;&lt;/dates&gt;&lt;publisher&gt;SAGE publications&lt;/publisher&gt;&lt;isbn&gt;1506329179&lt;/isbn&gt;&lt;urls&gt;&lt;/urls&gt;&lt;/record&gt;&lt;/Cite&gt;&lt;/EndNote&gt;</w:instrText>
      </w:r>
      <w:r w:rsidRPr="00DA2128">
        <w:rPr>
          <w:rFonts w:eastAsiaTheme="minorEastAsia"/>
          <w:sz w:val="22"/>
          <w:szCs w:val="22"/>
        </w:rPr>
        <w:fldChar w:fldCharType="separate"/>
      </w:r>
      <w:r w:rsidRPr="00DA2128">
        <w:rPr>
          <w:rFonts w:eastAsiaTheme="minorEastAsia"/>
          <w:sz w:val="22"/>
          <w:szCs w:val="22"/>
        </w:rPr>
        <w:t>(Kane and Rosas, 2017)</w:t>
      </w:r>
      <w:r w:rsidRPr="00DA2128">
        <w:rPr>
          <w:rFonts w:eastAsiaTheme="minorEastAsia"/>
          <w:sz w:val="22"/>
          <w:szCs w:val="22"/>
        </w:rPr>
        <w:fldChar w:fldCharType="end"/>
      </w:r>
      <w:r w:rsidRPr="00DA2128">
        <w:rPr>
          <w:rFonts w:eastAsiaTheme="minorEastAsia"/>
          <w:sz w:val="22"/>
          <w:szCs w:val="22"/>
        </w:rPr>
        <w:t xml:space="preserve"> was utilised and the web-based Concept System® groupwisdom™ was used for data collection and analysis. GCM aligns with </w:t>
      </w:r>
      <w:r w:rsidRPr="00DA2128">
        <w:rPr>
          <w:rFonts w:eastAsiaTheme="minorEastAsia"/>
          <w:sz w:val="22"/>
          <w:szCs w:val="22"/>
        </w:rPr>
        <w:lastRenderedPageBreak/>
        <w:t xml:space="preserve">an exploratory sequential approach, as the quantitative phase of the research is informed by and builds upon the preceding qualitative phase </w:t>
      </w:r>
      <w:r w:rsidRPr="00DA2128">
        <w:rPr>
          <w:rFonts w:eastAsiaTheme="minorEastAsia"/>
          <w:sz w:val="22"/>
          <w:szCs w:val="22"/>
        </w:rPr>
        <w:fldChar w:fldCharType="begin"/>
      </w:r>
      <w:r w:rsidRPr="00DA2128">
        <w:rPr>
          <w:rFonts w:eastAsiaTheme="minorEastAsia"/>
          <w:sz w:val="22"/>
          <w:szCs w:val="22"/>
        </w:rPr>
        <w:instrText xml:space="preserve"> ADDIN EN.CITE &lt;EndNote&gt;&lt;Cite&gt;&lt;Author&gt;Creswell&lt;/Author&gt;&lt;Year&gt;2017&lt;/Year&gt;&lt;RecNum&gt;17&lt;/RecNum&gt;&lt;DisplayText&gt;(Creswell and Creswell, 2017, Hanson et al., 2005)&lt;/DisplayText&gt;&lt;record&gt;&lt;rec-number&gt;17&lt;/rec-number&gt;&lt;foreign-keys&gt;&lt;key app="EN" db-id="w5z92zfriwv5t8edadtv0vs0vvv0saedda9w" timestamp="1751280766"&gt;17&lt;/key&gt;&lt;/foreign-keys&gt;&lt;ref-type name="Book"&gt;6&lt;/ref-type&gt;&lt;contributors&gt;&lt;authors&gt;&lt;author&gt;Creswell, John W&lt;/author&gt;&lt;author&gt;Creswell, J David&lt;/author&gt;&lt;/authors&gt;&lt;/contributors&gt;&lt;titles&gt;&lt;title&gt;Research design: Qualitative, quantitative, and mixed methods approaches&lt;/title&gt;&lt;/titles&gt;&lt;dates&gt;&lt;year&gt;2017&lt;/year&gt;&lt;/dates&gt;&lt;publisher&gt;Sage publications&lt;/publisher&gt;&lt;isbn&gt;1506386695&lt;/isbn&gt;&lt;urls&gt;&lt;/urls&gt;&lt;/record&gt;&lt;/Cite&gt;&lt;Cite&gt;&lt;Author&gt;Hanson&lt;/Author&gt;&lt;Year&gt;2005&lt;/Year&gt;&lt;RecNum&gt;18&lt;/RecNum&gt;&lt;record&gt;&lt;rec-number&gt;18&lt;/rec-number&gt;&lt;foreign-keys&gt;&lt;key app="EN" db-id="w5z92zfriwv5t8edadtv0vs0vvv0saedda9w" timestamp="1751280808"&gt;18&lt;/key&gt;&lt;/foreign-keys&gt;&lt;ref-type name="Journal Article"&gt;17&lt;/ref-type&gt;&lt;contributors&gt;&lt;authors&gt;&lt;author&gt;Hanson, William E&lt;/author&gt;&lt;author&gt;Creswell, John W&lt;/author&gt;&lt;author&gt;Clark, Vicki L Plano&lt;/author&gt;&lt;author&gt;Petska, Kelly S&lt;/author&gt;&lt;author&gt;Creswell, J David&lt;/author&gt;&lt;/authors&gt;&lt;/contributors&gt;&lt;titles&gt;&lt;title&gt;Mixed methods research designs in counseling psychology&lt;/title&gt;&lt;secondary-title&gt;Journal of counseling psychology&lt;/secondary-title&gt;&lt;/titles&gt;&lt;periodical&gt;&lt;full-title&gt;Journal of counseling psychology&lt;/full-title&gt;&lt;/periodical&gt;&lt;pages&gt;224&lt;/pages&gt;&lt;volume&gt;52&lt;/volume&gt;&lt;number&gt;2&lt;/number&gt;&lt;dates&gt;&lt;year&gt;2005&lt;/year&gt;&lt;/dates&gt;&lt;isbn&gt;1591472881&lt;/isbn&gt;&lt;urls&gt;&lt;/urls&gt;&lt;/record&gt;&lt;/Cite&gt;&lt;/EndNote&gt;</w:instrText>
      </w:r>
      <w:r w:rsidRPr="00DA2128">
        <w:rPr>
          <w:rFonts w:eastAsiaTheme="minorEastAsia"/>
          <w:sz w:val="22"/>
          <w:szCs w:val="22"/>
        </w:rPr>
        <w:fldChar w:fldCharType="separate"/>
      </w:r>
      <w:r w:rsidRPr="00DA2128">
        <w:rPr>
          <w:rFonts w:eastAsiaTheme="minorEastAsia"/>
          <w:sz w:val="22"/>
          <w:szCs w:val="22"/>
        </w:rPr>
        <w:t>(Creswell and Creswell, 2017, Hanson et al., 2005)</w:t>
      </w:r>
      <w:r w:rsidRPr="00DA2128">
        <w:rPr>
          <w:rFonts w:eastAsiaTheme="minorEastAsia"/>
          <w:sz w:val="22"/>
          <w:szCs w:val="22"/>
        </w:rPr>
        <w:fldChar w:fldCharType="end"/>
      </w:r>
      <w:r w:rsidRPr="00DA2128">
        <w:rPr>
          <w:rFonts w:eastAsiaTheme="minorEastAsia"/>
          <w:sz w:val="22"/>
          <w:szCs w:val="22"/>
        </w:rPr>
        <w:t xml:space="preserve">. GCM is a </w:t>
      </w:r>
      <w:r w:rsidRPr="00DA2128">
        <w:rPr>
          <w:sz w:val="22"/>
          <w:szCs w:val="22"/>
        </w:rPr>
        <w:t>systematic method that</w:t>
      </w:r>
      <w:r w:rsidRPr="00DA2128">
        <w:rPr>
          <w:rFonts w:eastAsiaTheme="minorEastAsia"/>
          <w:sz w:val="22"/>
          <w:szCs w:val="22"/>
        </w:rPr>
        <w:t xml:space="preserve"> the procedure includes the following steps: </w:t>
      </w:r>
      <w:r w:rsidRPr="00DA2128">
        <w:rPr>
          <w:rFonts w:eastAsiaTheme="minorEastAsia"/>
          <w:i/>
          <w:iCs/>
          <w:sz w:val="22"/>
          <w:szCs w:val="22"/>
        </w:rPr>
        <w:t>First planning phase</w:t>
      </w:r>
      <w:r w:rsidRPr="00DA2128">
        <w:rPr>
          <w:rFonts w:eastAsiaTheme="minorEastAsia"/>
          <w:sz w:val="22"/>
          <w:szCs w:val="22"/>
        </w:rPr>
        <w:t xml:space="preserve">, where the focus prompt is constructed and the inclusion criteria for the participants are decided. Then, the participants are involved in a </w:t>
      </w:r>
      <w:r w:rsidRPr="00DA2128">
        <w:rPr>
          <w:rFonts w:eastAsiaTheme="minorEastAsia"/>
          <w:i/>
          <w:iCs/>
          <w:sz w:val="22"/>
          <w:szCs w:val="22"/>
        </w:rPr>
        <w:t>brainstorming</w:t>
      </w:r>
      <w:r w:rsidRPr="00DA2128">
        <w:rPr>
          <w:rFonts w:eastAsiaTheme="minorEastAsia"/>
          <w:sz w:val="22"/>
          <w:szCs w:val="22"/>
        </w:rPr>
        <w:t xml:space="preserve"> phase, where they brainstorm statements related to a focus prompt (qualitative data collection). The collected statements are then synthesized in a </w:t>
      </w:r>
      <w:r w:rsidRPr="00DA2128">
        <w:rPr>
          <w:rFonts w:eastAsiaTheme="minorEastAsia"/>
          <w:i/>
          <w:iCs/>
          <w:sz w:val="22"/>
          <w:szCs w:val="22"/>
        </w:rPr>
        <w:t xml:space="preserve">second planning phase, </w:t>
      </w:r>
      <w:r w:rsidRPr="00DA2128">
        <w:rPr>
          <w:rFonts w:eastAsiaTheme="minorEastAsia"/>
          <w:sz w:val="22"/>
          <w:szCs w:val="22"/>
        </w:rPr>
        <w:t xml:space="preserve">and rating questions are established. Next, the participants are involved in an </w:t>
      </w:r>
      <w:r w:rsidRPr="00DA2128">
        <w:rPr>
          <w:rFonts w:eastAsiaTheme="minorEastAsia"/>
          <w:i/>
          <w:iCs/>
          <w:sz w:val="22"/>
          <w:szCs w:val="22"/>
        </w:rPr>
        <w:t>organizing phase</w:t>
      </w:r>
      <w:r w:rsidRPr="00DA2128">
        <w:rPr>
          <w:rFonts w:eastAsiaTheme="minorEastAsia"/>
          <w:sz w:val="22"/>
          <w:szCs w:val="22"/>
        </w:rPr>
        <w:t xml:space="preserve"> where they are asked to sort the statements into groups </w:t>
      </w:r>
      <w:r w:rsidRPr="00DA2128">
        <w:rPr>
          <w:sz w:val="22"/>
          <w:szCs w:val="22"/>
        </w:rPr>
        <w:t xml:space="preserve">based on how they perceive similarities and differences between the statements, </w:t>
      </w:r>
      <w:r w:rsidRPr="00DA2128">
        <w:rPr>
          <w:rFonts w:eastAsiaTheme="minorEastAsia"/>
          <w:sz w:val="22"/>
          <w:szCs w:val="22"/>
        </w:rPr>
        <w:t xml:space="preserve">and lastly, the participants rate the statements, most commonly according to importance and feasibility </w:t>
      </w:r>
      <w:r w:rsidRPr="00DA2128">
        <w:rPr>
          <w:rFonts w:eastAsiaTheme="minorEastAsia"/>
          <w:sz w:val="22"/>
          <w:szCs w:val="22"/>
        </w:rPr>
        <w:fldChar w:fldCharType="begin"/>
      </w:r>
      <w:r w:rsidRPr="00DA2128">
        <w:rPr>
          <w:rFonts w:eastAsiaTheme="minorEastAsia"/>
          <w:sz w:val="22"/>
          <w:szCs w:val="22"/>
        </w:rPr>
        <w:instrText xml:space="preserve"> ADDIN EN.CITE &lt;EndNote&gt;&lt;Cite&gt;&lt;Author&gt;Rosas&lt;/Author&gt;&lt;Year&gt;2012&lt;/Year&gt;&lt;RecNum&gt;19&lt;/RecNum&gt;&lt;DisplayText&gt;(Rosas and Kane, 2012)&lt;/DisplayText&gt;&lt;record&gt;&lt;rec-number&gt;19&lt;/rec-number&gt;&lt;foreign-keys&gt;&lt;key app="EN" db-id="w5z92zfriwv5t8edadtv0vs0vvv0saedda9w" timestamp="1751280901"&gt;19&lt;/key&gt;&lt;/foreign-keys&gt;&lt;ref-type name="Journal Article"&gt;17&lt;/ref-type&gt;&lt;contributors&gt;&lt;authors&gt;&lt;author&gt;Rosas, Scott R&lt;/author&gt;&lt;author&gt;Kane, Mary&lt;/author&gt;&lt;/authors&gt;&lt;/contributors&gt;&lt;titles&gt;&lt;title&gt;Quality and rigor of the concept mapping methodology: a pooled study analysis&lt;/title&gt;&lt;secondary-title&gt;Evaluation and program planning&lt;/secondary-title&gt;&lt;/titles&gt;&lt;periodical&gt;&lt;full-title&gt;Evaluation and program planning&lt;/full-title&gt;&lt;/periodical&gt;&lt;pages&gt;236-245&lt;/pages&gt;&lt;volume&gt;35&lt;/volume&gt;&lt;number&gt;2&lt;/number&gt;&lt;dates&gt;&lt;year&gt;2012&lt;/year&gt;&lt;/dates&gt;&lt;isbn&gt;0149-7189&lt;/isbn&gt;&lt;urls&gt;&lt;/urls&gt;&lt;/record&gt;&lt;/Cite&gt;&lt;/EndNote&gt;</w:instrText>
      </w:r>
      <w:r w:rsidRPr="00DA2128">
        <w:rPr>
          <w:rFonts w:eastAsiaTheme="minorEastAsia"/>
          <w:sz w:val="22"/>
          <w:szCs w:val="22"/>
        </w:rPr>
        <w:fldChar w:fldCharType="separate"/>
      </w:r>
      <w:r w:rsidRPr="00DA2128">
        <w:rPr>
          <w:rFonts w:eastAsiaTheme="minorEastAsia"/>
          <w:sz w:val="22"/>
          <w:szCs w:val="22"/>
        </w:rPr>
        <w:t>(Rosas and Kane, 2012)</w:t>
      </w:r>
      <w:r w:rsidRPr="00DA2128">
        <w:rPr>
          <w:rFonts w:eastAsiaTheme="minorEastAsia"/>
          <w:sz w:val="22"/>
          <w:szCs w:val="22"/>
        </w:rPr>
        <w:fldChar w:fldCharType="end"/>
      </w:r>
      <w:r w:rsidRPr="00DA2128">
        <w:rPr>
          <w:rFonts w:eastAsiaTheme="minorEastAsia"/>
          <w:sz w:val="22"/>
          <w:szCs w:val="22"/>
        </w:rPr>
        <w:t xml:space="preserve">. Afterward, quantitative data analyses are conducted on the participants' sorting and rating. Followed by an interpretation and use phase, where the results may be presented to the people it affects and actions can be implemented. </w:t>
      </w:r>
    </w:p>
    <w:p w14:paraId="0CC90098" w14:textId="77777777" w:rsidR="007B2047" w:rsidRPr="00DA2128" w:rsidRDefault="007B2047" w:rsidP="00A937C6">
      <w:pPr>
        <w:pStyle w:val="Sub-subheading"/>
        <w:spacing w:line="240" w:lineRule="auto"/>
      </w:pPr>
      <w:r w:rsidRPr="00DA2128">
        <w:t>Context and participants</w:t>
      </w:r>
    </w:p>
    <w:p w14:paraId="16287980" w14:textId="77777777" w:rsidR="007B2047" w:rsidRPr="00DA2128" w:rsidRDefault="007B2047" w:rsidP="00A937C6">
      <w:pPr>
        <w:spacing w:before="240" w:after="240" w:line="240" w:lineRule="auto"/>
        <w:rPr>
          <w:rFonts w:eastAsiaTheme="minorEastAsia"/>
          <w:sz w:val="22"/>
          <w:szCs w:val="22"/>
        </w:rPr>
      </w:pPr>
      <w:r w:rsidRPr="00DA2128">
        <w:rPr>
          <w:rFonts w:eastAsiaTheme="minorEastAsia"/>
          <w:sz w:val="22"/>
          <w:szCs w:val="22"/>
        </w:rPr>
        <w:t xml:space="preserve">The Group Concept Mapping (GCM) process </w:t>
      </w:r>
      <w:r w:rsidRPr="00DA2128">
        <w:rPr>
          <w:rFonts w:eastAsiaTheme="minorEastAsia"/>
          <w:sz w:val="22"/>
          <w:szCs w:val="22"/>
        </w:rPr>
        <w:fldChar w:fldCharType="begin"/>
      </w:r>
      <w:r w:rsidRPr="00DA2128">
        <w:rPr>
          <w:rFonts w:eastAsiaTheme="minorEastAsia"/>
          <w:sz w:val="22"/>
          <w:szCs w:val="22"/>
        </w:rPr>
        <w:instrText xml:space="preserve"> ADDIN EN.CITE &lt;EndNote&gt;&lt;Cite&gt;&lt;Author&gt;Kane&lt;/Author&gt;&lt;Year&gt;2017&lt;/Year&gt;&lt;RecNum&gt;16&lt;/RecNum&gt;&lt;DisplayText&gt;(Kane and Rosas, 2017)&lt;/DisplayText&gt;&lt;record&gt;&lt;rec-number&gt;16&lt;/rec-number&gt;&lt;foreign-keys&gt;&lt;key app="EN" db-id="w5z92zfriwv5t8edadtv0vs0vvv0saedda9w" timestamp="1751280653"&gt;16&lt;/key&gt;&lt;/foreign-keys&gt;&lt;ref-type name="Book"&gt;6&lt;/ref-type&gt;&lt;contributors&gt;&lt;authors&gt;&lt;author&gt;Kane, Mary&lt;/author&gt;&lt;author&gt;Rosas, Scott&lt;/author&gt;&lt;/authors&gt;&lt;/contributors&gt;&lt;titles&gt;&lt;title&gt;Conversations about group concept mapping: Applications, examples, and enhancements&lt;/title&gt;&lt;/titles&gt;&lt;dates&gt;&lt;year&gt;2017&lt;/year&gt;&lt;/dates&gt;&lt;publisher&gt;SAGE publications&lt;/publisher&gt;&lt;isbn&gt;1506329179&lt;/isbn&gt;&lt;urls&gt;&lt;/urls&gt;&lt;/record&gt;&lt;/Cite&gt;&lt;/EndNote&gt;</w:instrText>
      </w:r>
      <w:r w:rsidRPr="00DA2128">
        <w:rPr>
          <w:rFonts w:eastAsiaTheme="minorEastAsia"/>
          <w:sz w:val="22"/>
          <w:szCs w:val="22"/>
        </w:rPr>
        <w:fldChar w:fldCharType="separate"/>
      </w:r>
      <w:r w:rsidRPr="00DA2128">
        <w:rPr>
          <w:rFonts w:eastAsiaTheme="minorEastAsia"/>
          <w:sz w:val="22"/>
          <w:szCs w:val="22"/>
        </w:rPr>
        <w:t>(Kane and Rosas, 2017)</w:t>
      </w:r>
      <w:r w:rsidRPr="00DA2128">
        <w:rPr>
          <w:rFonts w:eastAsiaTheme="minorEastAsia"/>
          <w:sz w:val="22"/>
          <w:szCs w:val="22"/>
        </w:rPr>
        <w:fldChar w:fldCharType="end"/>
      </w:r>
      <w:r w:rsidRPr="00DA2128">
        <w:rPr>
          <w:rFonts w:eastAsiaTheme="minorEastAsia"/>
          <w:sz w:val="22"/>
          <w:szCs w:val="22"/>
        </w:rPr>
        <w:t xml:space="preserve"> was carried out as a collaborative effort across the Colours European University Alliance, composed of nine partner universities located across Europe. The aim of the GCM process was to explore the perspectives of staff within the Colours alliance on how Equity, Diversity, and Inclusion (EDI) can be improved in higher education institutions. EDI represents a key strategic priority within the higher education landscape, shaping institutional culture, academic research, and pedagogical practices </w:t>
      </w:r>
      <w:r w:rsidRPr="00DA2128">
        <w:rPr>
          <w:rFonts w:eastAsiaTheme="minorEastAsia"/>
          <w:sz w:val="22"/>
          <w:szCs w:val="22"/>
        </w:rPr>
        <w:fldChar w:fldCharType="begin"/>
      </w:r>
      <w:r w:rsidRPr="00DA2128">
        <w:rPr>
          <w:rFonts w:eastAsiaTheme="minorEastAsia"/>
          <w:sz w:val="22"/>
          <w:szCs w:val="22"/>
        </w:rPr>
        <w:instrText xml:space="preserve"> ADDIN EN.CITE &lt;EndNote&gt;&lt;Cite&gt;&lt;Author&gt;Siri&lt;/Author&gt;&lt;Year&gt;2022&lt;/Year&gt;&lt;RecNum&gt;20&lt;/RecNum&gt;&lt;DisplayText&gt;(Siri et al., 2022)&lt;/DisplayText&gt;&lt;record&gt;&lt;rec-number&gt;20&lt;/rec-number&gt;&lt;foreign-keys&gt;&lt;key app="EN" db-id="w5z92zfriwv5t8edadtv0vs0vvv0saedda9w" timestamp="1751281000"&gt;20&lt;/key&gt;&lt;/foreign-keys&gt;&lt;ref-type name="Journal Article"&gt;17&lt;/ref-type&gt;&lt;contributors&gt;&lt;authors&gt;&lt;author&gt;Siri, Anna&lt;/author&gt;&lt;author&gt;Leone, Cinzia&lt;/author&gt;&lt;author&gt;Bencivenga, Rita&lt;/author&gt;&lt;/authors&gt;&lt;/contributors&gt;&lt;titles&gt;&lt;title&gt;Equality, diversity, and inclusion strategies adopted in a European university alliance to facilitate the higher education-to-work transition&lt;/title&gt;&lt;secondary-title&gt;Societies&lt;/secondary-title&gt;&lt;/titles&gt;&lt;periodical&gt;&lt;full-title&gt;Societies&lt;/full-title&gt;&lt;/periodical&gt;&lt;pages&gt;140&lt;/pages&gt;&lt;volume&gt;12&lt;/volume&gt;&lt;number&gt;5&lt;/number&gt;&lt;dates&gt;&lt;year&gt;2022&lt;/year&gt;&lt;/dates&gt;&lt;isbn&gt;2075-4698&lt;/isbn&gt;&lt;urls&gt;&lt;/urls&gt;&lt;/record&gt;&lt;/Cite&gt;&lt;/EndNote&gt;</w:instrText>
      </w:r>
      <w:r w:rsidRPr="00DA2128">
        <w:rPr>
          <w:rFonts w:eastAsiaTheme="minorEastAsia"/>
          <w:sz w:val="22"/>
          <w:szCs w:val="22"/>
        </w:rPr>
        <w:fldChar w:fldCharType="separate"/>
      </w:r>
      <w:r w:rsidRPr="00DA2128">
        <w:rPr>
          <w:rFonts w:eastAsiaTheme="minorEastAsia"/>
          <w:sz w:val="22"/>
          <w:szCs w:val="22"/>
        </w:rPr>
        <w:t>(Siri et al., 2022)</w:t>
      </w:r>
      <w:r w:rsidRPr="00DA2128">
        <w:rPr>
          <w:rFonts w:eastAsiaTheme="minorEastAsia"/>
          <w:sz w:val="22"/>
          <w:szCs w:val="22"/>
        </w:rPr>
        <w:fldChar w:fldCharType="end"/>
      </w:r>
      <w:r w:rsidRPr="00DA2128">
        <w:rPr>
          <w:rFonts w:eastAsiaTheme="minorEastAsia"/>
          <w:sz w:val="22"/>
          <w:szCs w:val="22"/>
        </w:rPr>
        <w:t>. The process aligns with the alliance’s overarching mission to promote inclusive academic cultures and institutional transformation through a structured, evidence-informed approach to EDI.</w:t>
      </w:r>
    </w:p>
    <w:p w14:paraId="29C9D268" w14:textId="77777777" w:rsidR="007B2047" w:rsidRPr="00DA2128" w:rsidRDefault="007B2047" w:rsidP="00A937C6">
      <w:pPr>
        <w:spacing w:before="240" w:after="240" w:line="240" w:lineRule="auto"/>
        <w:rPr>
          <w:rFonts w:eastAsiaTheme="minorEastAsia"/>
          <w:sz w:val="22"/>
          <w:szCs w:val="22"/>
        </w:rPr>
      </w:pPr>
      <w:r w:rsidRPr="00DA2128">
        <w:rPr>
          <w:rFonts w:eastAsiaTheme="minorEastAsia"/>
          <w:sz w:val="22"/>
          <w:szCs w:val="22"/>
        </w:rPr>
        <w:t xml:space="preserve">Each partner university appointed a dedicated EDI Officer to coordinate local participation, and administrative, teaching, and research staff from all institutions (hereafter referred to as participants) took part in the process.  </w:t>
      </w:r>
    </w:p>
    <w:p w14:paraId="3E99AE62" w14:textId="77777777" w:rsidR="007B2047" w:rsidRPr="00DA2128" w:rsidRDefault="007B2047" w:rsidP="00A937C6">
      <w:pPr>
        <w:spacing w:before="240" w:after="240" w:line="240" w:lineRule="auto"/>
        <w:rPr>
          <w:rFonts w:eastAsiaTheme="minorEastAsia"/>
          <w:sz w:val="22"/>
          <w:szCs w:val="22"/>
        </w:rPr>
      </w:pPr>
      <w:r w:rsidRPr="00DA2128">
        <w:rPr>
          <w:rFonts w:eastAsiaTheme="minorEastAsia"/>
          <w:sz w:val="22"/>
          <w:szCs w:val="22"/>
        </w:rPr>
        <w:t>The nine universities participating in this process were:</w:t>
      </w:r>
    </w:p>
    <w:p w14:paraId="28C3ADD6" w14:textId="77777777" w:rsidR="007B2047" w:rsidRPr="00DA2128" w:rsidRDefault="007B2047" w:rsidP="00027F5B">
      <w:pPr>
        <w:pStyle w:val="ListParagraph"/>
        <w:numPr>
          <w:ilvl w:val="0"/>
          <w:numId w:val="1"/>
        </w:numPr>
        <w:spacing w:line="240" w:lineRule="auto"/>
        <w:rPr>
          <w:rFonts w:eastAsiaTheme="minorEastAsia"/>
          <w:sz w:val="22"/>
          <w:szCs w:val="22"/>
        </w:rPr>
      </w:pPr>
      <w:r w:rsidRPr="00DA2128">
        <w:rPr>
          <w:rFonts w:eastAsiaTheme="minorEastAsia"/>
          <w:sz w:val="22"/>
          <w:szCs w:val="22"/>
        </w:rPr>
        <w:t>HKR – Högskolan Kristianstad, Sweden</w:t>
      </w:r>
    </w:p>
    <w:p w14:paraId="75F0A21C" w14:textId="77777777" w:rsidR="007B2047" w:rsidRPr="00DA2128" w:rsidRDefault="007B2047" w:rsidP="00027F5B">
      <w:pPr>
        <w:pStyle w:val="ListParagraph"/>
        <w:numPr>
          <w:ilvl w:val="0"/>
          <w:numId w:val="1"/>
        </w:numPr>
        <w:spacing w:line="240" w:lineRule="auto"/>
        <w:rPr>
          <w:rFonts w:eastAsiaTheme="minorEastAsia"/>
          <w:sz w:val="22"/>
          <w:szCs w:val="22"/>
        </w:rPr>
      </w:pPr>
      <w:r w:rsidRPr="00DA2128">
        <w:rPr>
          <w:rFonts w:eastAsiaTheme="minorEastAsia"/>
          <w:sz w:val="22"/>
          <w:szCs w:val="22"/>
        </w:rPr>
        <w:t>JDU – Jan Dlugosz University in Czestochowa, Polen</w:t>
      </w:r>
    </w:p>
    <w:p w14:paraId="2B88154B" w14:textId="77777777" w:rsidR="007B2047" w:rsidRPr="00DA2128" w:rsidRDefault="007B2047" w:rsidP="00027F5B">
      <w:pPr>
        <w:pStyle w:val="ListParagraph"/>
        <w:numPr>
          <w:ilvl w:val="0"/>
          <w:numId w:val="1"/>
        </w:numPr>
        <w:spacing w:line="240" w:lineRule="auto"/>
        <w:rPr>
          <w:rFonts w:eastAsiaTheme="minorEastAsia"/>
          <w:sz w:val="22"/>
          <w:szCs w:val="22"/>
        </w:rPr>
      </w:pPr>
      <w:r w:rsidRPr="00DA2128">
        <w:rPr>
          <w:rFonts w:eastAsiaTheme="minorEastAsia"/>
          <w:sz w:val="22"/>
          <w:szCs w:val="22"/>
        </w:rPr>
        <w:t>LMU – Le Mans University, France</w:t>
      </w:r>
    </w:p>
    <w:p w14:paraId="1EA5A14F" w14:textId="77777777" w:rsidR="007B2047" w:rsidRPr="00DA2128" w:rsidRDefault="007B2047" w:rsidP="00027F5B">
      <w:pPr>
        <w:pStyle w:val="ListParagraph"/>
        <w:numPr>
          <w:ilvl w:val="0"/>
          <w:numId w:val="1"/>
        </w:numPr>
        <w:spacing w:line="240" w:lineRule="auto"/>
        <w:rPr>
          <w:rFonts w:eastAsiaTheme="minorEastAsia"/>
          <w:sz w:val="22"/>
          <w:szCs w:val="22"/>
        </w:rPr>
      </w:pPr>
      <w:r w:rsidRPr="00DA2128">
        <w:rPr>
          <w:rFonts w:eastAsiaTheme="minorEastAsia"/>
          <w:sz w:val="22"/>
          <w:szCs w:val="22"/>
        </w:rPr>
        <w:t>UCLM – University of Castilla-La Mancha, Spain</w:t>
      </w:r>
    </w:p>
    <w:p w14:paraId="532A1CFA" w14:textId="77777777" w:rsidR="007B2047" w:rsidRPr="00DA2128" w:rsidRDefault="007B2047" w:rsidP="00027F5B">
      <w:pPr>
        <w:pStyle w:val="ListParagraph"/>
        <w:numPr>
          <w:ilvl w:val="0"/>
          <w:numId w:val="1"/>
        </w:numPr>
        <w:spacing w:line="240" w:lineRule="auto"/>
        <w:rPr>
          <w:rFonts w:eastAsiaTheme="minorEastAsia"/>
          <w:sz w:val="22"/>
          <w:szCs w:val="22"/>
        </w:rPr>
      </w:pPr>
      <w:r w:rsidRPr="00DA2128">
        <w:rPr>
          <w:rFonts w:eastAsiaTheme="minorEastAsia"/>
          <w:sz w:val="22"/>
          <w:szCs w:val="22"/>
        </w:rPr>
        <w:t>UKLO – University St Kliment Ohridski Bitola, North Macedonia</w:t>
      </w:r>
    </w:p>
    <w:p w14:paraId="11A69564" w14:textId="77777777" w:rsidR="007B2047" w:rsidRPr="00DA2128" w:rsidRDefault="007B2047" w:rsidP="00027F5B">
      <w:pPr>
        <w:pStyle w:val="ListParagraph"/>
        <w:numPr>
          <w:ilvl w:val="0"/>
          <w:numId w:val="1"/>
        </w:numPr>
        <w:spacing w:line="240" w:lineRule="auto"/>
        <w:rPr>
          <w:rFonts w:eastAsiaTheme="minorEastAsia"/>
          <w:sz w:val="22"/>
          <w:szCs w:val="22"/>
        </w:rPr>
      </w:pPr>
      <w:r w:rsidRPr="00DA2128">
        <w:rPr>
          <w:rFonts w:eastAsiaTheme="minorEastAsia"/>
          <w:sz w:val="22"/>
          <w:szCs w:val="22"/>
        </w:rPr>
        <w:t>UNIFE - University of Ferrara, Italy</w:t>
      </w:r>
    </w:p>
    <w:p w14:paraId="3EBDC664" w14:textId="77777777" w:rsidR="007B2047" w:rsidRPr="00DA2128" w:rsidRDefault="007B2047" w:rsidP="00027F5B">
      <w:pPr>
        <w:pStyle w:val="ListParagraph"/>
        <w:numPr>
          <w:ilvl w:val="0"/>
          <w:numId w:val="1"/>
        </w:numPr>
        <w:spacing w:line="240" w:lineRule="auto"/>
        <w:rPr>
          <w:rFonts w:eastAsiaTheme="minorEastAsia"/>
          <w:sz w:val="22"/>
          <w:szCs w:val="22"/>
        </w:rPr>
      </w:pPr>
      <w:r w:rsidRPr="00DA2128">
        <w:rPr>
          <w:rFonts w:eastAsiaTheme="minorEastAsia"/>
          <w:sz w:val="22"/>
          <w:szCs w:val="22"/>
        </w:rPr>
        <w:t>UNIOS – Josip Jurai Strossmayer University of Osijek, Croatia</w:t>
      </w:r>
    </w:p>
    <w:p w14:paraId="1170B27D" w14:textId="77777777" w:rsidR="007B2047" w:rsidRPr="00DA2128" w:rsidRDefault="007B2047" w:rsidP="00027F5B">
      <w:pPr>
        <w:pStyle w:val="ListParagraph"/>
        <w:numPr>
          <w:ilvl w:val="0"/>
          <w:numId w:val="1"/>
        </w:numPr>
        <w:spacing w:line="240" w:lineRule="auto"/>
        <w:rPr>
          <w:rFonts w:eastAsiaTheme="minorEastAsia"/>
          <w:sz w:val="22"/>
          <w:szCs w:val="22"/>
        </w:rPr>
      </w:pPr>
      <w:r w:rsidRPr="00DA2128">
        <w:rPr>
          <w:rFonts w:eastAsiaTheme="minorEastAsia"/>
          <w:sz w:val="22"/>
          <w:szCs w:val="22"/>
        </w:rPr>
        <w:t>UPB – Paderborn University, Germany</w:t>
      </w:r>
    </w:p>
    <w:p w14:paraId="2B7C15D1" w14:textId="77777777" w:rsidR="007B2047" w:rsidRPr="00DA2128" w:rsidRDefault="007B2047" w:rsidP="00027F5B">
      <w:pPr>
        <w:pStyle w:val="ListParagraph"/>
        <w:numPr>
          <w:ilvl w:val="0"/>
          <w:numId w:val="1"/>
        </w:numPr>
        <w:spacing w:line="240" w:lineRule="auto"/>
        <w:rPr>
          <w:rFonts w:eastAsiaTheme="minorEastAsia"/>
          <w:sz w:val="22"/>
          <w:szCs w:val="22"/>
        </w:rPr>
      </w:pPr>
      <w:r w:rsidRPr="00DA2128">
        <w:rPr>
          <w:rFonts w:eastAsiaTheme="minorEastAsia"/>
          <w:sz w:val="22"/>
          <w:szCs w:val="22"/>
        </w:rPr>
        <w:t>VUAS – Ventspils University of Applied Sciences, Latvia</w:t>
      </w:r>
    </w:p>
    <w:p w14:paraId="525DB370" w14:textId="77777777" w:rsidR="007B2047" w:rsidRPr="00DA2128" w:rsidRDefault="007B2047" w:rsidP="00A937C6">
      <w:pPr>
        <w:spacing w:line="240" w:lineRule="auto"/>
        <w:rPr>
          <w:rFonts w:eastAsiaTheme="minorEastAsia"/>
          <w:sz w:val="22"/>
          <w:szCs w:val="22"/>
        </w:rPr>
      </w:pPr>
      <w:r w:rsidRPr="00DA2128">
        <w:rPr>
          <w:rFonts w:eastAsiaTheme="minorEastAsia"/>
          <w:sz w:val="22"/>
          <w:szCs w:val="22"/>
        </w:rPr>
        <w:t>The acronyms of the universities will be used frequently throughout the report.</w:t>
      </w:r>
    </w:p>
    <w:p w14:paraId="6FB9B896" w14:textId="77777777" w:rsidR="007B2047" w:rsidRPr="00DA2128" w:rsidRDefault="007B2047" w:rsidP="00A937C6">
      <w:pPr>
        <w:spacing w:before="240" w:after="240" w:line="240" w:lineRule="auto"/>
        <w:rPr>
          <w:rFonts w:eastAsiaTheme="minorEastAsia"/>
          <w:sz w:val="22"/>
          <w:szCs w:val="22"/>
        </w:rPr>
      </w:pPr>
      <w:r w:rsidRPr="00DA2128">
        <w:rPr>
          <w:rFonts w:eastAsiaTheme="minorEastAsia"/>
          <w:sz w:val="22"/>
          <w:szCs w:val="22"/>
        </w:rPr>
        <w:t>All institutions contributed to each phase of the process, ensuring a representative and comprehensive dataset grounded in the lived institutional realities of the alliance members. The coordination of EDI Officers was instrumental in enabling wide staff participation, thereby ensuring that the resulting concepts are rooted in the perspectives of those directly engaged in the academic environment.</w:t>
      </w:r>
    </w:p>
    <w:p w14:paraId="42EB37B8" w14:textId="77777777" w:rsidR="007B2047" w:rsidRPr="00DA2128" w:rsidRDefault="007B2047" w:rsidP="00A937C6">
      <w:pPr>
        <w:spacing w:before="240" w:after="240" w:line="240" w:lineRule="auto"/>
        <w:rPr>
          <w:rFonts w:eastAsiaTheme="minorEastAsia"/>
          <w:sz w:val="22"/>
          <w:szCs w:val="22"/>
        </w:rPr>
      </w:pPr>
      <w:r w:rsidRPr="00DA2128">
        <w:rPr>
          <w:rFonts w:eastAsiaTheme="minorEastAsia"/>
          <w:sz w:val="22"/>
          <w:szCs w:val="22"/>
        </w:rPr>
        <w:t>Through this methodology, the GCM process laid the groundwork for a collective knowledge base and fostered a shared understanding of EDI priorities across institutional and national boundaries.</w:t>
      </w:r>
    </w:p>
    <w:p w14:paraId="54C576F8" w14:textId="77777777" w:rsidR="007B2047" w:rsidRPr="00DA2128" w:rsidRDefault="007B2047" w:rsidP="00A937C6">
      <w:pPr>
        <w:pStyle w:val="Sub-subheading"/>
        <w:spacing w:line="240" w:lineRule="auto"/>
      </w:pPr>
      <w:r w:rsidRPr="00DA2128">
        <w:t>Procedure</w:t>
      </w:r>
    </w:p>
    <w:p w14:paraId="3671DBDD" w14:textId="77777777" w:rsidR="007B2047" w:rsidRPr="00DA2128" w:rsidRDefault="007B2047" w:rsidP="00A937C6">
      <w:pPr>
        <w:spacing w:line="240" w:lineRule="auto"/>
        <w:rPr>
          <w:rFonts w:eastAsiaTheme="minorEastAsia"/>
          <w:sz w:val="22"/>
          <w:szCs w:val="22"/>
        </w:rPr>
      </w:pPr>
      <w:r w:rsidRPr="00DA2128">
        <w:rPr>
          <w:rFonts w:eastAsiaTheme="minorEastAsia"/>
          <w:sz w:val="22"/>
          <w:szCs w:val="22"/>
        </w:rPr>
        <w:lastRenderedPageBreak/>
        <w:t>In the first planning phase, the focus prompt “One important thing to improve Equity, Diversity, and Inclusion (EDI) at my university is to…” was constructed.   This open-ended prompt was distributed across all nine institutions, allowing university staff members from various sectors to submit their individual ideas.</w:t>
      </w:r>
    </w:p>
    <w:p w14:paraId="490C89F9" w14:textId="77777777" w:rsidR="007B2047" w:rsidRPr="00DA2128" w:rsidRDefault="007B2047" w:rsidP="00A937C6">
      <w:pPr>
        <w:spacing w:line="240" w:lineRule="auto"/>
        <w:rPr>
          <w:rFonts w:eastAsiaTheme="minorEastAsia"/>
          <w:sz w:val="22"/>
          <w:szCs w:val="22"/>
        </w:rPr>
      </w:pPr>
      <w:r w:rsidRPr="00DA2128">
        <w:rPr>
          <w:rFonts w:eastAsiaTheme="minorEastAsia"/>
          <w:sz w:val="22"/>
          <w:szCs w:val="22"/>
        </w:rPr>
        <w:t xml:space="preserve">The participants from the nine universities took part in brainstorming, where they generated statements to the focus prompt. Brainstorming was conducted individually, and in all, 329 statements were generated. </w:t>
      </w:r>
    </w:p>
    <w:p w14:paraId="0115E363" w14:textId="77777777" w:rsidR="007B2047" w:rsidRPr="00DA2128" w:rsidRDefault="007B2047" w:rsidP="00A937C6">
      <w:pPr>
        <w:spacing w:line="240" w:lineRule="auto"/>
        <w:rPr>
          <w:rFonts w:eastAsiaTheme="minorEastAsia"/>
          <w:sz w:val="22"/>
          <w:szCs w:val="22"/>
        </w:rPr>
      </w:pPr>
      <w:r w:rsidRPr="00DA2128">
        <w:rPr>
          <w:rFonts w:eastAsiaTheme="minorEastAsia"/>
          <w:sz w:val="22"/>
          <w:szCs w:val="22"/>
        </w:rPr>
        <w:t xml:space="preserve">In the second planning phase, the 329 statements were reviewed and synthesised. This synthesis phase eliminated redundancies while preserving the conceptual richness of the original input and resulted in 79 statements. These statements were entered in the Concept System® groupwisdom™, and two rating questions were established. </w:t>
      </w:r>
    </w:p>
    <w:p w14:paraId="3FC0FCD8" w14:textId="77777777" w:rsidR="007B2047" w:rsidRPr="00DA2128" w:rsidRDefault="007B2047" w:rsidP="00A937C6">
      <w:pPr>
        <w:spacing w:line="240" w:lineRule="auto"/>
        <w:rPr>
          <w:sz w:val="22"/>
          <w:szCs w:val="22"/>
        </w:rPr>
      </w:pPr>
      <w:r w:rsidRPr="00DA2128">
        <w:rPr>
          <w:sz w:val="22"/>
          <w:szCs w:val="22"/>
        </w:rPr>
        <w:t>In the</w:t>
      </w:r>
      <w:r w:rsidRPr="00DA2128">
        <w:rPr>
          <w:i/>
          <w:iCs/>
          <w:sz w:val="22"/>
          <w:szCs w:val="22"/>
        </w:rPr>
        <w:t xml:space="preserve"> organizing phase, </w:t>
      </w:r>
      <w:r w:rsidRPr="00DA2128">
        <w:rPr>
          <w:sz w:val="22"/>
          <w:szCs w:val="22"/>
        </w:rPr>
        <w:t>21 participants from the Colours alliance who are included in Work Package 5 were invited to sort the statements using the web-based Concept System® groupwisdom™. They were instructed to sort the statements into groups according to how they perceived them to relate to each other and label each group according to its content. Hence, each participant conducted a qualitative sorting of the statements' content. This process aimed to capture each participant's subjective understanding of the relationships between different statements and their overall content.</w:t>
      </w:r>
    </w:p>
    <w:p w14:paraId="69B0C6EE" w14:textId="77777777" w:rsidR="007B2047" w:rsidRPr="00DA2128" w:rsidRDefault="007B2047" w:rsidP="00A937C6">
      <w:pPr>
        <w:spacing w:line="240" w:lineRule="auto"/>
        <w:rPr>
          <w:sz w:val="22"/>
          <w:szCs w:val="22"/>
        </w:rPr>
      </w:pPr>
      <w:r w:rsidRPr="00DA2128">
        <w:rPr>
          <w:sz w:val="22"/>
          <w:szCs w:val="22"/>
        </w:rPr>
        <w:t xml:space="preserve">Participants (n=348) from all nine universities rated the statement in terms of importance and feasibility. They were asked to rate the statements according to two separate four-point Likert scales. When rating the statements, they were instructed to compare their rating of the statement in relation to their rating of all the other statements. Importance was rated using the scale 1 = relatively important, 2 = somewhat important, 3 = very important, and 4 = extremely important. Feasibility was rated using the scale 1 = relatively feasible, 2 = somewhat feasible, 3 = very feasible and 4 = extremely feasible. </w:t>
      </w:r>
    </w:p>
    <w:p w14:paraId="3DCC834F" w14:textId="77777777" w:rsidR="007B2047" w:rsidRPr="00DA2128" w:rsidRDefault="007B2047" w:rsidP="00A937C6">
      <w:pPr>
        <w:spacing w:line="240" w:lineRule="auto"/>
        <w:rPr>
          <w:rFonts w:eastAsia="Times New Roman" w:cs="Times New Roman"/>
          <w:sz w:val="22"/>
          <w:szCs w:val="22"/>
        </w:rPr>
      </w:pPr>
      <w:r w:rsidRPr="00DA2128">
        <w:rPr>
          <w:sz w:val="22"/>
          <w:szCs w:val="22"/>
        </w:rPr>
        <w:t>Then, quantitative</w:t>
      </w:r>
      <w:r w:rsidRPr="00DA2128">
        <w:rPr>
          <w:i/>
          <w:iCs/>
          <w:sz w:val="22"/>
          <w:szCs w:val="22"/>
        </w:rPr>
        <w:t xml:space="preserve"> analysis </w:t>
      </w:r>
      <w:r w:rsidRPr="00DA2128">
        <w:rPr>
          <w:sz w:val="22"/>
          <w:szCs w:val="22"/>
        </w:rPr>
        <w:t xml:space="preserve">was conducted of each participant's sorting and rating of the statements. </w:t>
      </w:r>
      <w:r w:rsidRPr="00DA2128">
        <w:rPr>
          <w:rFonts w:eastAsia="Times New Roman" w:cs="Times New Roman"/>
          <w:sz w:val="22"/>
          <w:szCs w:val="22"/>
        </w:rPr>
        <w:t xml:space="preserve">First, a similarity map was calculated, and then multi-dimensional scaling (MDS) analysis was conducted to create a two-dimensional point map where all statement was placed on the map. Each point indicates a statement, and the more frequently they have been sorted together by the participants, the closer to each other they will appear on the map. The fit between the similarity matrix and the point map is indicated by a stress value. The lower the value, the better the fit. The stress value in GCM studies often lies between 0.10 and 0.35 </w:t>
      </w:r>
      <w:r w:rsidRPr="00DA2128">
        <w:rPr>
          <w:rFonts w:eastAsia="Times New Roman" w:cs="Times New Roman"/>
          <w:sz w:val="22"/>
          <w:szCs w:val="22"/>
        </w:rPr>
        <w:fldChar w:fldCharType="begin"/>
      </w:r>
      <w:r w:rsidRPr="00DA2128">
        <w:rPr>
          <w:rFonts w:eastAsia="Times New Roman" w:cs="Times New Roman"/>
          <w:sz w:val="22"/>
          <w:szCs w:val="22"/>
        </w:rPr>
        <w:instrText xml:space="preserve"> ADDIN EN.CITE &lt;EndNote&gt;&lt;Cite&gt;&lt;Author&gt;Rosas&lt;/Author&gt;&lt;Year&gt;2012&lt;/Year&gt;&lt;RecNum&gt;13&lt;/RecNum&gt;&lt;DisplayText&gt;(Rosas and Kane, 2012)&lt;/DisplayText&gt;&lt;record&gt;&lt;rec-number&gt;13&lt;/rec-number&gt;&lt;foreign-keys&gt;&lt;key app="EN" db-id="w5z92zfriwv5t8edadtv0vs0vvv0saedda9w" timestamp="1750921872"&gt;13&lt;/key&gt;&lt;/foreign-keys&gt;&lt;ref-type name="Journal Article"&gt;17&lt;/ref-type&gt;&lt;contributors&gt;&lt;authors&gt;&lt;author&gt;Rosas, Scott R&lt;/author&gt;&lt;author&gt;Kane, Mary&lt;/author&gt;&lt;/authors&gt;&lt;/contributors&gt;&lt;titles&gt;&lt;title&gt;Quality and rigor of the concept mapping methodology: a pooled study analysis&lt;/title&gt;&lt;secondary-title&gt;Evaluation and program planning&lt;/secondary-title&gt;&lt;/titles&gt;&lt;periodical&gt;&lt;full-title&gt;Evaluation and program planning&lt;/full-title&gt;&lt;/periodical&gt;&lt;pages&gt;236-245&lt;/pages&gt;&lt;volume&gt;35&lt;/volume&gt;&lt;number&gt;2&lt;/number&gt;&lt;dates&gt;&lt;year&gt;2012&lt;/year&gt;&lt;/dates&gt;&lt;isbn&gt;0149-7189&lt;/isbn&gt;&lt;urls&gt;&lt;/urls&gt;&lt;/record&gt;&lt;/Cite&gt;&lt;/EndNote&gt;</w:instrText>
      </w:r>
      <w:r w:rsidRPr="00DA2128">
        <w:rPr>
          <w:rFonts w:eastAsia="Times New Roman" w:cs="Times New Roman"/>
          <w:sz w:val="22"/>
          <w:szCs w:val="22"/>
        </w:rPr>
        <w:fldChar w:fldCharType="separate"/>
      </w:r>
      <w:r w:rsidRPr="00DA2128">
        <w:rPr>
          <w:rFonts w:eastAsia="Times New Roman" w:cs="Times New Roman"/>
          <w:sz w:val="22"/>
          <w:szCs w:val="22"/>
        </w:rPr>
        <w:t>(Rosas and Kane, 2012)</w:t>
      </w:r>
      <w:r w:rsidRPr="00DA2128">
        <w:rPr>
          <w:rFonts w:eastAsia="Times New Roman" w:cs="Times New Roman"/>
          <w:sz w:val="22"/>
          <w:szCs w:val="22"/>
        </w:rPr>
        <w:fldChar w:fldCharType="end"/>
      </w:r>
      <w:r w:rsidRPr="00DA2128">
        <w:rPr>
          <w:rFonts w:eastAsia="Times New Roman" w:cs="Times New Roman"/>
          <w:sz w:val="22"/>
          <w:szCs w:val="22"/>
        </w:rPr>
        <w:t xml:space="preserve">. </w:t>
      </w:r>
      <w:r w:rsidRPr="00DA2128">
        <w:rPr>
          <w:rFonts w:eastAsia="Times New Roman"/>
          <w:sz w:val="22"/>
          <w:szCs w:val="22"/>
        </w:rPr>
        <w:t xml:space="preserve">The way the participants sorted the statements, hence how they perceived the relationships between them, is of particular interest. The aggregated sorting across all participants was calculated and is represented as the Bridging Value (BV). </w:t>
      </w:r>
      <w:r w:rsidRPr="00DA2128">
        <w:rPr>
          <w:rFonts w:eastAsia="Times New Roman" w:cs="Times New Roman"/>
          <w:sz w:val="22"/>
          <w:szCs w:val="22"/>
        </w:rPr>
        <w:t>A statement’s BV ranges from 0 to 1 and is used to understand how a statement relates to other parts of the map. A low BV (close to 0) means the statement has mostly been grouped by the participants with nearby statements, suggesting it plays a central role in defining that area of the map. These statements help conceptually "anchor" the cluster they belong to. In contrast, a high BV (close to 1) indicates that the statement has often been grouped by the participants with other statements that are more spread out across the map, suggesting it serves as a link between different areas. </w:t>
      </w:r>
    </w:p>
    <w:p w14:paraId="69D64849" w14:textId="77777777" w:rsidR="007B2047" w:rsidRPr="00DA2128" w:rsidRDefault="007B2047" w:rsidP="00A937C6">
      <w:pPr>
        <w:spacing w:line="240" w:lineRule="auto"/>
        <w:rPr>
          <w:rFonts w:eastAsia="Times New Roman" w:cs="Times New Roman"/>
          <w:sz w:val="22"/>
          <w:szCs w:val="22"/>
        </w:rPr>
      </w:pPr>
      <w:r w:rsidRPr="00DA2128">
        <w:rPr>
          <w:rFonts w:eastAsia="Times New Roman" w:cs="Times New Roman"/>
          <w:sz w:val="22"/>
          <w:szCs w:val="22"/>
        </w:rPr>
        <w:t xml:space="preserve">The BV for a cluster was calculated as the average BV of all the statements within it. A high cluster BV suggests the cluster is more diverse or conceptually mixed (heterogeneous), while a low cluster BV indicates greater consistency among the statements (homogeneous). Graphically, the BV of a cluster is shown through the layering within the cluster. </w:t>
      </w:r>
    </w:p>
    <w:p w14:paraId="5CA00983" w14:textId="77777777" w:rsidR="007B2047" w:rsidRPr="00DA2128" w:rsidRDefault="007B2047" w:rsidP="00A937C6">
      <w:pPr>
        <w:spacing w:line="240" w:lineRule="auto"/>
        <w:rPr>
          <w:rFonts w:eastAsia="Times New Roman" w:cs="Times New Roman"/>
          <w:sz w:val="22"/>
          <w:szCs w:val="22"/>
        </w:rPr>
      </w:pPr>
      <w:r w:rsidRPr="00DA2128">
        <w:rPr>
          <w:rFonts w:eastAsia="Times New Roman" w:cs="Times New Roman"/>
          <w:sz w:val="22"/>
          <w:szCs w:val="22"/>
        </w:rPr>
        <w:t xml:space="preserve">Second, a hierarchical cluster analysis was done, resulting in a cluster map. The cluster's labels explain the content of the cluster and were formed by looking at the participants' suggestions of labels, the statements in the cluster, and the anchor statement. </w:t>
      </w:r>
    </w:p>
    <w:p w14:paraId="0299BD23" w14:textId="77777777" w:rsidR="007B2047" w:rsidRPr="00DA2128" w:rsidRDefault="007B2047" w:rsidP="00A937C6">
      <w:pPr>
        <w:spacing w:line="240" w:lineRule="auto"/>
        <w:rPr>
          <w:rFonts w:eastAsia="Times New Roman" w:cs="Times New Roman"/>
          <w:sz w:val="22"/>
          <w:szCs w:val="22"/>
        </w:rPr>
      </w:pPr>
      <w:r w:rsidRPr="00DA2128">
        <w:rPr>
          <w:rFonts w:eastAsia="Times New Roman" w:cs="Times New Roman"/>
          <w:sz w:val="22"/>
          <w:szCs w:val="22"/>
        </w:rPr>
        <w:t xml:space="preserve">Third, the rating of the statements was analysed by calculating the average rating by each university and illustrating the average rating in a bivariate scatterplot, a so-called Go-Zone map. </w:t>
      </w:r>
      <w:r w:rsidRPr="00DA2128">
        <w:rPr>
          <w:rFonts w:eastAsia="Times New Roman" w:cs="Times New Roman"/>
          <w:sz w:val="22"/>
          <w:szCs w:val="22"/>
        </w:rPr>
        <w:lastRenderedPageBreak/>
        <w:t xml:space="preserve">These maps present the average scores for each statement and emphasize both the differences and similarities, and are useful for further interpretation and implementation. The go-zone maps are divided into four quadrants based on the mean ratings of all statements. Since the analysis of the ratings was conducted for each university, the mean rating and the four quadrants differ between the ratings from the nine universities. The point for each statement is represented by the colours of its belonging cluster. Statements in the upper-right quadrant, the go-zone, are rated high in terms of importance and feasibility. The lower-left quadrant, referred to as the "o-zone", contains statements that were rated low in terms of importance and feasibility. The upper-left quadrant includes statements that were rated high in terms of importance and low in terms of feasibility. Statements in the lower-right quadrant were rated low in terms of importance and high in terms of feasibility. </w:t>
      </w:r>
    </w:p>
    <w:p w14:paraId="5EF99352" w14:textId="77777777" w:rsidR="007B2047" w:rsidRPr="00DA2128" w:rsidRDefault="007B2047" w:rsidP="00A937C6">
      <w:pPr>
        <w:spacing w:line="240" w:lineRule="auto"/>
        <w:rPr>
          <w:rFonts w:eastAsia="Times New Roman" w:cs="Times New Roman"/>
          <w:sz w:val="22"/>
          <w:szCs w:val="22"/>
        </w:rPr>
      </w:pPr>
      <w:r w:rsidRPr="00DA2128">
        <w:rPr>
          <w:rFonts w:eastAsia="Times New Roman" w:cs="Times New Roman"/>
          <w:sz w:val="22"/>
          <w:szCs w:val="22"/>
        </w:rPr>
        <w:t xml:space="preserve">Lastly, the average rating of the statements in each cluster, both in terms of importance and feasibility, was calculated to illustrate the cluster's average rating, which is demonstrated in a so-called pattern match. This was calculated for each university, and a minimum and maximum were set to enable comparison. Both the Go-zone map and the Pattern match are useful in exploring differences and similarities between the two ratings. </w:t>
      </w:r>
    </w:p>
    <w:p w14:paraId="2795A60E" w14:textId="77777777" w:rsidR="007B2047" w:rsidRPr="00DA2128" w:rsidRDefault="007B2047" w:rsidP="00A937C6">
      <w:pPr>
        <w:spacing w:line="240" w:lineRule="auto"/>
      </w:pPr>
      <w:r w:rsidRPr="00DA2128">
        <w:rPr>
          <w:sz w:val="22"/>
          <w:szCs w:val="22"/>
        </w:rPr>
        <w:t xml:space="preserve">The method provides illustrative maps for </w:t>
      </w:r>
      <w:r w:rsidRPr="00DA2128">
        <w:rPr>
          <w:i/>
          <w:iCs/>
          <w:sz w:val="22"/>
          <w:szCs w:val="22"/>
        </w:rPr>
        <w:t>interpretation and use</w:t>
      </w:r>
      <w:r w:rsidRPr="00DA2128">
        <w:rPr>
          <w:sz w:val="22"/>
          <w:szCs w:val="22"/>
        </w:rPr>
        <w:t xml:space="preserve"> in practical application and may be used for guidance in the implementation of EDI strategies</w:t>
      </w:r>
      <w:r w:rsidRPr="00DA2128">
        <w:t xml:space="preserve">. </w:t>
      </w:r>
    </w:p>
    <w:p w14:paraId="42F6F1D9" w14:textId="77777777" w:rsidR="000A5E27" w:rsidRPr="00DA2128" w:rsidRDefault="000A5E27" w:rsidP="00A937C6">
      <w:pPr>
        <w:spacing w:line="240" w:lineRule="auto"/>
        <w:rPr>
          <w:rFonts w:eastAsiaTheme="minorEastAsia"/>
        </w:rPr>
      </w:pPr>
    </w:p>
    <w:p w14:paraId="38E3FE29" w14:textId="77777777" w:rsidR="00A02D69" w:rsidRPr="00DA2128" w:rsidRDefault="00A02D69" w:rsidP="00A937C6">
      <w:pPr>
        <w:pStyle w:val="Subtitle"/>
        <w:spacing w:line="240" w:lineRule="auto"/>
        <w:rPr>
          <w:noProof w:val="0"/>
        </w:rPr>
      </w:pPr>
      <w:r w:rsidRPr="00DA2128">
        <w:rPr>
          <w:noProof w:val="0"/>
        </w:rPr>
        <w:t>Result</w:t>
      </w:r>
    </w:p>
    <w:p w14:paraId="1D9A3334" w14:textId="77777777" w:rsidR="00A02D69" w:rsidRPr="00DA2128" w:rsidRDefault="00A02D69" w:rsidP="00A937C6">
      <w:pPr>
        <w:spacing w:line="240" w:lineRule="auto"/>
        <w:rPr>
          <w:sz w:val="22"/>
          <w:szCs w:val="22"/>
        </w:rPr>
      </w:pPr>
      <w:r w:rsidRPr="00DA2128">
        <w:rPr>
          <w:sz w:val="22"/>
          <w:szCs w:val="22"/>
        </w:rPr>
        <w:t xml:space="preserve">The collection of statements through brainstorming with all nine universities resulted in 329 statements, which were synthesised into 79 statements. Table 1 shows each cluster and its associated statement, as well as the clusters and statements bridging values. The sorting is illustrated in a point cluster map, see Figure 1. </w:t>
      </w:r>
    </w:p>
    <w:p w14:paraId="3FAB103B" w14:textId="77777777" w:rsidR="00A02D69" w:rsidRPr="00DA2128" w:rsidRDefault="00A02D69" w:rsidP="00A937C6">
      <w:pPr>
        <w:spacing w:line="240" w:lineRule="auto"/>
        <w:rPr>
          <w:sz w:val="22"/>
          <w:szCs w:val="22"/>
        </w:rPr>
      </w:pPr>
      <w:r w:rsidRPr="00DA2128">
        <w:rPr>
          <w:sz w:val="22"/>
          <w:szCs w:val="22"/>
        </w:rPr>
        <w:t xml:space="preserve">The multi-dimensional scaling analysis resulted in a stress value of 0.25, indicating a good fit between the similarity matrix and the point map. </w:t>
      </w:r>
    </w:p>
    <w:p w14:paraId="209A8612" w14:textId="77777777" w:rsidR="00A02D69" w:rsidRPr="00DA2128" w:rsidRDefault="00A02D69" w:rsidP="00A937C6">
      <w:pPr>
        <w:spacing w:line="240" w:lineRule="auto"/>
        <w:rPr>
          <w:sz w:val="22"/>
          <w:szCs w:val="22"/>
        </w:rPr>
      </w:pPr>
      <w:r w:rsidRPr="00DA2128">
        <w:rPr>
          <w:sz w:val="22"/>
          <w:szCs w:val="22"/>
        </w:rPr>
        <w:t>The clusters illustrate conceptual areas related to the focus prompt, which focused on what was important to improve EDI at the university. The clusters are as follows; Cluster 1: Providing training and education; Cluster 2: Facilitating events, activities and community engagement; Cluster 3: Promoting inclusive collaboration; Cluster 4: Fostering a supportive and inclusive environment and culture; Cluster 5: Ensuring equity in leadership and decision-making processes in academia; Cluster 6: Advancing policy, implementation, and evaluation (Figure 1).  The layers of the clusters in Figure 1 illustrate the BV of each cluster; the higher the BV, the more layers.</w:t>
      </w:r>
    </w:p>
    <w:p w14:paraId="631623D3" w14:textId="77777777" w:rsidR="00A02D69" w:rsidRPr="00DA2128" w:rsidRDefault="00A02D69" w:rsidP="00A937C6">
      <w:pPr>
        <w:spacing w:line="240" w:lineRule="auto"/>
        <w:rPr>
          <w:sz w:val="22"/>
          <w:szCs w:val="22"/>
        </w:rPr>
      </w:pPr>
    </w:p>
    <w:p w14:paraId="636933D6" w14:textId="77777777" w:rsidR="00A02D69" w:rsidRPr="00DA2128" w:rsidRDefault="00A02D69" w:rsidP="00A937C6">
      <w:pPr>
        <w:spacing w:line="240" w:lineRule="auto"/>
        <w:rPr>
          <w:sz w:val="22"/>
          <w:szCs w:val="22"/>
        </w:rPr>
      </w:pPr>
      <w:r w:rsidRPr="00DA2128">
        <w:rPr>
          <w:b/>
          <w:bCs/>
          <w:sz w:val="22"/>
          <w:szCs w:val="22"/>
        </w:rPr>
        <w:t>Cluster 1:</w:t>
      </w:r>
      <w:r w:rsidRPr="00DA2128">
        <w:rPr>
          <w:sz w:val="22"/>
          <w:szCs w:val="22"/>
        </w:rPr>
        <w:t xml:space="preserve"> Providing training and education has a low BV (0,27), indicating a homogeneous cluster. Statement 72, “Create EDI training programs for all staff to ensure understanding of key concepts like gender studies, intersectionality, and equity” has the lowest BV (0,08) and is the anchor of the cluster.  </w:t>
      </w:r>
    </w:p>
    <w:p w14:paraId="55F67EF2" w14:textId="77777777" w:rsidR="00A02D69" w:rsidRPr="00DA2128" w:rsidRDefault="00A02D69" w:rsidP="00A937C6">
      <w:pPr>
        <w:spacing w:line="240" w:lineRule="auto"/>
        <w:rPr>
          <w:sz w:val="22"/>
          <w:szCs w:val="22"/>
        </w:rPr>
      </w:pPr>
      <w:r w:rsidRPr="00DA2128">
        <w:rPr>
          <w:sz w:val="22"/>
          <w:szCs w:val="22"/>
        </w:rPr>
        <w:t xml:space="preserve">The cluster illustrates the need to raise awareness and understanding of EDI through training and education to improve equity, diversity, and inclusion at the universities and suggests training and education for students, teachers, and leaders. Different methods for training and education are suggested, including integrating EDI principles into the curriculum and teaching practices, offering micro-credential courses on EDI, hosting workshops and training sessions, and implementing a train-the-trainer system. EDI must be embedded in education, such as the curriculum and teaching practices, and incorporated into communication where an inclusive, gender-sensitive language is used. </w:t>
      </w:r>
    </w:p>
    <w:p w14:paraId="6C70DA76" w14:textId="77777777" w:rsidR="00A02D69" w:rsidRPr="00DA2128" w:rsidRDefault="00A02D69" w:rsidP="00A937C6">
      <w:pPr>
        <w:spacing w:line="240" w:lineRule="auto"/>
        <w:rPr>
          <w:sz w:val="22"/>
          <w:szCs w:val="22"/>
        </w:rPr>
      </w:pPr>
    </w:p>
    <w:p w14:paraId="4079C4D2" w14:textId="77777777" w:rsidR="00A02D69" w:rsidRPr="00DA2128" w:rsidRDefault="00A02D69" w:rsidP="00A937C6">
      <w:pPr>
        <w:spacing w:line="240" w:lineRule="auto"/>
        <w:rPr>
          <w:sz w:val="22"/>
          <w:szCs w:val="22"/>
        </w:rPr>
      </w:pPr>
      <w:r w:rsidRPr="00DA2128">
        <w:rPr>
          <w:b/>
          <w:bCs/>
          <w:sz w:val="22"/>
          <w:szCs w:val="22"/>
        </w:rPr>
        <w:t>Cluster 2:</w:t>
      </w:r>
      <w:r w:rsidRPr="00DA2128">
        <w:rPr>
          <w:sz w:val="22"/>
          <w:szCs w:val="22"/>
        </w:rPr>
        <w:t xml:space="preserve"> Facilitating events, activities, and community engagement is the cluster with the lowest BV (0.18), hence, it is the most homogeneous cluster. The anchor statement is number 27, “Organise accessible EDI-related events by offering hybrid formats suitable timings and translations ensuring inclusivity for all participants” with a BV at 0. </w:t>
      </w:r>
    </w:p>
    <w:p w14:paraId="1A80921F" w14:textId="77777777" w:rsidR="00A02D69" w:rsidRPr="00DA2128" w:rsidRDefault="00A02D69" w:rsidP="00A937C6">
      <w:pPr>
        <w:spacing w:line="240" w:lineRule="auto"/>
        <w:rPr>
          <w:sz w:val="22"/>
          <w:szCs w:val="22"/>
        </w:rPr>
      </w:pPr>
      <w:r w:rsidRPr="00DA2128">
        <w:rPr>
          <w:sz w:val="22"/>
          <w:szCs w:val="22"/>
        </w:rPr>
        <w:t xml:space="preserve">The cluster highlights the need to organise events, activities, and engagement that focus on equity, diversity, and inclusion at universities, deepening engagement with EDI principles and ensuring broad, inclusive participation across and beyond the university. Such as forum awareness days, inspirational lectures and testimonials, as EDI week or diversity month. Engagement in a wider perspective is suggested by raising awareness of EDI beyond the university by organising events that involve not only students and faculty but also the wider community. Dialog between departments, international collaboration, as well as activities and training for local municipalities and other stakeholders, are proposed.    </w:t>
      </w:r>
    </w:p>
    <w:p w14:paraId="51725CF8" w14:textId="77777777" w:rsidR="00A02D69" w:rsidRPr="00DA2128" w:rsidRDefault="00A02D69" w:rsidP="00A937C6">
      <w:pPr>
        <w:spacing w:line="240" w:lineRule="auto"/>
        <w:rPr>
          <w:sz w:val="22"/>
          <w:szCs w:val="22"/>
        </w:rPr>
      </w:pPr>
    </w:p>
    <w:p w14:paraId="2B65684B" w14:textId="77777777" w:rsidR="00A02D69" w:rsidRPr="00DA2128" w:rsidRDefault="00A02D69" w:rsidP="00A937C6">
      <w:pPr>
        <w:spacing w:line="240" w:lineRule="auto"/>
        <w:rPr>
          <w:sz w:val="22"/>
          <w:szCs w:val="22"/>
        </w:rPr>
      </w:pPr>
      <w:r w:rsidRPr="00DA2128">
        <w:rPr>
          <w:b/>
          <w:bCs/>
          <w:sz w:val="22"/>
          <w:szCs w:val="22"/>
        </w:rPr>
        <w:t>Cluster 3:</w:t>
      </w:r>
      <w:r w:rsidRPr="00DA2128">
        <w:rPr>
          <w:sz w:val="22"/>
          <w:szCs w:val="22"/>
        </w:rPr>
        <w:t xml:space="preserve"> Promoting inclusive collaboration is the cluster with the highest BV (0.61), hence the most heterogeneous cluster. Statement 14, “Increase community engagement on EDI by fostering collaborations with local organizations, NGOs, businesses, and external partners and creating opportunities for students and faculty to work together on shared societal issues” is the anchor statement with a BV on 0.35. The statement with the highest BV (0.91) in the cluster is statement 16, “Treat everyone with kindness and respect, valuing individuals for who they are” indicating it is highly related to other areas on the map. </w:t>
      </w:r>
    </w:p>
    <w:p w14:paraId="6C5EC2AF" w14:textId="77777777" w:rsidR="00A02D69" w:rsidRPr="00DA2128" w:rsidRDefault="00A02D69" w:rsidP="00A937C6">
      <w:pPr>
        <w:spacing w:line="240" w:lineRule="auto"/>
        <w:rPr>
          <w:sz w:val="22"/>
          <w:szCs w:val="22"/>
        </w:rPr>
      </w:pPr>
      <w:r w:rsidRPr="00DA2128">
        <w:rPr>
          <w:sz w:val="22"/>
          <w:szCs w:val="22"/>
        </w:rPr>
        <w:t xml:space="preserve">The cluster illustrates the need to promote collaboration by fostering the positive effects of diversity, emphasising how diversity enriches work dynamics, fosters collaboration, and enhances creativity. Cultivate a culture of respect and kindness by treating everyone with dignity and appreciating individuals for who they are. Also, the need to integrate EDI into everyday practices by fostering discussions on EDI and incorporating inclusive practices in everyday activities, as well as language accessibility by offering more activities in English, are highlighted. </w:t>
      </w:r>
    </w:p>
    <w:p w14:paraId="0A5FB1AF" w14:textId="77777777" w:rsidR="00A02D69" w:rsidRPr="00DA2128" w:rsidRDefault="00A02D69" w:rsidP="00A937C6">
      <w:pPr>
        <w:spacing w:line="240" w:lineRule="auto"/>
        <w:rPr>
          <w:sz w:val="22"/>
          <w:szCs w:val="22"/>
        </w:rPr>
      </w:pPr>
    </w:p>
    <w:p w14:paraId="14302EAA" w14:textId="77777777" w:rsidR="00A02D69" w:rsidRPr="00DA2128" w:rsidRDefault="00A02D69" w:rsidP="00A937C6">
      <w:pPr>
        <w:spacing w:line="240" w:lineRule="auto"/>
        <w:rPr>
          <w:sz w:val="22"/>
          <w:szCs w:val="22"/>
        </w:rPr>
      </w:pPr>
      <w:r w:rsidRPr="00DA2128">
        <w:rPr>
          <w:b/>
          <w:bCs/>
          <w:sz w:val="22"/>
          <w:szCs w:val="22"/>
        </w:rPr>
        <w:t>Cluster 4:</w:t>
      </w:r>
      <w:r w:rsidRPr="00DA2128">
        <w:rPr>
          <w:sz w:val="22"/>
          <w:szCs w:val="22"/>
        </w:rPr>
        <w:t xml:space="preserve"> Fostering a supportive and inclusive environment and culture has a BV at 0.52, indicating that it is a quite heterogeneous cluster. Statement 17, “Foster a culture of inclusion in higher education where all students and staff feel valued, supported and encouraged,” is the anchor statement with a BV on 0.17. </w:t>
      </w:r>
    </w:p>
    <w:p w14:paraId="177AEA0E" w14:textId="77777777" w:rsidR="00A02D69" w:rsidRPr="00DA2128" w:rsidRDefault="00A02D69" w:rsidP="00A937C6">
      <w:pPr>
        <w:spacing w:line="240" w:lineRule="auto"/>
        <w:rPr>
          <w:sz w:val="22"/>
          <w:szCs w:val="22"/>
        </w:rPr>
      </w:pPr>
      <w:r w:rsidRPr="00DA2128">
        <w:rPr>
          <w:sz w:val="22"/>
          <w:szCs w:val="22"/>
        </w:rPr>
        <w:t xml:space="preserve">The cluster highlights that to improve EDI, a supportive and inclusive environment and culture are needed. EDI may be improved by building a genuinely inclusive university environment that removes barriers, offers tailored support, and celebrates diversity in all its forms. Welcoming, safe, and respectful spaces must be created for open dialogue on EDI issues. A culture of inclusion and respect must be established to foster a culture where students and staff feel valued, supported, and encouraged. Furthermore, openness, tolerance, and recognition of individuals’ knowledge and contributions, regardless of their background, affiliations, or status, must be promoted. An inclusive environment and culture also include expanding access and opportunity for under-represented groups by offering financial support and scholarships to students from underrepresented or marginalised groups and ensuring tailored support services to students and staff, both in terms of mental health support and accessible resources. </w:t>
      </w:r>
    </w:p>
    <w:p w14:paraId="6171DAB3" w14:textId="77777777" w:rsidR="00A02D69" w:rsidRPr="00DA2128" w:rsidRDefault="00A02D69" w:rsidP="00A937C6">
      <w:pPr>
        <w:spacing w:line="240" w:lineRule="auto"/>
        <w:rPr>
          <w:sz w:val="22"/>
          <w:szCs w:val="22"/>
        </w:rPr>
      </w:pPr>
    </w:p>
    <w:p w14:paraId="67DFE708" w14:textId="77777777" w:rsidR="00A02D69" w:rsidRPr="00DA2128" w:rsidRDefault="00A02D69" w:rsidP="00A937C6">
      <w:pPr>
        <w:spacing w:line="240" w:lineRule="auto"/>
        <w:rPr>
          <w:sz w:val="22"/>
          <w:szCs w:val="22"/>
        </w:rPr>
      </w:pPr>
      <w:r w:rsidRPr="00DA2128">
        <w:rPr>
          <w:b/>
          <w:bCs/>
          <w:sz w:val="22"/>
          <w:szCs w:val="22"/>
        </w:rPr>
        <w:t>Cluster 5:</w:t>
      </w:r>
      <w:r w:rsidRPr="00DA2128">
        <w:rPr>
          <w:sz w:val="22"/>
          <w:szCs w:val="22"/>
        </w:rPr>
        <w:t xml:space="preserve"> Ensuring equity in leadership and decision-making processes in academia has a low BV at 0.23, demonstrating that it is a heterogeneous  cluster. With a BV at 0.11, the anchor is statement 33, “Integrate diverse perspectives into decision-making processes by involving underrepresented groups and ensuring their voices are heard on key issues”. </w:t>
      </w:r>
    </w:p>
    <w:p w14:paraId="13AF0E3A" w14:textId="77777777" w:rsidR="00A02D69" w:rsidRPr="00DA2128" w:rsidRDefault="00A02D69" w:rsidP="00A937C6">
      <w:pPr>
        <w:spacing w:line="240" w:lineRule="auto"/>
        <w:rPr>
          <w:sz w:val="22"/>
          <w:szCs w:val="22"/>
        </w:rPr>
      </w:pPr>
      <w:r w:rsidRPr="00DA2128">
        <w:rPr>
          <w:sz w:val="22"/>
          <w:szCs w:val="22"/>
        </w:rPr>
        <w:lastRenderedPageBreak/>
        <w:t>The cluster illustrates the need to promote EDI across all levels of the institution. This includes an inclusive decision-making process where underrepresented groups are actively involved to reflect diverse perspectives, and diversity is promoted by ensuring equitable representation in decision-making roles and positions of power. There must be transparency in academic processes to ensure fairness and openness in processes like recruitment, promotions, and wages through clear criteria and transparent decision-making. Leaders must be committed to actively prioritising, supporting, and leading by example in diversity, equity, and inclusion initiatives. Lastly, funding and resources must be allocated in order to increase and sustain funding for EDI initiatives, ensuring the development and implementation of EDI initiatives, and ensuring sustainability and continuous improvement over time. Also, inclusion may be improved by enhancing campus accessibility through inclusive architectural design, the creation of welcoming environments, and systematic accessibility assessments.</w:t>
      </w:r>
    </w:p>
    <w:p w14:paraId="3DC18543" w14:textId="77777777" w:rsidR="00A02D69" w:rsidRPr="00DA2128" w:rsidRDefault="00A02D69" w:rsidP="00A937C6">
      <w:pPr>
        <w:spacing w:line="240" w:lineRule="auto"/>
        <w:rPr>
          <w:sz w:val="22"/>
          <w:szCs w:val="22"/>
        </w:rPr>
      </w:pPr>
    </w:p>
    <w:p w14:paraId="44222C0A" w14:textId="31E4FBCE" w:rsidR="00A02D69" w:rsidRPr="00DA2128" w:rsidRDefault="00A02D69" w:rsidP="00A937C6">
      <w:pPr>
        <w:spacing w:line="240" w:lineRule="auto"/>
        <w:rPr>
          <w:sz w:val="22"/>
          <w:szCs w:val="22"/>
        </w:rPr>
      </w:pPr>
      <w:r w:rsidRPr="00DA2128">
        <w:rPr>
          <w:b/>
          <w:bCs/>
          <w:sz w:val="22"/>
          <w:szCs w:val="22"/>
        </w:rPr>
        <w:t>Cluster 6:</w:t>
      </w:r>
      <w:r w:rsidRPr="00DA2128">
        <w:rPr>
          <w:sz w:val="22"/>
          <w:szCs w:val="22"/>
        </w:rPr>
        <w:t xml:space="preserve"> Advancing policy, implementation, and evaluation also has a low BV (0.26), hence it is a heterogeneous cluster.  Statement 31, “Promote gender equality in academia by addressing gender imbalances in programs fostering diverse leadership and ensuring equitable representation in administrative and governing roles”, is the anchor statement and has a bridging value at 0.08. </w:t>
      </w:r>
    </w:p>
    <w:p w14:paraId="6E004728" w14:textId="77777777" w:rsidR="00A02D69" w:rsidRPr="00DA2128" w:rsidRDefault="00A02D69" w:rsidP="00A937C6">
      <w:pPr>
        <w:spacing w:line="240" w:lineRule="auto"/>
        <w:rPr>
          <w:sz w:val="22"/>
          <w:szCs w:val="22"/>
        </w:rPr>
      </w:pPr>
      <w:r w:rsidRPr="00DA2128">
        <w:rPr>
          <w:sz w:val="22"/>
          <w:szCs w:val="22"/>
        </w:rPr>
        <w:t>The cluster highlights that to improve EDI, policies and institutional structures must be developed. This involves EDI policies with clear action plans, an effective system for reporting and following up, clear communication of goals and outcomes of EDI initiatives across all university departments, as well as an advisory board for EDI that includes students and staff from diverse backgrounds. Initiatives and changes must be monitored and evaluated by creating indicators to identify underrepresentation and discrimination, collecting and analysing data and feedback from both students and staff. Moreover, inclusivity and representation must be strengthened by promoting gender equality in academia by addressing imbalances and ensuring equitable leadership representation and everyone must take responsibility for EDI.</w:t>
      </w:r>
    </w:p>
    <w:p w14:paraId="6414C37C" w14:textId="1BB6CD55" w:rsidR="006F155F" w:rsidRPr="00DA2128" w:rsidRDefault="00A02D69" w:rsidP="00A937C6">
      <w:pPr>
        <w:spacing w:line="240" w:lineRule="auto"/>
        <w:rPr>
          <w:sz w:val="22"/>
          <w:szCs w:val="22"/>
        </w:rPr>
      </w:pPr>
      <w:r w:rsidRPr="00DA2128">
        <w:rPr>
          <w:b/>
          <w:bCs/>
          <w:sz w:val="22"/>
          <w:szCs w:val="22"/>
        </w:rPr>
        <w:t>Table 1.</w:t>
      </w:r>
      <w:r w:rsidRPr="00DA2128">
        <w:rPr>
          <w:sz w:val="22"/>
          <w:szCs w:val="22"/>
        </w:rPr>
        <w:t xml:space="preserve"> Clusters, statements, and bridging values</w:t>
      </w:r>
    </w:p>
    <w:tbl>
      <w:tblPr>
        <w:tblStyle w:val="TableGrid"/>
        <w:tblW w:w="8360" w:type="dxa"/>
        <w:tblBorders>
          <w:top w:val="single" w:sz="6" w:space="0" w:color="auto"/>
          <w:left w:val="single" w:sz="6" w:space="0" w:color="auto"/>
          <w:bottom w:val="single" w:sz="6" w:space="0" w:color="auto"/>
          <w:right w:val="single" w:sz="6" w:space="0" w:color="auto"/>
          <w:insideH w:val="single" w:sz="4" w:space="0" w:color="000000" w:themeColor="text1"/>
          <w:insideV w:val="single" w:sz="4" w:space="0" w:color="000000" w:themeColor="text1"/>
        </w:tblBorders>
        <w:tblLayout w:type="fixed"/>
        <w:tblLook w:val="04A0" w:firstRow="1" w:lastRow="0" w:firstColumn="1" w:lastColumn="0" w:noHBand="0" w:noVBand="1"/>
      </w:tblPr>
      <w:tblGrid>
        <w:gridCol w:w="585"/>
        <w:gridCol w:w="6260"/>
        <w:gridCol w:w="1515"/>
      </w:tblGrid>
      <w:tr w:rsidR="00FC6A06" w:rsidRPr="00DA2128" w14:paraId="7EDA414F" w14:textId="77777777" w:rsidTr="007B0AA8">
        <w:trPr>
          <w:trHeight w:val="300"/>
        </w:trPr>
        <w:tc>
          <w:tcPr>
            <w:tcW w:w="6845" w:type="dxa"/>
            <w:gridSpan w:val="2"/>
            <w:tcMar>
              <w:left w:w="105" w:type="dxa"/>
              <w:right w:w="105" w:type="dxa"/>
            </w:tcMar>
            <w:vAlign w:val="center"/>
          </w:tcPr>
          <w:p w14:paraId="7E788AC3" w14:textId="77777777" w:rsidR="00FC6A06" w:rsidRPr="00DA2128" w:rsidRDefault="00FC6A06" w:rsidP="00A937C6">
            <w:pPr>
              <w:spacing w:after="200" w:line="240" w:lineRule="auto"/>
              <w:jc w:val="center"/>
              <w:rPr>
                <w:rFonts w:eastAsia="Times New Roman" w:cs="Times New Roman"/>
                <w:color w:val="000000" w:themeColor="text1"/>
                <w:sz w:val="20"/>
                <w:szCs w:val="20"/>
              </w:rPr>
            </w:pPr>
            <w:r w:rsidRPr="00DA2128">
              <w:rPr>
                <w:rFonts w:eastAsia="Times New Roman" w:cs="Times New Roman"/>
                <w:b/>
                <w:bCs/>
                <w:color w:val="000000" w:themeColor="text1"/>
              </w:rPr>
              <w:t>Cluster solution and statements</w:t>
            </w:r>
          </w:p>
        </w:tc>
        <w:tc>
          <w:tcPr>
            <w:tcW w:w="1515" w:type="dxa"/>
            <w:tcMar>
              <w:left w:w="105" w:type="dxa"/>
              <w:right w:w="105" w:type="dxa"/>
            </w:tcMar>
            <w:vAlign w:val="center"/>
          </w:tcPr>
          <w:p w14:paraId="71705E30" w14:textId="77777777" w:rsidR="00FC6A06" w:rsidRPr="00DA2128" w:rsidRDefault="00FC6A06" w:rsidP="00A937C6">
            <w:pPr>
              <w:spacing w:after="200" w:line="240" w:lineRule="auto"/>
              <w:jc w:val="center"/>
              <w:rPr>
                <w:rFonts w:eastAsia="Times New Roman" w:cs="Times New Roman"/>
                <w:color w:val="000000" w:themeColor="text1"/>
                <w:sz w:val="20"/>
                <w:szCs w:val="20"/>
              </w:rPr>
            </w:pPr>
            <w:r w:rsidRPr="00DA2128">
              <w:rPr>
                <w:rFonts w:eastAsia="Times New Roman" w:cs="Times New Roman"/>
                <w:b/>
                <w:bCs/>
                <w:color w:val="000000" w:themeColor="text1"/>
                <w:sz w:val="20"/>
                <w:szCs w:val="20"/>
              </w:rPr>
              <w:t>Bridging Value</w:t>
            </w:r>
          </w:p>
        </w:tc>
      </w:tr>
      <w:tr w:rsidR="00FC6A06" w:rsidRPr="00DA2128" w14:paraId="6888FF23" w14:textId="77777777" w:rsidTr="007B0AA8">
        <w:trPr>
          <w:trHeight w:val="300"/>
        </w:trPr>
        <w:tc>
          <w:tcPr>
            <w:tcW w:w="6845" w:type="dxa"/>
            <w:gridSpan w:val="2"/>
            <w:tcMar>
              <w:left w:w="105" w:type="dxa"/>
              <w:right w:w="105" w:type="dxa"/>
            </w:tcMar>
            <w:vAlign w:val="center"/>
          </w:tcPr>
          <w:p w14:paraId="160866DE" w14:textId="77777777" w:rsidR="00FC6A06" w:rsidRPr="00DA2128" w:rsidRDefault="00FC6A06" w:rsidP="00A937C6">
            <w:pPr>
              <w:spacing w:after="200" w:line="240" w:lineRule="auto"/>
              <w:jc w:val="center"/>
              <w:rPr>
                <w:rFonts w:eastAsia="Times New Roman" w:cs="Times New Roman"/>
                <w:color w:val="1B2232"/>
                <w:sz w:val="18"/>
                <w:szCs w:val="18"/>
              </w:rPr>
            </w:pPr>
            <w:r w:rsidRPr="00DA2128">
              <w:rPr>
                <w:rFonts w:eastAsia="Times New Roman" w:cs="Times New Roman"/>
                <w:b/>
                <w:bCs/>
                <w:color w:val="000000" w:themeColor="text1"/>
                <w:sz w:val="18"/>
                <w:szCs w:val="18"/>
              </w:rPr>
              <w:t xml:space="preserve">Cluster 1: </w:t>
            </w:r>
            <w:r w:rsidRPr="00DA2128">
              <w:rPr>
                <w:rStyle w:val="oneUserDefinedStyle"/>
                <w:rFonts w:ascii="Avenir Next LT Pro" w:eastAsia="Times New Roman" w:hAnsi="Avenir Next LT Pro" w:cs="Times New Roman"/>
                <w:b/>
                <w:bCs/>
                <w:sz w:val="18"/>
                <w:szCs w:val="18"/>
              </w:rPr>
              <w:t>Providing training and education</w:t>
            </w:r>
          </w:p>
        </w:tc>
        <w:tc>
          <w:tcPr>
            <w:tcW w:w="1515" w:type="dxa"/>
            <w:tcMar>
              <w:left w:w="105" w:type="dxa"/>
              <w:right w:w="105" w:type="dxa"/>
            </w:tcMar>
            <w:vAlign w:val="center"/>
          </w:tcPr>
          <w:p w14:paraId="5B5F0D2B" w14:textId="77777777" w:rsidR="00FC6A06" w:rsidRPr="00DA2128" w:rsidRDefault="00FC6A06" w:rsidP="00A937C6">
            <w:pPr>
              <w:spacing w:after="200" w:line="240" w:lineRule="auto"/>
              <w:jc w:val="center"/>
              <w:rPr>
                <w:rFonts w:eastAsia="Times New Roman" w:cs="Times New Roman"/>
                <w:color w:val="1B2232"/>
                <w:sz w:val="18"/>
                <w:szCs w:val="18"/>
              </w:rPr>
            </w:pPr>
            <w:r w:rsidRPr="00DA2128">
              <w:rPr>
                <w:rStyle w:val="oneUserDefinedStyle"/>
                <w:rFonts w:ascii="Avenir Next LT Pro" w:eastAsia="Times New Roman" w:hAnsi="Avenir Next LT Pro" w:cs="Times New Roman"/>
                <w:b/>
                <w:bCs/>
                <w:sz w:val="18"/>
                <w:szCs w:val="18"/>
              </w:rPr>
              <w:t>0.27</w:t>
            </w:r>
          </w:p>
        </w:tc>
      </w:tr>
      <w:tr w:rsidR="00FC6A06" w:rsidRPr="00DA2128" w14:paraId="1C20B1D6" w14:textId="77777777" w:rsidTr="007B0AA8">
        <w:trPr>
          <w:trHeight w:val="300"/>
        </w:trPr>
        <w:tc>
          <w:tcPr>
            <w:tcW w:w="585" w:type="dxa"/>
            <w:tcMar>
              <w:left w:w="105" w:type="dxa"/>
              <w:right w:w="105" w:type="dxa"/>
            </w:tcMar>
          </w:tcPr>
          <w:p w14:paraId="6AB0DDB8" w14:textId="77777777" w:rsidR="00FC6A06" w:rsidRPr="00DA2128" w:rsidRDefault="00FC6A06" w:rsidP="00A937C6">
            <w:pPr>
              <w:spacing w:after="200" w:line="240" w:lineRule="auto"/>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1</w:t>
            </w:r>
          </w:p>
        </w:tc>
        <w:tc>
          <w:tcPr>
            <w:tcW w:w="6260" w:type="dxa"/>
            <w:tcMar>
              <w:left w:w="105" w:type="dxa"/>
              <w:right w:w="105" w:type="dxa"/>
            </w:tcMar>
          </w:tcPr>
          <w:p w14:paraId="1E36CD4A" w14:textId="77777777" w:rsidR="00FC6A06" w:rsidRPr="00DA2128" w:rsidRDefault="00FC6A06" w:rsidP="00A937C6">
            <w:pPr>
              <w:spacing w:after="200" w:line="240" w:lineRule="auto"/>
              <w:rPr>
                <w:rStyle w:val="oneUserDefinedStyle"/>
                <w:rFonts w:ascii="Avenir Next LT Pro" w:eastAsia="Times New Roman" w:hAnsi="Avenir Next LT Pro" w:cs="Times New Roman"/>
                <w:sz w:val="18"/>
                <w:szCs w:val="18"/>
              </w:rPr>
            </w:pPr>
            <w:r w:rsidRPr="00DA2128">
              <w:rPr>
                <w:rStyle w:val="oneUserDefinedStyle"/>
                <w:rFonts w:ascii="Avenir Next LT Pro" w:eastAsia="Times New Roman" w:hAnsi="Avenir Next LT Pro" w:cs="Times New Roman"/>
                <w:sz w:val="18"/>
                <w:szCs w:val="18"/>
              </w:rPr>
              <w:t>Raise awareness and understanding of EDI across the university community</w:t>
            </w:r>
          </w:p>
        </w:tc>
        <w:tc>
          <w:tcPr>
            <w:tcW w:w="1515" w:type="dxa"/>
            <w:tcMar>
              <w:left w:w="105" w:type="dxa"/>
              <w:right w:w="105" w:type="dxa"/>
            </w:tcMar>
            <w:vAlign w:val="center"/>
          </w:tcPr>
          <w:p w14:paraId="376E4382" w14:textId="77777777" w:rsidR="00FC6A06" w:rsidRPr="00DA2128" w:rsidRDefault="00FC6A06" w:rsidP="00A937C6">
            <w:pPr>
              <w:spacing w:after="200" w:line="240" w:lineRule="auto"/>
              <w:jc w:val="center"/>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0.29</w:t>
            </w:r>
          </w:p>
        </w:tc>
      </w:tr>
      <w:tr w:rsidR="00FC6A06" w:rsidRPr="00DA2128" w14:paraId="5D3C6710" w14:textId="77777777" w:rsidTr="007B0AA8">
        <w:trPr>
          <w:trHeight w:val="300"/>
        </w:trPr>
        <w:tc>
          <w:tcPr>
            <w:tcW w:w="585" w:type="dxa"/>
            <w:tcMar>
              <w:left w:w="105" w:type="dxa"/>
              <w:right w:w="105" w:type="dxa"/>
            </w:tcMar>
          </w:tcPr>
          <w:p w14:paraId="2D532FE4" w14:textId="77777777" w:rsidR="00FC6A06" w:rsidRPr="00DA2128" w:rsidRDefault="00FC6A06" w:rsidP="00A937C6">
            <w:pPr>
              <w:spacing w:after="200" w:line="240" w:lineRule="auto"/>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4</w:t>
            </w:r>
          </w:p>
        </w:tc>
        <w:tc>
          <w:tcPr>
            <w:tcW w:w="6260" w:type="dxa"/>
            <w:tcMar>
              <w:left w:w="105" w:type="dxa"/>
              <w:right w:w="105" w:type="dxa"/>
            </w:tcMar>
          </w:tcPr>
          <w:p w14:paraId="6B610CCD" w14:textId="77777777" w:rsidR="00FC6A06" w:rsidRPr="00DA2128" w:rsidRDefault="00FC6A06" w:rsidP="00A937C6">
            <w:pPr>
              <w:spacing w:after="200" w:line="240" w:lineRule="auto"/>
              <w:rPr>
                <w:rStyle w:val="oneUserDefinedStyle"/>
                <w:rFonts w:ascii="Avenir Next LT Pro" w:eastAsia="Times New Roman" w:hAnsi="Avenir Next LT Pro" w:cs="Times New Roman"/>
                <w:sz w:val="18"/>
                <w:szCs w:val="18"/>
              </w:rPr>
            </w:pPr>
            <w:r w:rsidRPr="00DA2128">
              <w:rPr>
                <w:rStyle w:val="oneUserDefinedStyle"/>
                <w:rFonts w:ascii="Avenir Next LT Pro" w:eastAsia="Times New Roman" w:hAnsi="Avenir Next LT Pro" w:cs="Times New Roman"/>
                <w:sz w:val="18"/>
                <w:szCs w:val="18"/>
              </w:rPr>
              <w:t>Raise awareness of EDI issues to reduce discrimination and exclusion</w:t>
            </w:r>
          </w:p>
        </w:tc>
        <w:tc>
          <w:tcPr>
            <w:tcW w:w="1515" w:type="dxa"/>
            <w:tcMar>
              <w:left w:w="105" w:type="dxa"/>
              <w:right w:w="105" w:type="dxa"/>
            </w:tcMar>
            <w:vAlign w:val="center"/>
          </w:tcPr>
          <w:p w14:paraId="0534FF8D" w14:textId="77777777" w:rsidR="00FC6A06" w:rsidRPr="00DA2128" w:rsidRDefault="00FC6A06" w:rsidP="00A937C6">
            <w:pPr>
              <w:spacing w:after="200" w:line="240" w:lineRule="auto"/>
              <w:jc w:val="center"/>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0.19</w:t>
            </w:r>
          </w:p>
        </w:tc>
      </w:tr>
      <w:tr w:rsidR="00FC6A06" w:rsidRPr="00DA2128" w14:paraId="6B4328C9" w14:textId="77777777" w:rsidTr="007B0AA8">
        <w:trPr>
          <w:trHeight w:val="300"/>
        </w:trPr>
        <w:tc>
          <w:tcPr>
            <w:tcW w:w="585" w:type="dxa"/>
            <w:tcMar>
              <w:left w:w="105" w:type="dxa"/>
              <w:right w:w="105" w:type="dxa"/>
            </w:tcMar>
          </w:tcPr>
          <w:p w14:paraId="714ABC68" w14:textId="77777777" w:rsidR="00FC6A06" w:rsidRPr="00DA2128" w:rsidRDefault="00FC6A06" w:rsidP="00A937C6">
            <w:pPr>
              <w:spacing w:after="200" w:line="240" w:lineRule="auto"/>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5</w:t>
            </w:r>
          </w:p>
        </w:tc>
        <w:tc>
          <w:tcPr>
            <w:tcW w:w="6260" w:type="dxa"/>
            <w:tcMar>
              <w:left w:w="105" w:type="dxa"/>
              <w:right w:w="105" w:type="dxa"/>
            </w:tcMar>
          </w:tcPr>
          <w:p w14:paraId="5B2ADBB0" w14:textId="77777777" w:rsidR="00FC6A06" w:rsidRPr="00DA2128" w:rsidRDefault="00FC6A06" w:rsidP="00A937C6">
            <w:pPr>
              <w:spacing w:after="200" w:line="240" w:lineRule="auto"/>
              <w:rPr>
                <w:rStyle w:val="oneUserDefinedStyle"/>
                <w:rFonts w:ascii="Avenir Next LT Pro" w:eastAsia="Times New Roman" w:hAnsi="Avenir Next LT Pro" w:cs="Times New Roman"/>
                <w:sz w:val="18"/>
                <w:szCs w:val="18"/>
              </w:rPr>
            </w:pPr>
            <w:r w:rsidRPr="00DA2128">
              <w:rPr>
                <w:rStyle w:val="oneUserDefinedStyle"/>
                <w:rFonts w:ascii="Avenir Next LT Pro" w:eastAsia="Times New Roman" w:hAnsi="Avenir Next LT Pro" w:cs="Times New Roman"/>
                <w:sz w:val="18"/>
                <w:szCs w:val="18"/>
              </w:rPr>
              <w:t>Raise awareness of EDI policies</w:t>
            </w:r>
          </w:p>
        </w:tc>
        <w:tc>
          <w:tcPr>
            <w:tcW w:w="1515" w:type="dxa"/>
            <w:tcMar>
              <w:left w:w="105" w:type="dxa"/>
              <w:right w:w="105" w:type="dxa"/>
            </w:tcMar>
            <w:vAlign w:val="center"/>
          </w:tcPr>
          <w:p w14:paraId="163ADD29" w14:textId="77777777" w:rsidR="00FC6A06" w:rsidRPr="00DA2128" w:rsidRDefault="00FC6A06" w:rsidP="00A937C6">
            <w:pPr>
              <w:spacing w:after="200" w:line="240" w:lineRule="auto"/>
              <w:jc w:val="center"/>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0.56</w:t>
            </w:r>
          </w:p>
        </w:tc>
      </w:tr>
      <w:tr w:rsidR="00FC6A06" w:rsidRPr="00DA2128" w14:paraId="766979AD" w14:textId="77777777" w:rsidTr="007B0AA8">
        <w:trPr>
          <w:trHeight w:val="300"/>
        </w:trPr>
        <w:tc>
          <w:tcPr>
            <w:tcW w:w="585" w:type="dxa"/>
            <w:tcMar>
              <w:left w:w="105" w:type="dxa"/>
              <w:right w:w="105" w:type="dxa"/>
            </w:tcMar>
          </w:tcPr>
          <w:p w14:paraId="0A809E62" w14:textId="77777777" w:rsidR="00FC6A06" w:rsidRPr="00DA2128" w:rsidRDefault="00FC6A06" w:rsidP="00A937C6">
            <w:pPr>
              <w:spacing w:after="200" w:line="240" w:lineRule="auto"/>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10</w:t>
            </w:r>
          </w:p>
        </w:tc>
        <w:tc>
          <w:tcPr>
            <w:tcW w:w="6260" w:type="dxa"/>
            <w:tcMar>
              <w:left w:w="105" w:type="dxa"/>
              <w:right w:w="105" w:type="dxa"/>
            </w:tcMar>
          </w:tcPr>
          <w:p w14:paraId="0348D6B8" w14:textId="77777777" w:rsidR="00FC6A06" w:rsidRPr="00DA2128" w:rsidRDefault="00FC6A06" w:rsidP="00A937C6">
            <w:pPr>
              <w:spacing w:after="200" w:line="240" w:lineRule="auto"/>
              <w:rPr>
                <w:rStyle w:val="oneUserDefinedStyle"/>
                <w:rFonts w:ascii="Avenir Next LT Pro" w:eastAsia="Times New Roman" w:hAnsi="Avenir Next LT Pro" w:cs="Times New Roman"/>
                <w:sz w:val="18"/>
                <w:szCs w:val="18"/>
              </w:rPr>
            </w:pPr>
            <w:r w:rsidRPr="00DA2128">
              <w:rPr>
                <w:rStyle w:val="oneUserDefinedStyle"/>
                <w:rFonts w:ascii="Avenir Next LT Pro" w:eastAsia="Times New Roman" w:hAnsi="Avenir Next LT Pro" w:cs="Times New Roman"/>
                <w:sz w:val="18"/>
                <w:szCs w:val="18"/>
              </w:rPr>
              <w:t>Reach individuals who are not yet aware of EDI</w:t>
            </w:r>
          </w:p>
        </w:tc>
        <w:tc>
          <w:tcPr>
            <w:tcW w:w="1515" w:type="dxa"/>
            <w:tcMar>
              <w:left w:w="105" w:type="dxa"/>
              <w:right w:w="105" w:type="dxa"/>
            </w:tcMar>
            <w:vAlign w:val="center"/>
          </w:tcPr>
          <w:p w14:paraId="1C61FE67" w14:textId="77777777" w:rsidR="00FC6A06" w:rsidRPr="00DA2128" w:rsidRDefault="00FC6A06" w:rsidP="00A937C6">
            <w:pPr>
              <w:spacing w:after="200" w:line="240" w:lineRule="auto"/>
              <w:jc w:val="center"/>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0.28</w:t>
            </w:r>
          </w:p>
        </w:tc>
      </w:tr>
      <w:tr w:rsidR="00FC6A06" w:rsidRPr="00DA2128" w14:paraId="6C3E1F73" w14:textId="77777777" w:rsidTr="007B0AA8">
        <w:trPr>
          <w:trHeight w:val="300"/>
        </w:trPr>
        <w:tc>
          <w:tcPr>
            <w:tcW w:w="585" w:type="dxa"/>
            <w:tcMar>
              <w:left w:w="105" w:type="dxa"/>
              <w:right w:w="105" w:type="dxa"/>
            </w:tcMar>
          </w:tcPr>
          <w:p w14:paraId="476DE4E6" w14:textId="77777777" w:rsidR="00FC6A06" w:rsidRPr="00DA2128" w:rsidRDefault="00FC6A06" w:rsidP="00A937C6">
            <w:pPr>
              <w:spacing w:after="200" w:line="240" w:lineRule="auto"/>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36</w:t>
            </w:r>
          </w:p>
        </w:tc>
        <w:tc>
          <w:tcPr>
            <w:tcW w:w="6260" w:type="dxa"/>
            <w:tcMar>
              <w:left w:w="105" w:type="dxa"/>
              <w:right w:w="105" w:type="dxa"/>
            </w:tcMar>
          </w:tcPr>
          <w:p w14:paraId="5DF3198E" w14:textId="77777777" w:rsidR="00FC6A06" w:rsidRPr="00DA2128" w:rsidRDefault="00FC6A06" w:rsidP="00A937C6">
            <w:pPr>
              <w:spacing w:after="200" w:line="240" w:lineRule="auto"/>
              <w:rPr>
                <w:rStyle w:val="oneUserDefinedStyle"/>
                <w:rFonts w:ascii="Avenir Next LT Pro" w:eastAsia="Times New Roman" w:hAnsi="Avenir Next LT Pro" w:cs="Times New Roman"/>
                <w:sz w:val="18"/>
                <w:szCs w:val="18"/>
              </w:rPr>
            </w:pPr>
            <w:r w:rsidRPr="00DA2128">
              <w:rPr>
                <w:rStyle w:val="oneUserDefinedStyle"/>
                <w:rFonts w:ascii="Avenir Next LT Pro" w:eastAsia="Times New Roman" w:hAnsi="Avenir Next LT Pro" w:cs="Times New Roman"/>
                <w:sz w:val="18"/>
                <w:szCs w:val="18"/>
              </w:rPr>
              <w:t>Integrate EDI principles into curriculum and teaching practices</w:t>
            </w:r>
          </w:p>
        </w:tc>
        <w:tc>
          <w:tcPr>
            <w:tcW w:w="1515" w:type="dxa"/>
            <w:tcMar>
              <w:left w:w="105" w:type="dxa"/>
              <w:right w:w="105" w:type="dxa"/>
            </w:tcMar>
            <w:vAlign w:val="center"/>
          </w:tcPr>
          <w:p w14:paraId="522839CC" w14:textId="77777777" w:rsidR="00FC6A06" w:rsidRPr="00DA2128" w:rsidRDefault="00FC6A06" w:rsidP="00A937C6">
            <w:pPr>
              <w:spacing w:after="200" w:line="240" w:lineRule="auto"/>
              <w:jc w:val="center"/>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0.27</w:t>
            </w:r>
          </w:p>
        </w:tc>
      </w:tr>
      <w:tr w:rsidR="00FC6A06" w:rsidRPr="00DA2128" w14:paraId="362AFA7D" w14:textId="77777777" w:rsidTr="007B0AA8">
        <w:trPr>
          <w:trHeight w:val="300"/>
        </w:trPr>
        <w:tc>
          <w:tcPr>
            <w:tcW w:w="585" w:type="dxa"/>
            <w:tcMar>
              <w:left w:w="105" w:type="dxa"/>
              <w:right w:w="105" w:type="dxa"/>
            </w:tcMar>
          </w:tcPr>
          <w:p w14:paraId="26495E8A" w14:textId="77777777" w:rsidR="00FC6A06" w:rsidRPr="00DA2128" w:rsidRDefault="00FC6A06" w:rsidP="00A937C6">
            <w:pPr>
              <w:spacing w:after="200" w:line="240" w:lineRule="auto"/>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41</w:t>
            </w:r>
          </w:p>
        </w:tc>
        <w:tc>
          <w:tcPr>
            <w:tcW w:w="6260" w:type="dxa"/>
            <w:tcMar>
              <w:left w:w="105" w:type="dxa"/>
              <w:right w:w="105" w:type="dxa"/>
            </w:tcMar>
          </w:tcPr>
          <w:p w14:paraId="67BC8D00" w14:textId="77777777" w:rsidR="00FC6A06" w:rsidRPr="00DA2128" w:rsidRDefault="00FC6A06" w:rsidP="00A937C6">
            <w:pPr>
              <w:spacing w:after="200" w:line="240" w:lineRule="auto"/>
              <w:rPr>
                <w:rStyle w:val="oneUserDefinedStyle"/>
                <w:rFonts w:ascii="Avenir Next LT Pro" w:eastAsia="Times New Roman" w:hAnsi="Avenir Next LT Pro" w:cs="Times New Roman"/>
                <w:sz w:val="18"/>
                <w:szCs w:val="18"/>
              </w:rPr>
            </w:pPr>
            <w:r w:rsidRPr="00DA2128">
              <w:rPr>
                <w:rStyle w:val="oneUserDefinedStyle"/>
                <w:rFonts w:ascii="Avenir Next LT Pro" w:eastAsia="Times New Roman" w:hAnsi="Avenir Next LT Pro" w:cs="Times New Roman"/>
                <w:sz w:val="18"/>
                <w:szCs w:val="18"/>
              </w:rPr>
              <w:t>Use inclusive language in all practices ensuring diversity and gender sensitivity</w:t>
            </w:r>
          </w:p>
        </w:tc>
        <w:tc>
          <w:tcPr>
            <w:tcW w:w="1515" w:type="dxa"/>
            <w:tcMar>
              <w:left w:w="105" w:type="dxa"/>
              <w:right w:w="105" w:type="dxa"/>
            </w:tcMar>
            <w:vAlign w:val="center"/>
          </w:tcPr>
          <w:p w14:paraId="477A3408" w14:textId="77777777" w:rsidR="00FC6A06" w:rsidRPr="00DA2128" w:rsidRDefault="00FC6A06" w:rsidP="00A937C6">
            <w:pPr>
              <w:spacing w:after="200" w:line="240" w:lineRule="auto"/>
              <w:jc w:val="center"/>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0.19</w:t>
            </w:r>
          </w:p>
        </w:tc>
      </w:tr>
      <w:tr w:rsidR="00FC6A06" w:rsidRPr="00DA2128" w14:paraId="5D4D1199" w14:textId="77777777" w:rsidTr="007B0AA8">
        <w:trPr>
          <w:trHeight w:val="300"/>
        </w:trPr>
        <w:tc>
          <w:tcPr>
            <w:tcW w:w="585" w:type="dxa"/>
            <w:tcMar>
              <w:left w:w="105" w:type="dxa"/>
              <w:right w:w="105" w:type="dxa"/>
            </w:tcMar>
          </w:tcPr>
          <w:p w14:paraId="29D8503F" w14:textId="77777777" w:rsidR="00FC6A06" w:rsidRPr="00DA2128" w:rsidRDefault="00FC6A06" w:rsidP="00A937C6">
            <w:pPr>
              <w:spacing w:after="200" w:line="240" w:lineRule="auto"/>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45</w:t>
            </w:r>
          </w:p>
        </w:tc>
        <w:tc>
          <w:tcPr>
            <w:tcW w:w="6260" w:type="dxa"/>
            <w:tcMar>
              <w:left w:w="105" w:type="dxa"/>
              <w:right w:w="105" w:type="dxa"/>
            </w:tcMar>
          </w:tcPr>
          <w:p w14:paraId="6A8B5B9F" w14:textId="77777777" w:rsidR="00FC6A06" w:rsidRPr="00DA2128" w:rsidRDefault="00FC6A06" w:rsidP="00A937C6">
            <w:pPr>
              <w:spacing w:after="200" w:line="240" w:lineRule="auto"/>
              <w:rPr>
                <w:rStyle w:val="oneUserDefinedStyle"/>
                <w:rFonts w:ascii="Avenir Next LT Pro" w:eastAsia="Times New Roman" w:hAnsi="Avenir Next LT Pro" w:cs="Times New Roman"/>
                <w:sz w:val="18"/>
                <w:szCs w:val="18"/>
              </w:rPr>
            </w:pPr>
            <w:r w:rsidRPr="00DA2128">
              <w:rPr>
                <w:rStyle w:val="oneUserDefinedStyle"/>
                <w:rFonts w:ascii="Avenir Next LT Pro" w:eastAsia="Times New Roman" w:hAnsi="Avenir Next LT Pro" w:cs="Times New Roman"/>
                <w:sz w:val="18"/>
                <w:szCs w:val="18"/>
              </w:rPr>
              <w:t>Offer micro-credential courses on EDI</w:t>
            </w:r>
          </w:p>
        </w:tc>
        <w:tc>
          <w:tcPr>
            <w:tcW w:w="1515" w:type="dxa"/>
            <w:tcMar>
              <w:left w:w="105" w:type="dxa"/>
              <w:right w:w="105" w:type="dxa"/>
            </w:tcMar>
            <w:vAlign w:val="center"/>
          </w:tcPr>
          <w:p w14:paraId="7F46E1B0" w14:textId="77777777" w:rsidR="00FC6A06" w:rsidRPr="00DA2128" w:rsidRDefault="00FC6A06" w:rsidP="00A937C6">
            <w:pPr>
              <w:spacing w:after="200" w:line="240" w:lineRule="auto"/>
              <w:jc w:val="center"/>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0.38</w:t>
            </w:r>
          </w:p>
        </w:tc>
      </w:tr>
      <w:tr w:rsidR="00FC6A06" w:rsidRPr="00DA2128" w14:paraId="700D5677" w14:textId="77777777" w:rsidTr="007B0AA8">
        <w:trPr>
          <w:trHeight w:val="300"/>
        </w:trPr>
        <w:tc>
          <w:tcPr>
            <w:tcW w:w="585" w:type="dxa"/>
            <w:tcMar>
              <w:left w:w="105" w:type="dxa"/>
              <w:right w:w="105" w:type="dxa"/>
            </w:tcMar>
          </w:tcPr>
          <w:p w14:paraId="70A913BD" w14:textId="77777777" w:rsidR="00FC6A06" w:rsidRPr="00DA2128" w:rsidRDefault="00FC6A06" w:rsidP="00A937C6">
            <w:pPr>
              <w:spacing w:after="200" w:line="240" w:lineRule="auto"/>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57</w:t>
            </w:r>
          </w:p>
        </w:tc>
        <w:tc>
          <w:tcPr>
            <w:tcW w:w="6260" w:type="dxa"/>
            <w:tcMar>
              <w:left w:w="105" w:type="dxa"/>
              <w:right w:w="105" w:type="dxa"/>
            </w:tcMar>
          </w:tcPr>
          <w:p w14:paraId="21672EDA" w14:textId="77777777" w:rsidR="00FC6A06" w:rsidRPr="00DA2128" w:rsidRDefault="00FC6A06" w:rsidP="00A937C6">
            <w:pPr>
              <w:spacing w:after="200" w:line="240" w:lineRule="auto"/>
              <w:rPr>
                <w:rStyle w:val="oneUserDefinedStyle"/>
                <w:rFonts w:ascii="Avenir Next LT Pro" w:eastAsia="Times New Roman" w:hAnsi="Avenir Next LT Pro" w:cs="Times New Roman"/>
                <w:sz w:val="18"/>
                <w:szCs w:val="18"/>
              </w:rPr>
            </w:pPr>
            <w:r w:rsidRPr="00DA2128">
              <w:rPr>
                <w:rStyle w:val="oneUserDefinedStyle"/>
                <w:rFonts w:ascii="Avenir Next LT Pro" w:eastAsia="Times New Roman" w:hAnsi="Avenir Next LT Pro" w:cs="Times New Roman"/>
                <w:sz w:val="18"/>
                <w:szCs w:val="18"/>
              </w:rPr>
              <w:t>Inform the university community about how to apply the EDI policy in everyday life through easily accessible information such as webinars and informational leaflets</w:t>
            </w:r>
          </w:p>
        </w:tc>
        <w:tc>
          <w:tcPr>
            <w:tcW w:w="1515" w:type="dxa"/>
            <w:tcMar>
              <w:left w:w="105" w:type="dxa"/>
              <w:right w:w="105" w:type="dxa"/>
            </w:tcMar>
            <w:vAlign w:val="center"/>
          </w:tcPr>
          <w:p w14:paraId="0E7D17F9" w14:textId="77777777" w:rsidR="00FC6A06" w:rsidRPr="00DA2128" w:rsidRDefault="00FC6A06" w:rsidP="00A937C6">
            <w:pPr>
              <w:spacing w:after="200" w:line="240" w:lineRule="auto"/>
              <w:jc w:val="center"/>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0.31</w:t>
            </w:r>
          </w:p>
        </w:tc>
      </w:tr>
      <w:tr w:rsidR="00FC6A06" w:rsidRPr="00DA2128" w14:paraId="3B185204" w14:textId="77777777" w:rsidTr="007B0AA8">
        <w:trPr>
          <w:trHeight w:val="300"/>
        </w:trPr>
        <w:tc>
          <w:tcPr>
            <w:tcW w:w="585" w:type="dxa"/>
            <w:tcMar>
              <w:left w:w="105" w:type="dxa"/>
              <w:right w:w="105" w:type="dxa"/>
            </w:tcMar>
          </w:tcPr>
          <w:p w14:paraId="4ABAF71C" w14:textId="77777777" w:rsidR="00FC6A06" w:rsidRPr="00DA2128" w:rsidRDefault="00FC6A06" w:rsidP="00A937C6">
            <w:pPr>
              <w:spacing w:after="200" w:line="240" w:lineRule="auto"/>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69</w:t>
            </w:r>
          </w:p>
        </w:tc>
        <w:tc>
          <w:tcPr>
            <w:tcW w:w="6260" w:type="dxa"/>
            <w:tcMar>
              <w:left w:w="105" w:type="dxa"/>
              <w:right w:w="105" w:type="dxa"/>
            </w:tcMar>
          </w:tcPr>
          <w:p w14:paraId="01A6CBF6" w14:textId="77777777" w:rsidR="00FC6A06" w:rsidRPr="00DA2128" w:rsidRDefault="00FC6A06" w:rsidP="00A937C6">
            <w:pPr>
              <w:spacing w:after="200" w:line="240" w:lineRule="auto"/>
              <w:rPr>
                <w:rStyle w:val="oneUserDefinedStyle"/>
                <w:rFonts w:ascii="Avenir Next LT Pro" w:eastAsia="Times New Roman" w:hAnsi="Avenir Next LT Pro" w:cs="Times New Roman"/>
                <w:sz w:val="18"/>
                <w:szCs w:val="18"/>
              </w:rPr>
            </w:pPr>
            <w:r w:rsidRPr="00DA2128">
              <w:rPr>
                <w:rStyle w:val="oneUserDefinedStyle"/>
                <w:rFonts w:ascii="Avenir Next LT Pro" w:eastAsia="Times New Roman" w:hAnsi="Avenir Next LT Pro" w:cs="Times New Roman"/>
                <w:sz w:val="18"/>
                <w:szCs w:val="18"/>
              </w:rPr>
              <w:t>Implement regular EDI workshops and training sessions for students and staff</w:t>
            </w:r>
          </w:p>
        </w:tc>
        <w:tc>
          <w:tcPr>
            <w:tcW w:w="1515" w:type="dxa"/>
            <w:tcMar>
              <w:left w:w="105" w:type="dxa"/>
              <w:right w:w="105" w:type="dxa"/>
            </w:tcMar>
            <w:vAlign w:val="center"/>
          </w:tcPr>
          <w:p w14:paraId="76EB4739" w14:textId="77777777" w:rsidR="00FC6A06" w:rsidRPr="00DA2128" w:rsidRDefault="00FC6A06" w:rsidP="00A937C6">
            <w:pPr>
              <w:spacing w:after="200" w:line="240" w:lineRule="auto"/>
              <w:jc w:val="center"/>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0.12</w:t>
            </w:r>
          </w:p>
        </w:tc>
      </w:tr>
      <w:tr w:rsidR="00FC6A06" w:rsidRPr="00DA2128" w14:paraId="59EC013C" w14:textId="77777777" w:rsidTr="007B0AA8">
        <w:trPr>
          <w:trHeight w:val="300"/>
        </w:trPr>
        <w:tc>
          <w:tcPr>
            <w:tcW w:w="585" w:type="dxa"/>
            <w:tcMar>
              <w:left w:w="105" w:type="dxa"/>
              <w:right w:w="105" w:type="dxa"/>
            </w:tcMar>
          </w:tcPr>
          <w:p w14:paraId="2F0F2FA8" w14:textId="77777777" w:rsidR="00FC6A06" w:rsidRPr="00DA2128" w:rsidRDefault="00FC6A06" w:rsidP="00A937C6">
            <w:pPr>
              <w:spacing w:after="200" w:line="240" w:lineRule="auto"/>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70</w:t>
            </w:r>
          </w:p>
        </w:tc>
        <w:tc>
          <w:tcPr>
            <w:tcW w:w="6260" w:type="dxa"/>
            <w:tcMar>
              <w:left w:w="105" w:type="dxa"/>
              <w:right w:w="105" w:type="dxa"/>
            </w:tcMar>
          </w:tcPr>
          <w:p w14:paraId="74A40F74" w14:textId="77777777" w:rsidR="00FC6A06" w:rsidRPr="00DA2128" w:rsidRDefault="00FC6A06" w:rsidP="00A937C6">
            <w:pPr>
              <w:spacing w:after="200" w:line="240" w:lineRule="auto"/>
              <w:rPr>
                <w:rStyle w:val="oneUserDefinedStyle"/>
                <w:rFonts w:ascii="Avenir Next LT Pro" w:eastAsia="Times New Roman" w:hAnsi="Avenir Next LT Pro" w:cs="Times New Roman"/>
                <w:sz w:val="18"/>
                <w:szCs w:val="18"/>
              </w:rPr>
            </w:pPr>
            <w:r w:rsidRPr="00DA2128">
              <w:rPr>
                <w:rStyle w:val="oneUserDefinedStyle"/>
                <w:rFonts w:ascii="Avenir Next LT Pro" w:eastAsia="Times New Roman" w:hAnsi="Avenir Next LT Pro" w:cs="Times New Roman"/>
                <w:sz w:val="18"/>
                <w:szCs w:val="18"/>
              </w:rPr>
              <w:t>Provide mandatory training for all staff to foster awareness and understanding of EDI</w:t>
            </w:r>
          </w:p>
        </w:tc>
        <w:tc>
          <w:tcPr>
            <w:tcW w:w="1515" w:type="dxa"/>
            <w:tcMar>
              <w:left w:w="105" w:type="dxa"/>
              <w:right w:w="105" w:type="dxa"/>
            </w:tcMar>
            <w:vAlign w:val="center"/>
          </w:tcPr>
          <w:p w14:paraId="54F1C3A9" w14:textId="77777777" w:rsidR="00FC6A06" w:rsidRPr="00DA2128" w:rsidRDefault="00FC6A06" w:rsidP="00A937C6">
            <w:pPr>
              <w:spacing w:after="200" w:line="240" w:lineRule="auto"/>
              <w:jc w:val="center"/>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0.15</w:t>
            </w:r>
          </w:p>
        </w:tc>
      </w:tr>
      <w:tr w:rsidR="00FC6A06" w:rsidRPr="00DA2128" w14:paraId="3C1640EC" w14:textId="77777777" w:rsidTr="007B0AA8">
        <w:trPr>
          <w:trHeight w:val="300"/>
        </w:trPr>
        <w:tc>
          <w:tcPr>
            <w:tcW w:w="585" w:type="dxa"/>
            <w:tcMar>
              <w:left w:w="105" w:type="dxa"/>
              <w:right w:w="105" w:type="dxa"/>
            </w:tcMar>
          </w:tcPr>
          <w:p w14:paraId="4DF848A4" w14:textId="77777777" w:rsidR="00FC6A06" w:rsidRPr="00DA2128" w:rsidRDefault="00FC6A06" w:rsidP="00A937C6">
            <w:pPr>
              <w:spacing w:after="200" w:line="240" w:lineRule="auto"/>
              <w:rPr>
                <w:rFonts w:eastAsia="Times New Roman" w:cs="Times New Roman"/>
                <w:color w:val="1B2232"/>
                <w:sz w:val="18"/>
                <w:szCs w:val="18"/>
              </w:rPr>
            </w:pPr>
            <w:bookmarkStart w:id="8" w:name="_Hlk200877153"/>
            <w:r w:rsidRPr="00DA2128">
              <w:rPr>
                <w:rStyle w:val="oneUserDefinedStyle"/>
                <w:rFonts w:ascii="Avenir Next LT Pro" w:eastAsia="Times New Roman" w:hAnsi="Avenir Next LT Pro" w:cs="Times New Roman"/>
                <w:sz w:val="18"/>
                <w:szCs w:val="18"/>
              </w:rPr>
              <w:lastRenderedPageBreak/>
              <w:t>72</w:t>
            </w:r>
            <w:bookmarkEnd w:id="8"/>
          </w:p>
        </w:tc>
        <w:tc>
          <w:tcPr>
            <w:tcW w:w="6260" w:type="dxa"/>
            <w:tcMar>
              <w:left w:w="105" w:type="dxa"/>
              <w:right w:w="105" w:type="dxa"/>
            </w:tcMar>
          </w:tcPr>
          <w:p w14:paraId="4907A05B" w14:textId="77777777" w:rsidR="00FC6A06" w:rsidRPr="00DA2128" w:rsidRDefault="00FC6A06" w:rsidP="00A937C6">
            <w:pPr>
              <w:spacing w:after="200" w:line="240" w:lineRule="auto"/>
              <w:rPr>
                <w:rStyle w:val="oneUserDefinedStyle"/>
                <w:rFonts w:ascii="Avenir Next LT Pro" w:eastAsia="Times New Roman" w:hAnsi="Avenir Next LT Pro" w:cs="Times New Roman"/>
                <w:sz w:val="18"/>
                <w:szCs w:val="18"/>
              </w:rPr>
            </w:pPr>
            <w:bookmarkStart w:id="9" w:name="_Hlk200876991"/>
            <w:r w:rsidRPr="00DA2128">
              <w:rPr>
                <w:rStyle w:val="oneUserDefinedStyle"/>
                <w:rFonts w:ascii="Avenir Next LT Pro" w:eastAsia="Times New Roman" w:hAnsi="Avenir Next LT Pro" w:cs="Times New Roman"/>
                <w:sz w:val="18"/>
                <w:szCs w:val="18"/>
              </w:rPr>
              <w:t>Create EDI training programs for all staff to ensure understanding of key concepts like gender studies, intersectionality and equity</w:t>
            </w:r>
            <w:bookmarkEnd w:id="9"/>
          </w:p>
        </w:tc>
        <w:tc>
          <w:tcPr>
            <w:tcW w:w="1515" w:type="dxa"/>
            <w:tcMar>
              <w:left w:w="105" w:type="dxa"/>
              <w:right w:w="105" w:type="dxa"/>
            </w:tcMar>
            <w:vAlign w:val="center"/>
          </w:tcPr>
          <w:p w14:paraId="449FA8A9" w14:textId="77777777" w:rsidR="00FC6A06" w:rsidRPr="00DA2128" w:rsidRDefault="00FC6A06" w:rsidP="00A937C6">
            <w:pPr>
              <w:spacing w:after="200" w:line="240" w:lineRule="auto"/>
              <w:jc w:val="center"/>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0.08*</w:t>
            </w:r>
          </w:p>
        </w:tc>
      </w:tr>
      <w:tr w:rsidR="00FC6A06" w:rsidRPr="00DA2128" w14:paraId="0D642640" w14:textId="77777777" w:rsidTr="007B0AA8">
        <w:trPr>
          <w:trHeight w:val="300"/>
        </w:trPr>
        <w:tc>
          <w:tcPr>
            <w:tcW w:w="585" w:type="dxa"/>
            <w:tcMar>
              <w:left w:w="105" w:type="dxa"/>
              <w:right w:w="105" w:type="dxa"/>
            </w:tcMar>
          </w:tcPr>
          <w:p w14:paraId="3CC57C4B" w14:textId="77777777" w:rsidR="00FC6A06" w:rsidRPr="00DA2128" w:rsidRDefault="00FC6A06" w:rsidP="00A937C6">
            <w:pPr>
              <w:spacing w:after="200" w:line="240" w:lineRule="auto"/>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73</w:t>
            </w:r>
          </w:p>
        </w:tc>
        <w:tc>
          <w:tcPr>
            <w:tcW w:w="6260" w:type="dxa"/>
            <w:tcMar>
              <w:left w:w="105" w:type="dxa"/>
              <w:right w:w="105" w:type="dxa"/>
            </w:tcMar>
          </w:tcPr>
          <w:p w14:paraId="7F3E2BEC" w14:textId="77777777" w:rsidR="00FC6A06" w:rsidRPr="00DA2128" w:rsidRDefault="00FC6A06" w:rsidP="00A937C6">
            <w:pPr>
              <w:spacing w:after="200" w:line="240" w:lineRule="auto"/>
              <w:rPr>
                <w:rStyle w:val="oneUserDefinedStyle"/>
                <w:rFonts w:ascii="Avenir Next LT Pro" w:eastAsia="Times New Roman" w:hAnsi="Avenir Next LT Pro" w:cs="Times New Roman"/>
                <w:sz w:val="18"/>
                <w:szCs w:val="18"/>
              </w:rPr>
            </w:pPr>
            <w:r w:rsidRPr="00DA2128">
              <w:rPr>
                <w:rStyle w:val="oneUserDefinedStyle"/>
                <w:rFonts w:ascii="Avenir Next LT Pro" w:eastAsia="Times New Roman" w:hAnsi="Avenir Next LT Pro" w:cs="Times New Roman"/>
                <w:sz w:val="18"/>
                <w:szCs w:val="18"/>
              </w:rPr>
              <w:t>Develop EDI training for teachers focusing on inclusive teaching strategies</w:t>
            </w:r>
          </w:p>
        </w:tc>
        <w:tc>
          <w:tcPr>
            <w:tcW w:w="1515" w:type="dxa"/>
            <w:tcMar>
              <w:left w:w="105" w:type="dxa"/>
              <w:right w:w="105" w:type="dxa"/>
            </w:tcMar>
            <w:vAlign w:val="center"/>
          </w:tcPr>
          <w:p w14:paraId="0F280568" w14:textId="77777777" w:rsidR="00FC6A06" w:rsidRPr="00DA2128" w:rsidRDefault="00FC6A06" w:rsidP="00A937C6">
            <w:pPr>
              <w:spacing w:after="200" w:line="240" w:lineRule="auto"/>
              <w:jc w:val="center"/>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0.23</w:t>
            </w:r>
          </w:p>
        </w:tc>
      </w:tr>
      <w:tr w:rsidR="00FC6A06" w:rsidRPr="00DA2128" w14:paraId="1364E79F" w14:textId="77777777" w:rsidTr="007B0AA8">
        <w:trPr>
          <w:trHeight w:val="300"/>
        </w:trPr>
        <w:tc>
          <w:tcPr>
            <w:tcW w:w="585" w:type="dxa"/>
            <w:tcMar>
              <w:left w:w="105" w:type="dxa"/>
              <w:right w:w="105" w:type="dxa"/>
            </w:tcMar>
          </w:tcPr>
          <w:p w14:paraId="561C12F5" w14:textId="77777777" w:rsidR="00FC6A06" w:rsidRPr="00DA2128" w:rsidRDefault="00FC6A06" w:rsidP="00A937C6">
            <w:pPr>
              <w:spacing w:after="200" w:line="240" w:lineRule="auto"/>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74</w:t>
            </w:r>
          </w:p>
        </w:tc>
        <w:tc>
          <w:tcPr>
            <w:tcW w:w="6260" w:type="dxa"/>
            <w:tcMar>
              <w:left w:w="105" w:type="dxa"/>
              <w:right w:w="105" w:type="dxa"/>
            </w:tcMar>
          </w:tcPr>
          <w:p w14:paraId="0E101334" w14:textId="77777777" w:rsidR="00FC6A06" w:rsidRPr="00DA2128" w:rsidRDefault="00FC6A06" w:rsidP="00A937C6">
            <w:pPr>
              <w:spacing w:after="200" w:line="240" w:lineRule="auto"/>
              <w:rPr>
                <w:rStyle w:val="oneUserDefinedStyle"/>
                <w:rFonts w:ascii="Avenir Next LT Pro" w:eastAsia="Times New Roman" w:hAnsi="Avenir Next LT Pro" w:cs="Times New Roman"/>
                <w:sz w:val="18"/>
                <w:szCs w:val="18"/>
              </w:rPr>
            </w:pPr>
            <w:r w:rsidRPr="00DA2128">
              <w:rPr>
                <w:rStyle w:val="oneUserDefinedStyle"/>
                <w:rFonts w:ascii="Avenir Next LT Pro" w:eastAsia="Times New Roman" w:hAnsi="Avenir Next LT Pro" w:cs="Times New Roman"/>
                <w:sz w:val="18"/>
                <w:szCs w:val="18"/>
              </w:rPr>
              <w:t>Implement mandatory EDI training for all students</w:t>
            </w:r>
          </w:p>
        </w:tc>
        <w:tc>
          <w:tcPr>
            <w:tcW w:w="1515" w:type="dxa"/>
            <w:tcMar>
              <w:left w:w="105" w:type="dxa"/>
              <w:right w:w="105" w:type="dxa"/>
            </w:tcMar>
            <w:vAlign w:val="center"/>
          </w:tcPr>
          <w:p w14:paraId="19BD6F56" w14:textId="77777777" w:rsidR="00FC6A06" w:rsidRPr="00DA2128" w:rsidRDefault="00FC6A06" w:rsidP="00A937C6">
            <w:pPr>
              <w:spacing w:after="200" w:line="240" w:lineRule="auto"/>
              <w:jc w:val="center"/>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0.43</w:t>
            </w:r>
          </w:p>
        </w:tc>
      </w:tr>
      <w:tr w:rsidR="00FC6A06" w:rsidRPr="00DA2128" w14:paraId="29289796" w14:textId="77777777" w:rsidTr="007B0AA8">
        <w:trPr>
          <w:trHeight w:val="300"/>
        </w:trPr>
        <w:tc>
          <w:tcPr>
            <w:tcW w:w="585" w:type="dxa"/>
            <w:tcMar>
              <w:left w:w="105" w:type="dxa"/>
              <w:right w:w="105" w:type="dxa"/>
            </w:tcMar>
          </w:tcPr>
          <w:p w14:paraId="21168D24" w14:textId="77777777" w:rsidR="00FC6A06" w:rsidRPr="00DA2128" w:rsidRDefault="00FC6A06" w:rsidP="00A937C6">
            <w:pPr>
              <w:spacing w:after="200" w:line="240" w:lineRule="auto"/>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75</w:t>
            </w:r>
          </w:p>
        </w:tc>
        <w:tc>
          <w:tcPr>
            <w:tcW w:w="6260" w:type="dxa"/>
            <w:tcMar>
              <w:left w:w="105" w:type="dxa"/>
              <w:right w:w="105" w:type="dxa"/>
            </w:tcMar>
          </w:tcPr>
          <w:p w14:paraId="79315167" w14:textId="77777777" w:rsidR="00FC6A06" w:rsidRPr="00DA2128" w:rsidRDefault="00FC6A06" w:rsidP="00A937C6">
            <w:pPr>
              <w:spacing w:after="200" w:line="240" w:lineRule="auto"/>
              <w:rPr>
                <w:rStyle w:val="oneUserDefinedStyle"/>
                <w:rFonts w:ascii="Avenir Next LT Pro" w:eastAsia="Times New Roman" w:hAnsi="Avenir Next LT Pro" w:cs="Times New Roman"/>
                <w:sz w:val="18"/>
                <w:szCs w:val="18"/>
              </w:rPr>
            </w:pPr>
            <w:r w:rsidRPr="00DA2128">
              <w:rPr>
                <w:rStyle w:val="oneUserDefinedStyle"/>
                <w:rFonts w:ascii="Avenir Next LT Pro" w:eastAsia="Times New Roman" w:hAnsi="Avenir Next LT Pro" w:cs="Times New Roman"/>
                <w:sz w:val="18"/>
                <w:szCs w:val="18"/>
              </w:rPr>
              <w:t>Provide an introductory EDI lecture specifically for first-year students to ensure they understand the principles of EDI</w:t>
            </w:r>
          </w:p>
        </w:tc>
        <w:tc>
          <w:tcPr>
            <w:tcW w:w="1515" w:type="dxa"/>
            <w:tcMar>
              <w:left w:w="105" w:type="dxa"/>
              <w:right w:w="105" w:type="dxa"/>
            </w:tcMar>
            <w:vAlign w:val="center"/>
          </w:tcPr>
          <w:p w14:paraId="740CC683" w14:textId="77777777" w:rsidR="00FC6A06" w:rsidRPr="00DA2128" w:rsidRDefault="00FC6A06" w:rsidP="00A937C6">
            <w:pPr>
              <w:spacing w:after="200" w:line="240" w:lineRule="auto"/>
              <w:jc w:val="center"/>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0.17</w:t>
            </w:r>
          </w:p>
        </w:tc>
      </w:tr>
      <w:tr w:rsidR="00FC6A06" w:rsidRPr="00DA2128" w14:paraId="27D02F02" w14:textId="77777777" w:rsidTr="007B0AA8">
        <w:trPr>
          <w:trHeight w:val="300"/>
        </w:trPr>
        <w:tc>
          <w:tcPr>
            <w:tcW w:w="585" w:type="dxa"/>
            <w:tcMar>
              <w:left w:w="105" w:type="dxa"/>
              <w:right w:w="105" w:type="dxa"/>
            </w:tcMar>
          </w:tcPr>
          <w:p w14:paraId="154C230C" w14:textId="77777777" w:rsidR="00FC6A06" w:rsidRPr="00DA2128" w:rsidRDefault="00FC6A06" w:rsidP="00A937C6">
            <w:pPr>
              <w:spacing w:after="200" w:line="240" w:lineRule="auto"/>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77</w:t>
            </w:r>
          </w:p>
        </w:tc>
        <w:tc>
          <w:tcPr>
            <w:tcW w:w="6260" w:type="dxa"/>
            <w:tcMar>
              <w:left w:w="105" w:type="dxa"/>
              <w:right w:w="105" w:type="dxa"/>
            </w:tcMar>
          </w:tcPr>
          <w:p w14:paraId="24E936C3" w14:textId="77777777" w:rsidR="00FC6A06" w:rsidRPr="00DA2128" w:rsidRDefault="00FC6A06" w:rsidP="00A937C6">
            <w:pPr>
              <w:spacing w:after="200" w:line="240" w:lineRule="auto"/>
              <w:rPr>
                <w:rStyle w:val="oneUserDefinedStyle"/>
                <w:rFonts w:ascii="Avenir Next LT Pro" w:eastAsia="Times New Roman" w:hAnsi="Avenir Next LT Pro" w:cs="Times New Roman"/>
                <w:sz w:val="18"/>
                <w:szCs w:val="18"/>
              </w:rPr>
            </w:pPr>
            <w:r w:rsidRPr="00DA2128">
              <w:rPr>
                <w:rStyle w:val="oneUserDefinedStyle"/>
                <w:rFonts w:ascii="Avenir Next LT Pro" w:eastAsia="Times New Roman" w:hAnsi="Avenir Next LT Pro" w:cs="Times New Roman"/>
                <w:sz w:val="18"/>
                <w:szCs w:val="18"/>
              </w:rPr>
              <w:t>Implement a train-the-trainer system for EDI to equip leaders and staff with the skills to educate others and address biases effectively</w:t>
            </w:r>
          </w:p>
        </w:tc>
        <w:tc>
          <w:tcPr>
            <w:tcW w:w="1515" w:type="dxa"/>
            <w:tcMar>
              <w:left w:w="105" w:type="dxa"/>
              <w:right w:w="105" w:type="dxa"/>
            </w:tcMar>
            <w:vAlign w:val="center"/>
          </w:tcPr>
          <w:p w14:paraId="21E6A18C" w14:textId="77777777" w:rsidR="00FC6A06" w:rsidRPr="00DA2128" w:rsidRDefault="00FC6A06" w:rsidP="00A937C6">
            <w:pPr>
              <w:spacing w:after="200" w:line="240" w:lineRule="auto"/>
              <w:jc w:val="center"/>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0.44</w:t>
            </w:r>
          </w:p>
        </w:tc>
      </w:tr>
      <w:tr w:rsidR="00FC6A06" w:rsidRPr="00DA2128" w14:paraId="20969E5E" w14:textId="77777777" w:rsidTr="007B0AA8">
        <w:trPr>
          <w:trHeight w:val="300"/>
        </w:trPr>
        <w:tc>
          <w:tcPr>
            <w:tcW w:w="6845" w:type="dxa"/>
            <w:gridSpan w:val="2"/>
            <w:tcMar>
              <w:left w:w="105" w:type="dxa"/>
              <w:right w:w="105" w:type="dxa"/>
            </w:tcMar>
            <w:vAlign w:val="bottom"/>
          </w:tcPr>
          <w:p w14:paraId="78A82D93" w14:textId="77777777" w:rsidR="00FC6A06" w:rsidRPr="00DA2128" w:rsidRDefault="00FC6A06" w:rsidP="00A937C6">
            <w:pPr>
              <w:spacing w:after="200" w:line="240" w:lineRule="auto"/>
              <w:jc w:val="center"/>
              <w:rPr>
                <w:rFonts w:eastAsia="Times New Roman" w:cs="Times New Roman"/>
                <w:color w:val="1B2232"/>
                <w:sz w:val="18"/>
                <w:szCs w:val="18"/>
              </w:rPr>
            </w:pPr>
            <w:r w:rsidRPr="00DA2128">
              <w:rPr>
                <w:rStyle w:val="oneUserDefinedStyle"/>
                <w:rFonts w:ascii="Avenir Next LT Pro" w:eastAsia="Times New Roman" w:hAnsi="Avenir Next LT Pro" w:cs="Times New Roman"/>
                <w:b/>
                <w:bCs/>
                <w:sz w:val="18"/>
                <w:szCs w:val="18"/>
              </w:rPr>
              <w:t>Cluster 2: Facilitating events, activities and community engagement</w:t>
            </w:r>
          </w:p>
        </w:tc>
        <w:tc>
          <w:tcPr>
            <w:tcW w:w="1515" w:type="dxa"/>
            <w:tcMar>
              <w:left w:w="105" w:type="dxa"/>
              <w:right w:w="105" w:type="dxa"/>
            </w:tcMar>
            <w:vAlign w:val="center"/>
          </w:tcPr>
          <w:p w14:paraId="66E9560A" w14:textId="77777777" w:rsidR="00FC6A06" w:rsidRPr="00DA2128" w:rsidRDefault="00FC6A06"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b/>
                <w:bCs/>
                <w:color w:val="000000" w:themeColor="text1"/>
                <w:sz w:val="18"/>
                <w:szCs w:val="18"/>
              </w:rPr>
              <w:t>0.18</w:t>
            </w:r>
          </w:p>
        </w:tc>
      </w:tr>
      <w:tr w:rsidR="00FC6A06" w:rsidRPr="00DA2128" w14:paraId="37A50D6E" w14:textId="77777777" w:rsidTr="007B0AA8">
        <w:trPr>
          <w:trHeight w:val="300"/>
        </w:trPr>
        <w:tc>
          <w:tcPr>
            <w:tcW w:w="585" w:type="dxa"/>
            <w:tcMar>
              <w:left w:w="105" w:type="dxa"/>
              <w:right w:w="105" w:type="dxa"/>
            </w:tcMar>
          </w:tcPr>
          <w:p w14:paraId="4D4642BB" w14:textId="77777777" w:rsidR="00FC6A06" w:rsidRPr="00DA2128" w:rsidRDefault="00FC6A06" w:rsidP="00A937C6">
            <w:pPr>
              <w:spacing w:after="200" w:line="240" w:lineRule="auto"/>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2</w:t>
            </w:r>
          </w:p>
        </w:tc>
        <w:tc>
          <w:tcPr>
            <w:tcW w:w="6260" w:type="dxa"/>
            <w:tcMar>
              <w:left w:w="105" w:type="dxa"/>
              <w:right w:w="105" w:type="dxa"/>
            </w:tcMar>
          </w:tcPr>
          <w:p w14:paraId="1B7ADDD2" w14:textId="77777777" w:rsidR="00FC6A06" w:rsidRPr="00DA2128" w:rsidRDefault="00FC6A06" w:rsidP="00A937C6">
            <w:pPr>
              <w:spacing w:after="200" w:line="240" w:lineRule="auto"/>
              <w:rPr>
                <w:rStyle w:val="oneUserDefinedStyle"/>
                <w:rFonts w:ascii="Avenir Next LT Pro" w:eastAsia="Times New Roman" w:hAnsi="Avenir Next LT Pro" w:cs="Times New Roman"/>
                <w:sz w:val="18"/>
                <w:szCs w:val="18"/>
              </w:rPr>
            </w:pPr>
            <w:r w:rsidRPr="00DA2128">
              <w:rPr>
                <w:rStyle w:val="oneUserDefinedStyle"/>
                <w:rFonts w:ascii="Avenir Next LT Pro" w:eastAsia="Times New Roman" w:hAnsi="Avenir Next LT Pro" w:cs="Times New Roman"/>
                <w:sz w:val="18"/>
                <w:szCs w:val="18"/>
              </w:rPr>
              <w:t>Host regular activities such as forums awareness days and dedicated events</w:t>
            </w:r>
          </w:p>
        </w:tc>
        <w:tc>
          <w:tcPr>
            <w:tcW w:w="1515" w:type="dxa"/>
            <w:tcMar>
              <w:left w:w="105" w:type="dxa"/>
              <w:right w:w="105" w:type="dxa"/>
            </w:tcMar>
            <w:vAlign w:val="center"/>
          </w:tcPr>
          <w:p w14:paraId="539C8B9E" w14:textId="77777777" w:rsidR="00FC6A06" w:rsidRPr="00DA2128" w:rsidRDefault="00FC6A06" w:rsidP="00A937C6">
            <w:pPr>
              <w:spacing w:after="200" w:line="240" w:lineRule="auto"/>
              <w:jc w:val="center"/>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0.04</w:t>
            </w:r>
          </w:p>
        </w:tc>
      </w:tr>
      <w:tr w:rsidR="00FC6A06" w:rsidRPr="00DA2128" w14:paraId="0E01B4ED" w14:textId="77777777" w:rsidTr="007B0AA8">
        <w:trPr>
          <w:trHeight w:val="300"/>
        </w:trPr>
        <w:tc>
          <w:tcPr>
            <w:tcW w:w="585" w:type="dxa"/>
            <w:tcMar>
              <w:left w:w="105" w:type="dxa"/>
              <w:right w:w="105" w:type="dxa"/>
            </w:tcMar>
          </w:tcPr>
          <w:p w14:paraId="5201176A" w14:textId="77777777" w:rsidR="00FC6A06" w:rsidRPr="00DA2128" w:rsidRDefault="00FC6A06" w:rsidP="00A937C6">
            <w:pPr>
              <w:spacing w:after="200" w:line="240" w:lineRule="auto"/>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3</w:t>
            </w:r>
          </w:p>
        </w:tc>
        <w:tc>
          <w:tcPr>
            <w:tcW w:w="6260" w:type="dxa"/>
            <w:tcMar>
              <w:left w:w="105" w:type="dxa"/>
              <w:right w:w="105" w:type="dxa"/>
            </w:tcMar>
          </w:tcPr>
          <w:p w14:paraId="0EEC3146" w14:textId="77777777" w:rsidR="00FC6A06" w:rsidRPr="00DA2128" w:rsidRDefault="00FC6A06" w:rsidP="00A937C6">
            <w:pPr>
              <w:spacing w:after="200" w:line="240" w:lineRule="auto"/>
              <w:rPr>
                <w:rStyle w:val="oneUserDefinedStyle"/>
                <w:rFonts w:ascii="Avenir Next LT Pro" w:eastAsia="Times New Roman" w:hAnsi="Avenir Next LT Pro" w:cs="Times New Roman"/>
                <w:sz w:val="18"/>
                <w:szCs w:val="18"/>
              </w:rPr>
            </w:pPr>
            <w:r w:rsidRPr="00DA2128">
              <w:rPr>
                <w:rStyle w:val="oneUserDefinedStyle"/>
                <w:rFonts w:ascii="Avenir Next LT Pro" w:eastAsia="Times New Roman" w:hAnsi="Avenir Next LT Pro" w:cs="Times New Roman"/>
                <w:sz w:val="18"/>
                <w:szCs w:val="18"/>
              </w:rPr>
              <w:t>Host inspirational lectures and testimonials from individuals who have experienced discrimination or racism</w:t>
            </w:r>
          </w:p>
        </w:tc>
        <w:tc>
          <w:tcPr>
            <w:tcW w:w="1515" w:type="dxa"/>
            <w:tcMar>
              <w:left w:w="105" w:type="dxa"/>
              <w:right w:w="105" w:type="dxa"/>
            </w:tcMar>
            <w:vAlign w:val="center"/>
          </w:tcPr>
          <w:p w14:paraId="162B1643" w14:textId="77777777" w:rsidR="00FC6A06" w:rsidRPr="00DA2128" w:rsidRDefault="00FC6A06" w:rsidP="00A937C6">
            <w:pPr>
              <w:spacing w:after="200" w:line="240" w:lineRule="auto"/>
              <w:jc w:val="center"/>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0.04</w:t>
            </w:r>
          </w:p>
        </w:tc>
      </w:tr>
      <w:tr w:rsidR="00FC6A06" w:rsidRPr="00DA2128" w14:paraId="5B253540" w14:textId="77777777" w:rsidTr="007B0AA8">
        <w:trPr>
          <w:trHeight w:val="300"/>
        </w:trPr>
        <w:tc>
          <w:tcPr>
            <w:tcW w:w="585" w:type="dxa"/>
            <w:tcMar>
              <w:left w:w="105" w:type="dxa"/>
              <w:right w:w="105" w:type="dxa"/>
            </w:tcMar>
          </w:tcPr>
          <w:p w14:paraId="72869E7E" w14:textId="77777777" w:rsidR="00FC6A06" w:rsidRPr="00DA2128" w:rsidRDefault="00FC6A06" w:rsidP="00A937C6">
            <w:pPr>
              <w:spacing w:after="200" w:line="240" w:lineRule="auto"/>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7</w:t>
            </w:r>
          </w:p>
        </w:tc>
        <w:tc>
          <w:tcPr>
            <w:tcW w:w="6260" w:type="dxa"/>
            <w:tcMar>
              <w:left w:w="105" w:type="dxa"/>
              <w:right w:w="105" w:type="dxa"/>
            </w:tcMar>
          </w:tcPr>
          <w:p w14:paraId="317B4308" w14:textId="77777777" w:rsidR="00FC6A06" w:rsidRPr="00DA2128" w:rsidRDefault="00FC6A06" w:rsidP="00A937C6">
            <w:pPr>
              <w:spacing w:after="200" w:line="240" w:lineRule="auto"/>
              <w:rPr>
                <w:rStyle w:val="oneUserDefinedStyle"/>
                <w:rFonts w:ascii="Avenir Next LT Pro" w:eastAsia="Times New Roman" w:hAnsi="Avenir Next LT Pro" w:cs="Times New Roman"/>
                <w:sz w:val="18"/>
                <w:szCs w:val="18"/>
              </w:rPr>
            </w:pPr>
            <w:r w:rsidRPr="00DA2128">
              <w:rPr>
                <w:rStyle w:val="oneUserDefinedStyle"/>
                <w:rFonts w:ascii="Avenir Next LT Pro" w:eastAsia="Times New Roman" w:hAnsi="Avenir Next LT Pro" w:cs="Times New Roman"/>
                <w:sz w:val="18"/>
                <w:szCs w:val="18"/>
              </w:rPr>
              <w:t>Raise awareness of EDI beyond the university by organizing events that involve not only students and faculty, but also the wider community</w:t>
            </w:r>
          </w:p>
        </w:tc>
        <w:tc>
          <w:tcPr>
            <w:tcW w:w="1515" w:type="dxa"/>
            <w:tcMar>
              <w:left w:w="105" w:type="dxa"/>
              <w:right w:w="105" w:type="dxa"/>
            </w:tcMar>
            <w:vAlign w:val="center"/>
          </w:tcPr>
          <w:p w14:paraId="60C75C1A" w14:textId="77777777" w:rsidR="00FC6A06" w:rsidRPr="00DA2128" w:rsidRDefault="00FC6A06" w:rsidP="00A937C6">
            <w:pPr>
              <w:spacing w:after="200" w:line="240" w:lineRule="auto"/>
              <w:jc w:val="center"/>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0.19</w:t>
            </w:r>
          </w:p>
        </w:tc>
      </w:tr>
      <w:tr w:rsidR="00FC6A06" w:rsidRPr="00DA2128" w14:paraId="5546E85F" w14:textId="77777777" w:rsidTr="007B0AA8">
        <w:trPr>
          <w:trHeight w:val="300"/>
        </w:trPr>
        <w:tc>
          <w:tcPr>
            <w:tcW w:w="585" w:type="dxa"/>
            <w:tcMar>
              <w:left w:w="105" w:type="dxa"/>
              <w:right w:w="105" w:type="dxa"/>
            </w:tcMar>
          </w:tcPr>
          <w:p w14:paraId="3D78AFFE" w14:textId="77777777" w:rsidR="00FC6A06" w:rsidRPr="00DA2128" w:rsidRDefault="00FC6A06" w:rsidP="00A937C6">
            <w:pPr>
              <w:spacing w:after="200" w:line="240" w:lineRule="auto"/>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8</w:t>
            </w:r>
          </w:p>
        </w:tc>
        <w:tc>
          <w:tcPr>
            <w:tcW w:w="6260" w:type="dxa"/>
            <w:tcMar>
              <w:left w:w="105" w:type="dxa"/>
              <w:right w:w="105" w:type="dxa"/>
            </w:tcMar>
          </w:tcPr>
          <w:p w14:paraId="5A0471A6" w14:textId="77777777" w:rsidR="00FC6A06" w:rsidRPr="00DA2128" w:rsidRDefault="00FC6A06" w:rsidP="00A937C6">
            <w:pPr>
              <w:spacing w:after="200" w:line="240" w:lineRule="auto"/>
              <w:rPr>
                <w:rStyle w:val="oneUserDefinedStyle"/>
                <w:rFonts w:ascii="Avenir Next LT Pro" w:eastAsia="Times New Roman" w:hAnsi="Avenir Next LT Pro" w:cs="Times New Roman"/>
                <w:sz w:val="18"/>
                <w:szCs w:val="18"/>
              </w:rPr>
            </w:pPr>
            <w:r w:rsidRPr="00DA2128">
              <w:rPr>
                <w:rStyle w:val="oneUserDefinedStyle"/>
                <w:rFonts w:ascii="Avenir Next LT Pro" w:eastAsia="Times New Roman" w:hAnsi="Avenir Next LT Pro" w:cs="Times New Roman"/>
                <w:sz w:val="18"/>
                <w:szCs w:val="18"/>
              </w:rPr>
              <w:t>Highlight EDI issues during specific times of the year such as EDI week or Diversity Month through events forums and guest speakers</w:t>
            </w:r>
          </w:p>
        </w:tc>
        <w:tc>
          <w:tcPr>
            <w:tcW w:w="1515" w:type="dxa"/>
            <w:tcMar>
              <w:left w:w="105" w:type="dxa"/>
              <w:right w:w="105" w:type="dxa"/>
            </w:tcMar>
            <w:vAlign w:val="center"/>
          </w:tcPr>
          <w:p w14:paraId="7788C6FE" w14:textId="77777777" w:rsidR="00FC6A06" w:rsidRPr="00DA2128" w:rsidRDefault="00FC6A06" w:rsidP="00A937C6">
            <w:pPr>
              <w:spacing w:after="200" w:line="240" w:lineRule="auto"/>
              <w:jc w:val="center"/>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0.44</w:t>
            </w:r>
          </w:p>
        </w:tc>
      </w:tr>
      <w:tr w:rsidR="00FC6A06" w:rsidRPr="00DA2128" w14:paraId="2894F873" w14:textId="77777777" w:rsidTr="007B0AA8">
        <w:trPr>
          <w:trHeight w:val="300"/>
        </w:trPr>
        <w:tc>
          <w:tcPr>
            <w:tcW w:w="585" w:type="dxa"/>
            <w:tcMar>
              <w:left w:w="105" w:type="dxa"/>
              <w:right w:w="105" w:type="dxa"/>
            </w:tcMar>
          </w:tcPr>
          <w:p w14:paraId="1C4D6625" w14:textId="77777777" w:rsidR="00FC6A06" w:rsidRPr="00DA2128" w:rsidRDefault="00FC6A06" w:rsidP="00A937C6">
            <w:pPr>
              <w:spacing w:after="200" w:line="240" w:lineRule="auto"/>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15</w:t>
            </w:r>
          </w:p>
        </w:tc>
        <w:tc>
          <w:tcPr>
            <w:tcW w:w="6260" w:type="dxa"/>
            <w:tcMar>
              <w:left w:w="105" w:type="dxa"/>
              <w:right w:w="105" w:type="dxa"/>
            </w:tcMar>
          </w:tcPr>
          <w:p w14:paraId="605466EA" w14:textId="77777777" w:rsidR="00FC6A06" w:rsidRPr="00DA2128" w:rsidRDefault="00FC6A06" w:rsidP="00A937C6">
            <w:pPr>
              <w:spacing w:after="200" w:line="240" w:lineRule="auto"/>
              <w:rPr>
                <w:rStyle w:val="oneUserDefinedStyle"/>
                <w:rFonts w:ascii="Avenir Next LT Pro" w:eastAsia="Times New Roman" w:hAnsi="Avenir Next LT Pro" w:cs="Times New Roman"/>
                <w:sz w:val="18"/>
                <w:szCs w:val="18"/>
              </w:rPr>
            </w:pPr>
            <w:r w:rsidRPr="00DA2128">
              <w:rPr>
                <w:rStyle w:val="oneUserDefinedStyle"/>
                <w:rFonts w:ascii="Avenir Next LT Pro" w:eastAsia="Times New Roman" w:hAnsi="Avenir Next LT Pro" w:cs="Times New Roman"/>
                <w:sz w:val="18"/>
                <w:szCs w:val="18"/>
              </w:rPr>
              <w:t>Enhance internal collaboration on EDI by promoting cross-departmental dialogues workshops and the sharing of best practices</w:t>
            </w:r>
          </w:p>
        </w:tc>
        <w:tc>
          <w:tcPr>
            <w:tcW w:w="1515" w:type="dxa"/>
            <w:tcMar>
              <w:left w:w="105" w:type="dxa"/>
              <w:right w:w="105" w:type="dxa"/>
            </w:tcMar>
            <w:vAlign w:val="center"/>
          </w:tcPr>
          <w:p w14:paraId="20FD182B" w14:textId="77777777" w:rsidR="00FC6A06" w:rsidRPr="00DA2128" w:rsidRDefault="00FC6A06" w:rsidP="00A937C6">
            <w:pPr>
              <w:spacing w:after="200" w:line="240" w:lineRule="auto"/>
              <w:jc w:val="center"/>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0.29</w:t>
            </w:r>
          </w:p>
        </w:tc>
      </w:tr>
      <w:tr w:rsidR="00FC6A06" w:rsidRPr="00DA2128" w14:paraId="21CAB089" w14:textId="77777777" w:rsidTr="007B0AA8">
        <w:trPr>
          <w:trHeight w:val="300"/>
        </w:trPr>
        <w:tc>
          <w:tcPr>
            <w:tcW w:w="585" w:type="dxa"/>
            <w:tcMar>
              <w:left w:w="105" w:type="dxa"/>
              <w:right w:w="105" w:type="dxa"/>
            </w:tcMar>
          </w:tcPr>
          <w:p w14:paraId="760C0A8C" w14:textId="77777777" w:rsidR="00FC6A06" w:rsidRPr="00DA2128" w:rsidRDefault="00FC6A06" w:rsidP="00A937C6">
            <w:pPr>
              <w:spacing w:after="200" w:line="240" w:lineRule="auto"/>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24</w:t>
            </w:r>
          </w:p>
        </w:tc>
        <w:tc>
          <w:tcPr>
            <w:tcW w:w="6260" w:type="dxa"/>
            <w:tcMar>
              <w:left w:w="105" w:type="dxa"/>
              <w:right w:w="105" w:type="dxa"/>
            </w:tcMar>
          </w:tcPr>
          <w:p w14:paraId="46FD9498" w14:textId="77777777" w:rsidR="00FC6A06" w:rsidRPr="00DA2128" w:rsidRDefault="00FC6A06" w:rsidP="00A937C6">
            <w:pPr>
              <w:spacing w:after="200" w:line="240" w:lineRule="auto"/>
              <w:rPr>
                <w:rStyle w:val="oneUserDefinedStyle"/>
                <w:rFonts w:ascii="Avenir Next LT Pro" w:eastAsia="Times New Roman" w:hAnsi="Avenir Next LT Pro" w:cs="Times New Roman"/>
                <w:sz w:val="18"/>
                <w:szCs w:val="18"/>
              </w:rPr>
            </w:pPr>
            <w:r w:rsidRPr="00DA2128">
              <w:rPr>
                <w:rStyle w:val="oneUserDefinedStyle"/>
                <w:rFonts w:ascii="Avenir Next LT Pro" w:eastAsia="Times New Roman" w:hAnsi="Avenir Next LT Pro" w:cs="Times New Roman"/>
                <w:sz w:val="18"/>
                <w:szCs w:val="18"/>
              </w:rPr>
              <w:t>Organise events and activities that promote diversity, encourage dialogue on EDI and celebrate different cultures and perspectives within the university community</w:t>
            </w:r>
          </w:p>
        </w:tc>
        <w:tc>
          <w:tcPr>
            <w:tcW w:w="1515" w:type="dxa"/>
            <w:tcMar>
              <w:left w:w="105" w:type="dxa"/>
              <w:right w:w="105" w:type="dxa"/>
            </w:tcMar>
            <w:vAlign w:val="center"/>
          </w:tcPr>
          <w:p w14:paraId="093A6F40" w14:textId="77777777" w:rsidR="00FC6A06" w:rsidRPr="00DA2128" w:rsidRDefault="00FC6A06" w:rsidP="00A937C6">
            <w:pPr>
              <w:spacing w:after="200" w:line="240" w:lineRule="auto"/>
              <w:jc w:val="center"/>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0.06</w:t>
            </w:r>
          </w:p>
        </w:tc>
      </w:tr>
      <w:tr w:rsidR="00FC6A06" w:rsidRPr="00DA2128" w14:paraId="4028132B" w14:textId="77777777" w:rsidTr="007B0AA8">
        <w:trPr>
          <w:trHeight w:val="300"/>
        </w:trPr>
        <w:tc>
          <w:tcPr>
            <w:tcW w:w="585" w:type="dxa"/>
            <w:tcMar>
              <w:left w:w="105" w:type="dxa"/>
              <w:right w:w="105" w:type="dxa"/>
            </w:tcMar>
          </w:tcPr>
          <w:p w14:paraId="77E339C7" w14:textId="77777777" w:rsidR="00FC6A06" w:rsidRPr="00DA2128" w:rsidRDefault="00FC6A06" w:rsidP="00A937C6">
            <w:pPr>
              <w:spacing w:after="200" w:line="240" w:lineRule="auto"/>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25</w:t>
            </w:r>
          </w:p>
        </w:tc>
        <w:tc>
          <w:tcPr>
            <w:tcW w:w="6260" w:type="dxa"/>
            <w:tcMar>
              <w:left w:w="105" w:type="dxa"/>
              <w:right w:w="105" w:type="dxa"/>
            </w:tcMar>
          </w:tcPr>
          <w:p w14:paraId="632C8878" w14:textId="77777777" w:rsidR="00FC6A06" w:rsidRPr="00DA2128" w:rsidRDefault="00FC6A06" w:rsidP="00A937C6">
            <w:pPr>
              <w:spacing w:after="200" w:line="240" w:lineRule="auto"/>
              <w:rPr>
                <w:rStyle w:val="oneUserDefinedStyle"/>
                <w:rFonts w:ascii="Avenir Next LT Pro" w:eastAsia="Times New Roman" w:hAnsi="Avenir Next LT Pro" w:cs="Times New Roman"/>
                <w:sz w:val="18"/>
                <w:szCs w:val="18"/>
              </w:rPr>
            </w:pPr>
            <w:r w:rsidRPr="00DA2128">
              <w:rPr>
                <w:rStyle w:val="oneUserDefinedStyle"/>
                <w:rFonts w:ascii="Avenir Next LT Pro" w:eastAsia="Times New Roman" w:hAnsi="Avenir Next LT Pro" w:cs="Times New Roman"/>
                <w:sz w:val="18"/>
                <w:szCs w:val="18"/>
              </w:rPr>
              <w:t>Organise events where international students can meet and connect with local students and staff to promote cultural exchange</w:t>
            </w:r>
          </w:p>
        </w:tc>
        <w:tc>
          <w:tcPr>
            <w:tcW w:w="1515" w:type="dxa"/>
            <w:tcMar>
              <w:left w:w="105" w:type="dxa"/>
              <w:right w:w="105" w:type="dxa"/>
            </w:tcMar>
            <w:vAlign w:val="center"/>
          </w:tcPr>
          <w:p w14:paraId="3E7C4321" w14:textId="77777777" w:rsidR="00FC6A06" w:rsidRPr="00DA2128" w:rsidRDefault="00FC6A06" w:rsidP="00A937C6">
            <w:pPr>
              <w:spacing w:after="200" w:line="240" w:lineRule="auto"/>
              <w:jc w:val="center"/>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0.49</w:t>
            </w:r>
          </w:p>
        </w:tc>
      </w:tr>
      <w:tr w:rsidR="00FC6A06" w:rsidRPr="00DA2128" w14:paraId="624C35BB" w14:textId="77777777" w:rsidTr="007B0AA8">
        <w:trPr>
          <w:trHeight w:val="300"/>
        </w:trPr>
        <w:tc>
          <w:tcPr>
            <w:tcW w:w="585" w:type="dxa"/>
            <w:tcMar>
              <w:left w:w="105" w:type="dxa"/>
              <w:right w:w="105" w:type="dxa"/>
            </w:tcMar>
          </w:tcPr>
          <w:p w14:paraId="5C742BB7" w14:textId="77777777" w:rsidR="00FC6A06" w:rsidRPr="00DA2128" w:rsidRDefault="00FC6A06" w:rsidP="00A937C6">
            <w:pPr>
              <w:spacing w:after="200" w:line="240" w:lineRule="auto"/>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26</w:t>
            </w:r>
          </w:p>
        </w:tc>
        <w:tc>
          <w:tcPr>
            <w:tcW w:w="6260" w:type="dxa"/>
            <w:tcMar>
              <w:left w:w="105" w:type="dxa"/>
              <w:right w:w="105" w:type="dxa"/>
            </w:tcMar>
          </w:tcPr>
          <w:p w14:paraId="6FBDF62D" w14:textId="77777777" w:rsidR="00FC6A06" w:rsidRPr="00DA2128" w:rsidRDefault="00FC6A06" w:rsidP="00A937C6">
            <w:pPr>
              <w:spacing w:after="200" w:line="240" w:lineRule="auto"/>
              <w:rPr>
                <w:rStyle w:val="oneUserDefinedStyle"/>
                <w:rFonts w:ascii="Avenir Next LT Pro" w:eastAsia="Times New Roman" w:hAnsi="Avenir Next LT Pro" w:cs="Times New Roman"/>
                <w:sz w:val="18"/>
                <w:szCs w:val="18"/>
              </w:rPr>
            </w:pPr>
            <w:r w:rsidRPr="00DA2128">
              <w:rPr>
                <w:rStyle w:val="oneUserDefinedStyle"/>
                <w:rFonts w:ascii="Avenir Next LT Pro" w:eastAsia="Times New Roman" w:hAnsi="Avenir Next LT Pro" w:cs="Times New Roman"/>
                <w:sz w:val="18"/>
                <w:szCs w:val="18"/>
              </w:rPr>
              <w:t>Organise events with training workshops and interactive activities to raise awareness and exchange knowledge on EDI topics among staff and students</w:t>
            </w:r>
          </w:p>
        </w:tc>
        <w:tc>
          <w:tcPr>
            <w:tcW w:w="1515" w:type="dxa"/>
            <w:tcMar>
              <w:left w:w="105" w:type="dxa"/>
              <w:right w:w="105" w:type="dxa"/>
            </w:tcMar>
            <w:vAlign w:val="center"/>
          </w:tcPr>
          <w:p w14:paraId="659A0F5C" w14:textId="77777777" w:rsidR="00FC6A06" w:rsidRPr="00DA2128" w:rsidRDefault="00FC6A06" w:rsidP="00A937C6">
            <w:pPr>
              <w:spacing w:after="200" w:line="240" w:lineRule="auto"/>
              <w:jc w:val="center"/>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0.03</w:t>
            </w:r>
          </w:p>
        </w:tc>
      </w:tr>
      <w:tr w:rsidR="00FC6A06" w:rsidRPr="00DA2128" w14:paraId="0F28C761" w14:textId="77777777" w:rsidTr="007B0AA8">
        <w:trPr>
          <w:trHeight w:val="300"/>
        </w:trPr>
        <w:tc>
          <w:tcPr>
            <w:tcW w:w="585" w:type="dxa"/>
            <w:tcMar>
              <w:left w:w="105" w:type="dxa"/>
              <w:right w:w="105" w:type="dxa"/>
            </w:tcMar>
          </w:tcPr>
          <w:p w14:paraId="20B623B2" w14:textId="77777777" w:rsidR="00FC6A06" w:rsidRPr="00DA2128" w:rsidRDefault="00FC6A06" w:rsidP="00A937C6">
            <w:pPr>
              <w:spacing w:after="200" w:line="240" w:lineRule="auto"/>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27</w:t>
            </w:r>
          </w:p>
        </w:tc>
        <w:tc>
          <w:tcPr>
            <w:tcW w:w="6260" w:type="dxa"/>
            <w:tcMar>
              <w:left w:w="105" w:type="dxa"/>
              <w:right w:w="105" w:type="dxa"/>
            </w:tcMar>
          </w:tcPr>
          <w:p w14:paraId="06843890" w14:textId="77777777" w:rsidR="00FC6A06" w:rsidRPr="00DA2128" w:rsidRDefault="00FC6A06" w:rsidP="00A937C6">
            <w:pPr>
              <w:spacing w:after="200" w:line="240" w:lineRule="auto"/>
              <w:rPr>
                <w:rStyle w:val="oneUserDefinedStyle"/>
                <w:rFonts w:ascii="Avenir Next LT Pro" w:eastAsia="Times New Roman" w:hAnsi="Avenir Next LT Pro" w:cs="Times New Roman"/>
                <w:sz w:val="18"/>
                <w:szCs w:val="18"/>
              </w:rPr>
            </w:pPr>
            <w:r w:rsidRPr="00DA2128">
              <w:rPr>
                <w:rStyle w:val="oneUserDefinedStyle"/>
                <w:rFonts w:ascii="Avenir Next LT Pro" w:eastAsia="Times New Roman" w:hAnsi="Avenir Next LT Pro" w:cs="Times New Roman"/>
                <w:sz w:val="18"/>
                <w:szCs w:val="18"/>
              </w:rPr>
              <w:t>Organise accessible EDI-related events by offering hybrid formats suitable timings and translations ensuring inclusivity for all participants</w:t>
            </w:r>
          </w:p>
        </w:tc>
        <w:tc>
          <w:tcPr>
            <w:tcW w:w="1515" w:type="dxa"/>
            <w:tcMar>
              <w:left w:w="105" w:type="dxa"/>
              <w:right w:w="105" w:type="dxa"/>
            </w:tcMar>
            <w:vAlign w:val="center"/>
          </w:tcPr>
          <w:p w14:paraId="197A9813" w14:textId="77777777" w:rsidR="00FC6A06" w:rsidRPr="00DA2128" w:rsidRDefault="00FC6A06" w:rsidP="00A937C6">
            <w:pPr>
              <w:spacing w:after="200" w:line="240" w:lineRule="auto"/>
              <w:jc w:val="center"/>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0*</w:t>
            </w:r>
          </w:p>
        </w:tc>
      </w:tr>
      <w:tr w:rsidR="00FC6A06" w:rsidRPr="00DA2128" w14:paraId="45614FA6" w14:textId="77777777" w:rsidTr="007B0AA8">
        <w:trPr>
          <w:trHeight w:val="300"/>
        </w:trPr>
        <w:tc>
          <w:tcPr>
            <w:tcW w:w="585" w:type="dxa"/>
            <w:tcMar>
              <w:left w:w="105" w:type="dxa"/>
              <w:right w:w="105" w:type="dxa"/>
            </w:tcMar>
          </w:tcPr>
          <w:p w14:paraId="2A7589BD" w14:textId="77777777" w:rsidR="00FC6A06" w:rsidRPr="00DA2128" w:rsidRDefault="00FC6A06" w:rsidP="00A937C6">
            <w:pPr>
              <w:spacing w:after="200" w:line="240" w:lineRule="auto"/>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43</w:t>
            </w:r>
          </w:p>
        </w:tc>
        <w:tc>
          <w:tcPr>
            <w:tcW w:w="6260" w:type="dxa"/>
            <w:tcMar>
              <w:left w:w="105" w:type="dxa"/>
              <w:right w:w="105" w:type="dxa"/>
            </w:tcMar>
          </w:tcPr>
          <w:p w14:paraId="7A31E5A8" w14:textId="77777777" w:rsidR="00FC6A06" w:rsidRPr="00DA2128" w:rsidRDefault="00FC6A06" w:rsidP="00A937C6">
            <w:pPr>
              <w:spacing w:after="200" w:line="240" w:lineRule="auto"/>
              <w:rPr>
                <w:rStyle w:val="oneUserDefinedStyle"/>
                <w:rFonts w:ascii="Avenir Next LT Pro" w:eastAsia="Times New Roman" w:hAnsi="Avenir Next LT Pro" w:cs="Times New Roman"/>
                <w:sz w:val="18"/>
                <w:szCs w:val="18"/>
              </w:rPr>
            </w:pPr>
            <w:r w:rsidRPr="00DA2128">
              <w:rPr>
                <w:rStyle w:val="oneUserDefinedStyle"/>
                <w:rFonts w:ascii="Avenir Next LT Pro" w:eastAsia="Times New Roman" w:hAnsi="Avenir Next LT Pro" w:cs="Times New Roman"/>
                <w:sz w:val="18"/>
                <w:szCs w:val="18"/>
              </w:rPr>
              <w:t>Widen participation by offering inclusive courses</w:t>
            </w:r>
          </w:p>
        </w:tc>
        <w:tc>
          <w:tcPr>
            <w:tcW w:w="1515" w:type="dxa"/>
            <w:tcMar>
              <w:left w:w="105" w:type="dxa"/>
              <w:right w:w="105" w:type="dxa"/>
            </w:tcMar>
            <w:vAlign w:val="center"/>
          </w:tcPr>
          <w:p w14:paraId="6744619A" w14:textId="77777777" w:rsidR="00FC6A06" w:rsidRPr="00DA2128" w:rsidRDefault="00FC6A06" w:rsidP="00A937C6">
            <w:pPr>
              <w:spacing w:after="200" w:line="240" w:lineRule="auto"/>
              <w:jc w:val="center"/>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0.4</w:t>
            </w:r>
          </w:p>
        </w:tc>
      </w:tr>
      <w:tr w:rsidR="00FC6A06" w:rsidRPr="00DA2128" w14:paraId="2F9D0558" w14:textId="77777777" w:rsidTr="007B0AA8">
        <w:trPr>
          <w:trHeight w:val="300"/>
        </w:trPr>
        <w:tc>
          <w:tcPr>
            <w:tcW w:w="585" w:type="dxa"/>
            <w:tcMar>
              <w:left w:w="105" w:type="dxa"/>
              <w:right w:w="105" w:type="dxa"/>
            </w:tcMar>
          </w:tcPr>
          <w:p w14:paraId="41397310" w14:textId="77777777" w:rsidR="00FC6A06" w:rsidRPr="00DA2128" w:rsidRDefault="00FC6A06" w:rsidP="00A937C6">
            <w:pPr>
              <w:spacing w:after="200" w:line="240" w:lineRule="auto"/>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46</w:t>
            </w:r>
          </w:p>
        </w:tc>
        <w:tc>
          <w:tcPr>
            <w:tcW w:w="6260" w:type="dxa"/>
            <w:tcMar>
              <w:left w:w="105" w:type="dxa"/>
              <w:right w:w="105" w:type="dxa"/>
            </w:tcMar>
          </w:tcPr>
          <w:p w14:paraId="54000BE5" w14:textId="77777777" w:rsidR="00FC6A06" w:rsidRPr="00DA2128" w:rsidRDefault="00FC6A06" w:rsidP="00A937C6">
            <w:pPr>
              <w:spacing w:after="200" w:line="240" w:lineRule="auto"/>
              <w:rPr>
                <w:rStyle w:val="oneUserDefinedStyle"/>
                <w:rFonts w:ascii="Avenir Next LT Pro" w:eastAsia="Times New Roman" w:hAnsi="Avenir Next LT Pro" w:cs="Times New Roman"/>
                <w:sz w:val="18"/>
                <w:szCs w:val="18"/>
              </w:rPr>
            </w:pPr>
            <w:r w:rsidRPr="00DA2128">
              <w:rPr>
                <w:rStyle w:val="oneUserDefinedStyle"/>
                <w:rFonts w:ascii="Avenir Next LT Pro" w:eastAsia="Times New Roman" w:hAnsi="Avenir Next LT Pro" w:cs="Times New Roman"/>
                <w:sz w:val="18"/>
                <w:szCs w:val="18"/>
              </w:rPr>
              <w:t>Develop micro-credential courses within existing university programs to provide skills for entry-level jobs</w:t>
            </w:r>
          </w:p>
        </w:tc>
        <w:tc>
          <w:tcPr>
            <w:tcW w:w="1515" w:type="dxa"/>
            <w:tcMar>
              <w:left w:w="105" w:type="dxa"/>
              <w:right w:w="105" w:type="dxa"/>
            </w:tcMar>
            <w:vAlign w:val="center"/>
          </w:tcPr>
          <w:p w14:paraId="20D53D4A" w14:textId="77777777" w:rsidR="00FC6A06" w:rsidRPr="00DA2128" w:rsidRDefault="00FC6A06" w:rsidP="00A937C6">
            <w:pPr>
              <w:spacing w:after="200" w:line="240" w:lineRule="auto"/>
              <w:jc w:val="center"/>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0.2</w:t>
            </w:r>
          </w:p>
        </w:tc>
      </w:tr>
      <w:tr w:rsidR="00FC6A06" w:rsidRPr="00DA2128" w14:paraId="15AAE95E" w14:textId="77777777" w:rsidTr="007B0AA8">
        <w:trPr>
          <w:trHeight w:val="300"/>
        </w:trPr>
        <w:tc>
          <w:tcPr>
            <w:tcW w:w="585" w:type="dxa"/>
            <w:tcMar>
              <w:left w:w="105" w:type="dxa"/>
              <w:right w:w="105" w:type="dxa"/>
            </w:tcMar>
          </w:tcPr>
          <w:p w14:paraId="35E2C30E" w14:textId="77777777" w:rsidR="00FC6A06" w:rsidRPr="00DA2128" w:rsidRDefault="00FC6A06" w:rsidP="00A937C6">
            <w:pPr>
              <w:spacing w:after="200" w:line="240" w:lineRule="auto"/>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68</w:t>
            </w:r>
          </w:p>
        </w:tc>
        <w:tc>
          <w:tcPr>
            <w:tcW w:w="6260" w:type="dxa"/>
            <w:tcMar>
              <w:left w:w="105" w:type="dxa"/>
              <w:right w:w="105" w:type="dxa"/>
            </w:tcMar>
          </w:tcPr>
          <w:p w14:paraId="5761D1DE" w14:textId="77777777" w:rsidR="00FC6A06" w:rsidRPr="00DA2128" w:rsidRDefault="00FC6A06" w:rsidP="00A937C6">
            <w:pPr>
              <w:spacing w:after="200" w:line="240" w:lineRule="auto"/>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Organise lectures and learning sessions on EDI topics including guest speakers.</w:t>
            </w:r>
          </w:p>
        </w:tc>
        <w:tc>
          <w:tcPr>
            <w:tcW w:w="1515" w:type="dxa"/>
            <w:tcMar>
              <w:left w:w="105" w:type="dxa"/>
              <w:right w:w="105" w:type="dxa"/>
            </w:tcMar>
            <w:vAlign w:val="center"/>
          </w:tcPr>
          <w:p w14:paraId="5EBD0D0F" w14:textId="77777777" w:rsidR="00FC6A06" w:rsidRPr="00DA2128" w:rsidRDefault="00FC6A06" w:rsidP="00A937C6">
            <w:pPr>
              <w:spacing w:after="200" w:line="240" w:lineRule="auto"/>
              <w:jc w:val="center"/>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0.06</w:t>
            </w:r>
          </w:p>
        </w:tc>
      </w:tr>
      <w:tr w:rsidR="00FC6A06" w:rsidRPr="00DA2128" w14:paraId="6328E0C3" w14:textId="77777777" w:rsidTr="007B0AA8">
        <w:trPr>
          <w:trHeight w:val="300"/>
        </w:trPr>
        <w:tc>
          <w:tcPr>
            <w:tcW w:w="585" w:type="dxa"/>
            <w:tcMar>
              <w:left w:w="105" w:type="dxa"/>
              <w:right w:w="105" w:type="dxa"/>
            </w:tcMar>
          </w:tcPr>
          <w:p w14:paraId="58C78AB9" w14:textId="77777777" w:rsidR="00FC6A06" w:rsidRPr="00DA2128" w:rsidRDefault="00FC6A06" w:rsidP="00A937C6">
            <w:pPr>
              <w:spacing w:after="200" w:line="240" w:lineRule="auto"/>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76</w:t>
            </w:r>
          </w:p>
        </w:tc>
        <w:tc>
          <w:tcPr>
            <w:tcW w:w="6260" w:type="dxa"/>
            <w:tcMar>
              <w:left w:w="105" w:type="dxa"/>
              <w:right w:w="105" w:type="dxa"/>
            </w:tcMar>
          </w:tcPr>
          <w:p w14:paraId="7A21B14C" w14:textId="77777777" w:rsidR="00FC6A06" w:rsidRPr="00DA2128" w:rsidRDefault="00FC6A06" w:rsidP="00A937C6">
            <w:pPr>
              <w:spacing w:after="200" w:line="240" w:lineRule="auto"/>
              <w:rPr>
                <w:rStyle w:val="oneUserDefinedStyle"/>
                <w:rFonts w:ascii="Avenir Next LT Pro" w:eastAsia="Times New Roman" w:hAnsi="Avenir Next LT Pro" w:cs="Times New Roman"/>
                <w:sz w:val="18"/>
                <w:szCs w:val="18"/>
              </w:rPr>
            </w:pPr>
            <w:r w:rsidRPr="00DA2128">
              <w:rPr>
                <w:rStyle w:val="oneUserDefinedStyle"/>
                <w:rFonts w:ascii="Avenir Next LT Pro" w:eastAsia="Times New Roman" w:hAnsi="Avenir Next LT Pro" w:cs="Times New Roman"/>
                <w:sz w:val="18"/>
                <w:szCs w:val="18"/>
              </w:rPr>
              <w:t>Offer EDI training for key partners such as local municipalities and other stakeholders to foster collaboration and shared understanding of EDI principles</w:t>
            </w:r>
          </w:p>
        </w:tc>
        <w:tc>
          <w:tcPr>
            <w:tcW w:w="1515" w:type="dxa"/>
            <w:tcMar>
              <w:left w:w="105" w:type="dxa"/>
              <w:right w:w="105" w:type="dxa"/>
            </w:tcMar>
            <w:vAlign w:val="center"/>
          </w:tcPr>
          <w:p w14:paraId="799BA57F" w14:textId="77777777" w:rsidR="00FC6A06" w:rsidRPr="00DA2128" w:rsidRDefault="00FC6A06" w:rsidP="00A937C6">
            <w:pPr>
              <w:spacing w:after="200" w:line="240" w:lineRule="auto"/>
              <w:jc w:val="center"/>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0.08</w:t>
            </w:r>
          </w:p>
        </w:tc>
      </w:tr>
      <w:tr w:rsidR="00FC6A06" w:rsidRPr="00DA2128" w14:paraId="13FAB9B0" w14:textId="77777777" w:rsidTr="007B0AA8">
        <w:trPr>
          <w:trHeight w:val="300"/>
        </w:trPr>
        <w:tc>
          <w:tcPr>
            <w:tcW w:w="6845" w:type="dxa"/>
            <w:gridSpan w:val="2"/>
            <w:tcMar>
              <w:left w:w="105" w:type="dxa"/>
              <w:right w:w="105" w:type="dxa"/>
            </w:tcMar>
            <w:vAlign w:val="center"/>
          </w:tcPr>
          <w:p w14:paraId="32437AC6" w14:textId="77777777" w:rsidR="00FC6A06" w:rsidRPr="00DA2128" w:rsidRDefault="00FC6A06" w:rsidP="00A937C6">
            <w:pPr>
              <w:spacing w:after="200" w:line="240" w:lineRule="auto"/>
              <w:jc w:val="center"/>
              <w:rPr>
                <w:rFonts w:eastAsia="Times New Roman" w:cs="Times New Roman"/>
                <w:color w:val="1B2232"/>
                <w:sz w:val="18"/>
                <w:szCs w:val="18"/>
              </w:rPr>
            </w:pPr>
            <w:r w:rsidRPr="00DA2128">
              <w:rPr>
                <w:rStyle w:val="oneUserDefinedStyle"/>
                <w:rFonts w:ascii="Avenir Next LT Pro" w:eastAsia="Times New Roman" w:hAnsi="Avenir Next LT Pro" w:cs="Times New Roman"/>
                <w:b/>
                <w:bCs/>
                <w:sz w:val="18"/>
                <w:szCs w:val="18"/>
              </w:rPr>
              <w:t>Cluster 3: Promoting inclusive collaboration</w:t>
            </w:r>
          </w:p>
        </w:tc>
        <w:tc>
          <w:tcPr>
            <w:tcW w:w="1515" w:type="dxa"/>
            <w:tcMar>
              <w:left w:w="105" w:type="dxa"/>
              <w:right w:w="105" w:type="dxa"/>
            </w:tcMar>
            <w:vAlign w:val="center"/>
          </w:tcPr>
          <w:p w14:paraId="61C9C0EA" w14:textId="77777777" w:rsidR="00FC6A06" w:rsidRPr="00DA2128" w:rsidRDefault="00FC6A06"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b/>
                <w:bCs/>
                <w:color w:val="000000" w:themeColor="text1"/>
                <w:sz w:val="18"/>
                <w:szCs w:val="18"/>
              </w:rPr>
              <w:t>0.61</w:t>
            </w:r>
          </w:p>
        </w:tc>
      </w:tr>
      <w:tr w:rsidR="00FC6A06" w:rsidRPr="00DA2128" w14:paraId="0ABDABEC" w14:textId="77777777" w:rsidTr="007B0AA8">
        <w:trPr>
          <w:trHeight w:val="300"/>
        </w:trPr>
        <w:tc>
          <w:tcPr>
            <w:tcW w:w="585" w:type="dxa"/>
            <w:tcMar>
              <w:left w:w="105" w:type="dxa"/>
              <w:right w:w="105" w:type="dxa"/>
            </w:tcMar>
          </w:tcPr>
          <w:p w14:paraId="14B23EE6" w14:textId="77777777" w:rsidR="00FC6A06" w:rsidRPr="00DA2128" w:rsidRDefault="00FC6A06" w:rsidP="00A937C6">
            <w:pPr>
              <w:spacing w:after="200" w:line="240" w:lineRule="auto"/>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9</w:t>
            </w:r>
          </w:p>
        </w:tc>
        <w:tc>
          <w:tcPr>
            <w:tcW w:w="6260" w:type="dxa"/>
            <w:tcMar>
              <w:left w:w="105" w:type="dxa"/>
              <w:right w:w="105" w:type="dxa"/>
            </w:tcMar>
          </w:tcPr>
          <w:p w14:paraId="1523CC9B" w14:textId="77777777" w:rsidR="00FC6A06" w:rsidRPr="00DA2128" w:rsidRDefault="00FC6A06" w:rsidP="00A937C6">
            <w:pPr>
              <w:spacing w:after="200" w:line="240" w:lineRule="auto"/>
              <w:rPr>
                <w:rStyle w:val="oneUserDefinedStyle"/>
                <w:rFonts w:ascii="Avenir Next LT Pro" w:eastAsia="Times New Roman" w:hAnsi="Avenir Next LT Pro" w:cs="Times New Roman"/>
                <w:sz w:val="18"/>
                <w:szCs w:val="18"/>
              </w:rPr>
            </w:pPr>
            <w:r w:rsidRPr="00DA2128">
              <w:rPr>
                <w:rStyle w:val="oneUserDefinedStyle"/>
                <w:rFonts w:ascii="Avenir Next LT Pro" w:eastAsia="Times New Roman" w:hAnsi="Avenir Next LT Pro" w:cs="Times New Roman"/>
                <w:sz w:val="18"/>
                <w:szCs w:val="18"/>
              </w:rPr>
              <w:t>Promote the positive effects of diversity highlighting how it enhances work dynamics</w:t>
            </w:r>
          </w:p>
        </w:tc>
        <w:tc>
          <w:tcPr>
            <w:tcW w:w="1515" w:type="dxa"/>
            <w:tcMar>
              <w:left w:w="105" w:type="dxa"/>
              <w:right w:w="105" w:type="dxa"/>
            </w:tcMar>
            <w:vAlign w:val="center"/>
          </w:tcPr>
          <w:p w14:paraId="196D21FD" w14:textId="77777777" w:rsidR="00FC6A06" w:rsidRPr="00DA2128" w:rsidRDefault="00FC6A06" w:rsidP="00A937C6">
            <w:pPr>
              <w:spacing w:after="200" w:line="240" w:lineRule="auto"/>
              <w:jc w:val="center"/>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0.71</w:t>
            </w:r>
          </w:p>
        </w:tc>
      </w:tr>
      <w:tr w:rsidR="00FC6A06" w:rsidRPr="00DA2128" w14:paraId="03220ADF" w14:textId="77777777" w:rsidTr="007B0AA8">
        <w:trPr>
          <w:trHeight w:val="300"/>
        </w:trPr>
        <w:tc>
          <w:tcPr>
            <w:tcW w:w="585" w:type="dxa"/>
            <w:tcMar>
              <w:left w:w="105" w:type="dxa"/>
              <w:right w:w="105" w:type="dxa"/>
            </w:tcMar>
          </w:tcPr>
          <w:p w14:paraId="29793B60" w14:textId="77777777" w:rsidR="00FC6A06" w:rsidRPr="00DA2128" w:rsidRDefault="00FC6A06" w:rsidP="00A937C6">
            <w:pPr>
              <w:spacing w:after="200" w:line="240" w:lineRule="auto"/>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14</w:t>
            </w:r>
          </w:p>
        </w:tc>
        <w:tc>
          <w:tcPr>
            <w:tcW w:w="6260" w:type="dxa"/>
            <w:tcMar>
              <w:left w:w="105" w:type="dxa"/>
              <w:right w:w="105" w:type="dxa"/>
            </w:tcMar>
          </w:tcPr>
          <w:p w14:paraId="2AE7A605" w14:textId="77777777" w:rsidR="00FC6A06" w:rsidRPr="00DA2128" w:rsidRDefault="00FC6A06" w:rsidP="00A937C6">
            <w:pPr>
              <w:spacing w:after="200" w:line="240" w:lineRule="auto"/>
              <w:rPr>
                <w:rStyle w:val="oneUserDefinedStyle"/>
                <w:rFonts w:ascii="Avenir Next LT Pro" w:eastAsia="Times New Roman" w:hAnsi="Avenir Next LT Pro" w:cs="Times New Roman"/>
                <w:sz w:val="18"/>
                <w:szCs w:val="18"/>
              </w:rPr>
            </w:pPr>
            <w:r w:rsidRPr="00DA2128">
              <w:rPr>
                <w:rStyle w:val="oneUserDefinedStyle"/>
                <w:rFonts w:ascii="Avenir Next LT Pro" w:eastAsia="Times New Roman" w:hAnsi="Avenir Next LT Pro" w:cs="Times New Roman"/>
                <w:sz w:val="18"/>
                <w:szCs w:val="18"/>
              </w:rPr>
              <w:t>Increase community engagement on EDI by fostering collaborations with local organisations, NGOs, businesses and external partners, and create opportunities for students and faculty to work together on shared societal issues</w:t>
            </w:r>
          </w:p>
        </w:tc>
        <w:tc>
          <w:tcPr>
            <w:tcW w:w="1515" w:type="dxa"/>
            <w:tcMar>
              <w:left w:w="105" w:type="dxa"/>
              <w:right w:w="105" w:type="dxa"/>
            </w:tcMar>
            <w:vAlign w:val="center"/>
          </w:tcPr>
          <w:p w14:paraId="13D8E6FC" w14:textId="77777777" w:rsidR="00FC6A06" w:rsidRPr="00DA2128" w:rsidRDefault="00FC6A06" w:rsidP="00A937C6">
            <w:pPr>
              <w:spacing w:after="200" w:line="240" w:lineRule="auto"/>
              <w:jc w:val="center"/>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0.35*</w:t>
            </w:r>
          </w:p>
        </w:tc>
      </w:tr>
      <w:tr w:rsidR="00FC6A06" w:rsidRPr="00DA2128" w14:paraId="1B53E9AD" w14:textId="77777777" w:rsidTr="007B0AA8">
        <w:trPr>
          <w:trHeight w:val="300"/>
        </w:trPr>
        <w:tc>
          <w:tcPr>
            <w:tcW w:w="585" w:type="dxa"/>
            <w:tcMar>
              <w:left w:w="105" w:type="dxa"/>
              <w:right w:w="105" w:type="dxa"/>
            </w:tcMar>
          </w:tcPr>
          <w:p w14:paraId="4C07BEC4" w14:textId="77777777" w:rsidR="00FC6A06" w:rsidRPr="00DA2128" w:rsidRDefault="00FC6A06" w:rsidP="00A937C6">
            <w:pPr>
              <w:spacing w:after="200" w:line="240" w:lineRule="auto"/>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16</w:t>
            </w:r>
          </w:p>
        </w:tc>
        <w:tc>
          <w:tcPr>
            <w:tcW w:w="6260" w:type="dxa"/>
            <w:tcMar>
              <w:left w:w="105" w:type="dxa"/>
              <w:right w:w="105" w:type="dxa"/>
            </w:tcMar>
          </w:tcPr>
          <w:p w14:paraId="602E300F" w14:textId="77777777" w:rsidR="00FC6A06" w:rsidRPr="00DA2128" w:rsidRDefault="00FC6A06" w:rsidP="00A937C6">
            <w:pPr>
              <w:spacing w:after="200" w:line="240" w:lineRule="auto"/>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Treat everyone with kindness and respect, valuing individuals for who they are.</w:t>
            </w:r>
          </w:p>
        </w:tc>
        <w:tc>
          <w:tcPr>
            <w:tcW w:w="1515" w:type="dxa"/>
            <w:tcMar>
              <w:left w:w="105" w:type="dxa"/>
              <w:right w:w="105" w:type="dxa"/>
            </w:tcMar>
            <w:vAlign w:val="center"/>
          </w:tcPr>
          <w:p w14:paraId="66F68B89" w14:textId="77777777" w:rsidR="00FC6A06" w:rsidRPr="00DA2128" w:rsidRDefault="00FC6A06" w:rsidP="00A937C6">
            <w:pPr>
              <w:spacing w:after="200" w:line="240" w:lineRule="auto"/>
              <w:jc w:val="center"/>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0.91</w:t>
            </w:r>
          </w:p>
        </w:tc>
      </w:tr>
      <w:tr w:rsidR="00FC6A06" w:rsidRPr="00DA2128" w14:paraId="52B8FD85" w14:textId="77777777" w:rsidTr="007B0AA8">
        <w:trPr>
          <w:trHeight w:val="300"/>
        </w:trPr>
        <w:tc>
          <w:tcPr>
            <w:tcW w:w="585" w:type="dxa"/>
            <w:tcMar>
              <w:left w:w="105" w:type="dxa"/>
              <w:right w:w="105" w:type="dxa"/>
            </w:tcMar>
          </w:tcPr>
          <w:p w14:paraId="7D3862B1" w14:textId="77777777" w:rsidR="00FC6A06" w:rsidRPr="00DA2128" w:rsidRDefault="00FC6A06" w:rsidP="00A937C6">
            <w:pPr>
              <w:spacing w:after="200" w:line="240" w:lineRule="auto"/>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37</w:t>
            </w:r>
          </w:p>
        </w:tc>
        <w:tc>
          <w:tcPr>
            <w:tcW w:w="6260" w:type="dxa"/>
            <w:tcMar>
              <w:left w:w="105" w:type="dxa"/>
              <w:right w:w="105" w:type="dxa"/>
            </w:tcMar>
          </w:tcPr>
          <w:p w14:paraId="772F2020" w14:textId="77777777" w:rsidR="00FC6A06" w:rsidRPr="00DA2128" w:rsidRDefault="00FC6A06" w:rsidP="00A937C6">
            <w:pPr>
              <w:spacing w:after="200" w:line="240" w:lineRule="auto"/>
              <w:rPr>
                <w:rStyle w:val="oneUserDefinedStyle"/>
                <w:rFonts w:ascii="Avenir Next LT Pro" w:eastAsia="Times New Roman" w:hAnsi="Avenir Next LT Pro" w:cs="Times New Roman"/>
                <w:sz w:val="18"/>
                <w:szCs w:val="18"/>
              </w:rPr>
            </w:pPr>
            <w:r w:rsidRPr="00DA2128">
              <w:rPr>
                <w:rStyle w:val="oneUserDefinedStyle"/>
                <w:rFonts w:ascii="Avenir Next LT Pro" w:eastAsia="Times New Roman" w:hAnsi="Avenir Next LT Pro" w:cs="Times New Roman"/>
                <w:sz w:val="18"/>
                <w:szCs w:val="18"/>
              </w:rPr>
              <w:t>Fostering discussions on EDI and incorporating inclusive practices in everyday activities</w:t>
            </w:r>
          </w:p>
        </w:tc>
        <w:tc>
          <w:tcPr>
            <w:tcW w:w="1515" w:type="dxa"/>
            <w:tcMar>
              <w:left w:w="105" w:type="dxa"/>
              <w:right w:w="105" w:type="dxa"/>
            </w:tcMar>
            <w:vAlign w:val="center"/>
          </w:tcPr>
          <w:p w14:paraId="65F06754" w14:textId="77777777" w:rsidR="00FC6A06" w:rsidRPr="00DA2128" w:rsidRDefault="00FC6A06" w:rsidP="00A937C6">
            <w:pPr>
              <w:spacing w:after="200" w:line="240" w:lineRule="auto"/>
              <w:jc w:val="center"/>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0.56</w:t>
            </w:r>
          </w:p>
        </w:tc>
      </w:tr>
      <w:tr w:rsidR="00FC6A06" w:rsidRPr="00DA2128" w14:paraId="78E0A140" w14:textId="77777777" w:rsidTr="007B0AA8">
        <w:trPr>
          <w:trHeight w:val="300"/>
        </w:trPr>
        <w:tc>
          <w:tcPr>
            <w:tcW w:w="585" w:type="dxa"/>
            <w:tcMar>
              <w:left w:w="105" w:type="dxa"/>
              <w:right w:w="105" w:type="dxa"/>
            </w:tcMar>
          </w:tcPr>
          <w:p w14:paraId="1DE2C8C3" w14:textId="77777777" w:rsidR="00FC6A06" w:rsidRPr="00DA2128" w:rsidRDefault="00FC6A06" w:rsidP="00A937C6">
            <w:pPr>
              <w:spacing w:after="200" w:line="240" w:lineRule="auto"/>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lastRenderedPageBreak/>
              <w:t>42</w:t>
            </w:r>
          </w:p>
        </w:tc>
        <w:tc>
          <w:tcPr>
            <w:tcW w:w="6260" w:type="dxa"/>
            <w:tcMar>
              <w:left w:w="105" w:type="dxa"/>
              <w:right w:w="105" w:type="dxa"/>
            </w:tcMar>
          </w:tcPr>
          <w:p w14:paraId="203C9478" w14:textId="77777777" w:rsidR="00FC6A06" w:rsidRPr="00DA2128" w:rsidRDefault="00FC6A06" w:rsidP="00A937C6">
            <w:pPr>
              <w:spacing w:after="200" w:line="240" w:lineRule="auto"/>
              <w:rPr>
                <w:rStyle w:val="oneUserDefinedStyle"/>
                <w:rFonts w:ascii="Avenir Next LT Pro" w:eastAsia="Times New Roman" w:hAnsi="Avenir Next LT Pro" w:cs="Times New Roman"/>
                <w:sz w:val="18"/>
                <w:szCs w:val="18"/>
              </w:rPr>
            </w:pPr>
            <w:r w:rsidRPr="00DA2128">
              <w:rPr>
                <w:rStyle w:val="oneUserDefinedStyle"/>
                <w:rFonts w:ascii="Avenir Next LT Pro" w:eastAsia="Times New Roman" w:hAnsi="Avenir Next LT Pro" w:cs="Times New Roman"/>
                <w:sz w:val="18"/>
                <w:szCs w:val="18"/>
              </w:rPr>
              <w:t>Offer more student and staff activities in English to broaden participation and enhance team-building opportunities</w:t>
            </w:r>
          </w:p>
        </w:tc>
        <w:tc>
          <w:tcPr>
            <w:tcW w:w="1515" w:type="dxa"/>
            <w:tcMar>
              <w:left w:w="105" w:type="dxa"/>
              <w:right w:w="105" w:type="dxa"/>
            </w:tcMar>
            <w:vAlign w:val="center"/>
          </w:tcPr>
          <w:p w14:paraId="4F1878D7" w14:textId="77777777" w:rsidR="00FC6A06" w:rsidRPr="00DA2128" w:rsidRDefault="00FC6A06" w:rsidP="00A937C6">
            <w:pPr>
              <w:spacing w:after="200" w:line="240" w:lineRule="auto"/>
              <w:jc w:val="center"/>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0.66</w:t>
            </w:r>
          </w:p>
        </w:tc>
      </w:tr>
      <w:tr w:rsidR="00FC6A06" w:rsidRPr="00DA2128" w14:paraId="770AA83E" w14:textId="77777777" w:rsidTr="007B0AA8">
        <w:trPr>
          <w:trHeight w:val="300"/>
        </w:trPr>
        <w:tc>
          <w:tcPr>
            <w:tcW w:w="585" w:type="dxa"/>
            <w:tcMar>
              <w:left w:w="105" w:type="dxa"/>
              <w:right w:w="105" w:type="dxa"/>
            </w:tcMar>
          </w:tcPr>
          <w:p w14:paraId="5C970996" w14:textId="77777777" w:rsidR="00FC6A06" w:rsidRPr="00DA2128" w:rsidRDefault="00FC6A06" w:rsidP="00A937C6">
            <w:pPr>
              <w:spacing w:after="200" w:line="240" w:lineRule="auto"/>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44</w:t>
            </w:r>
          </w:p>
        </w:tc>
        <w:tc>
          <w:tcPr>
            <w:tcW w:w="6260" w:type="dxa"/>
            <w:tcMar>
              <w:left w:w="105" w:type="dxa"/>
              <w:right w:w="105" w:type="dxa"/>
            </w:tcMar>
          </w:tcPr>
          <w:p w14:paraId="2957AAB7" w14:textId="77777777" w:rsidR="00FC6A06" w:rsidRPr="00DA2128" w:rsidRDefault="00FC6A06" w:rsidP="00A937C6">
            <w:pPr>
              <w:spacing w:after="200" w:line="240" w:lineRule="auto"/>
              <w:rPr>
                <w:rStyle w:val="oneUserDefinedStyle"/>
                <w:rFonts w:ascii="Avenir Next LT Pro" w:eastAsia="Times New Roman" w:hAnsi="Avenir Next LT Pro" w:cs="Times New Roman"/>
                <w:sz w:val="18"/>
                <w:szCs w:val="18"/>
              </w:rPr>
            </w:pPr>
            <w:r w:rsidRPr="00DA2128">
              <w:rPr>
                <w:rStyle w:val="oneUserDefinedStyle"/>
                <w:rFonts w:ascii="Avenir Next LT Pro" w:eastAsia="Times New Roman" w:hAnsi="Avenir Next LT Pro" w:cs="Times New Roman"/>
                <w:sz w:val="18"/>
                <w:szCs w:val="18"/>
              </w:rPr>
              <w:t>Market the university by promoting diversity in media exposure</w:t>
            </w:r>
          </w:p>
        </w:tc>
        <w:tc>
          <w:tcPr>
            <w:tcW w:w="1515" w:type="dxa"/>
            <w:tcMar>
              <w:left w:w="105" w:type="dxa"/>
              <w:right w:w="105" w:type="dxa"/>
            </w:tcMar>
            <w:vAlign w:val="center"/>
          </w:tcPr>
          <w:p w14:paraId="233D058D" w14:textId="77777777" w:rsidR="00FC6A06" w:rsidRPr="00DA2128" w:rsidRDefault="00FC6A06" w:rsidP="00A937C6">
            <w:pPr>
              <w:spacing w:after="200" w:line="240" w:lineRule="auto"/>
              <w:jc w:val="center"/>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0.47</w:t>
            </w:r>
          </w:p>
        </w:tc>
      </w:tr>
      <w:tr w:rsidR="00FC6A06" w:rsidRPr="00DA2128" w14:paraId="6181F710" w14:textId="77777777" w:rsidTr="007B0AA8">
        <w:trPr>
          <w:trHeight w:val="300"/>
        </w:trPr>
        <w:tc>
          <w:tcPr>
            <w:tcW w:w="6845" w:type="dxa"/>
            <w:gridSpan w:val="2"/>
            <w:tcMar>
              <w:left w:w="105" w:type="dxa"/>
              <w:right w:w="105" w:type="dxa"/>
            </w:tcMar>
            <w:vAlign w:val="center"/>
          </w:tcPr>
          <w:p w14:paraId="6EE5514D" w14:textId="77777777" w:rsidR="00FC6A06" w:rsidRPr="00DA2128" w:rsidRDefault="00FC6A06" w:rsidP="00A937C6">
            <w:pPr>
              <w:spacing w:after="200" w:line="240" w:lineRule="auto"/>
              <w:jc w:val="center"/>
              <w:rPr>
                <w:rFonts w:eastAsia="Times New Roman" w:cs="Times New Roman"/>
                <w:color w:val="1B2232"/>
                <w:sz w:val="18"/>
                <w:szCs w:val="18"/>
              </w:rPr>
            </w:pPr>
            <w:r w:rsidRPr="00DA2128">
              <w:rPr>
                <w:rStyle w:val="oneUserDefinedStyle"/>
                <w:rFonts w:ascii="Avenir Next LT Pro" w:eastAsia="Times New Roman" w:hAnsi="Avenir Next LT Pro" w:cs="Times New Roman"/>
                <w:b/>
                <w:bCs/>
                <w:sz w:val="18"/>
                <w:szCs w:val="18"/>
              </w:rPr>
              <w:t>Cluster 4: Fostering a supportive and inclusive environment and culture</w:t>
            </w:r>
          </w:p>
        </w:tc>
        <w:tc>
          <w:tcPr>
            <w:tcW w:w="1515" w:type="dxa"/>
            <w:tcMar>
              <w:left w:w="105" w:type="dxa"/>
              <w:right w:w="105" w:type="dxa"/>
            </w:tcMar>
            <w:vAlign w:val="center"/>
          </w:tcPr>
          <w:p w14:paraId="6E6CDDB2" w14:textId="77777777" w:rsidR="00FC6A06" w:rsidRPr="00DA2128" w:rsidRDefault="00FC6A06"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b/>
                <w:bCs/>
                <w:color w:val="000000" w:themeColor="text1"/>
                <w:sz w:val="18"/>
                <w:szCs w:val="18"/>
              </w:rPr>
              <w:t>0.52</w:t>
            </w:r>
          </w:p>
        </w:tc>
      </w:tr>
      <w:tr w:rsidR="00FC6A06" w:rsidRPr="00DA2128" w14:paraId="6D74210C" w14:textId="77777777" w:rsidTr="007B0AA8">
        <w:trPr>
          <w:trHeight w:val="300"/>
        </w:trPr>
        <w:tc>
          <w:tcPr>
            <w:tcW w:w="585" w:type="dxa"/>
            <w:tcMar>
              <w:left w:w="105" w:type="dxa"/>
              <w:right w:w="105" w:type="dxa"/>
            </w:tcMar>
          </w:tcPr>
          <w:p w14:paraId="51F01553" w14:textId="77777777" w:rsidR="00FC6A06" w:rsidRPr="00DA2128" w:rsidRDefault="00FC6A06" w:rsidP="00A937C6">
            <w:pPr>
              <w:spacing w:after="200" w:line="240" w:lineRule="auto"/>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6</w:t>
            </w:r>
          </w:p>
        </w:tc>
        <w:tc>
          <w:tcPr>
            <w:tcW w:w="6260" w:type="dxa"/>
            <w:tcMar>
              <w:left w:w="105" w:type="dxa"/>
              <w:right w:w="105" w:type="dxa"/>
            </w:tcMar>
          </w:tcPr>
          <w:p w14:paraId="026EFC4E" w14:textId="77777777" w:rsidR="00FC6A06" w:rsidRPr="00DA2128" w:rsidRDefault="00FC6A06" w:rsidP="00A937C6">
            <w:pPr>
              <w:spacing w:after="200" w:line="240" w:lineRule="auto"/>
              <w:rPr>
                <w:rStyle w:val="oneUserDefinedStyle"/>
                <w:rFonts w:ascii="Avenir Next LT Pro" w:eastAsia="Times New Roman" w:hAnsi="Avenir Next LT Pro" w:cs="Times New Roman"/>
                <w:sz w:val="18"/>
                <w:szCs w:val="18"/>
              </w:rPr>
            </w:pPr>
            <w:r w:rsidRPr="00DA2128">
              <w:rPr>
                <w:rStyle w:val="oneUserDefinedStyle"/>
                <w:rFonts w:ascii="Avenir Next LT Pro" w:eastAsia="Times New Roman" w:hAnsi="Avenir Next LT Pro" w:cs="Times New Roman"/>
                <w:sz w:val="18"/>
                <w:szCs w:val="18"/>
              </w:rPr>
              <w:t>Create safe spaces for open dialogue on EDI issues</w:t>
            </w:r>
          </w:p>
        </w:tc>
        <w:tc>
          <w:tcPr>
            <w:tcW w:w="1515" w:type="dxa"/>
            <w:tcMar>
              <w:left w:w="105" w:type="dxa"/>
              <w:right w:w="105" w:type="dxa"/>
            </w:tcMar>
            <w:vAlign w:val="center"/>
          </w:tcPr>
          <w:p w14:paraId="76D1E611" w14:textId="77777777" w:rsidR="00FC6A06" w:rsidRPr="00DA2128" w:rsidRDefault="00FC6A06" w:rsidP="00A937C6">
            <w:pPr>
              <w:spacing w:after="200" w:line="240" w:lineRule="auto"/>
              <w:jc w:val="center"/>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0.26</w:t>
            </w:r>
          </w:p>
        </w:tc>
      </w:tr>
      <w:tr w:rsidR="00FC6A06" w:rsidRPr="00DA2128" w14:paraId="7B5CA738" w14:textId="77777777" w:rsidTr="007B0AA8">
        <w:trPr>
          <w:trHeight w:val="300"/>
        </w:trPr>
        <w:tc>
          <w:tcPr>
            <w:tcW w:w="585" w:type="dxa"/>
            <w:tcMar>
              <w:left w:w="105" w:type="dxa"/>
              <w:right w:w="105" w:type="dxa"/>
            </w:tcMar>
          </w:tcPr>
          <w:p w14:paraId="1B24B87B" w14:textId="77777777" w:rsidR="00FC6A06" w:rsidRPr="00DA2128" w:rsidRDefault="00FC6A06" w:rsidP="00A937C6">
            <w:pPr>
              <w:spacing w:after="200" w:line="240" w:lineRule="auto"/>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13</w:t>
            </w:r>
          </w:p>
        </w:tc>
        <w:tc>
          <w:tcPr>
            <w:tcW w:w="6260" w:type="dxa"/>
            <w:tcMar>
              <w:left w:w="105" w:type="dxa"/>
              <w:right w:w="105" w:type="dxa"/>
            </w:tcMar>
          </w:tcPr>
          <w:p w14:paraId="6AC6088B" w14:textId="77777777" w:rsidR="00FC6A06" w:rsidRPr="00DA2128" w:rsidRDefault="00FC6A06" w:rsidP="00A937C6">
            <w:pPr>
              <w:spacing w:after="200" w:line="240" w:lineRule="auto"/>
              <w:rPr>
                <w:rStyle w:val="oneUserDefinedStyle"/>
                <w:rFonts w:ascii="Avenir Next LT Pro" w:eastAsia="Times New Roman" w:hAnsi="Avenir Next LT Pro" w:cs="Times New Roman"/>
                <w:sz w:val="18"/>
                <w:szCs w:val="18"/>
              </w:rPr>
            </w:pPr>
            <w:r w:rsidRPr="00DA2128">
              <w:rPr>
                <w:rStyle w:val="oneUserDefinedStyle"/>
                <w:rFonts w:ascii="Avenir Next LT Pro" w:eastAsia="Times New Roman" w:hAnsi="Avenir Next LT Pro" w:cs="Times New Roman"/>
                <w:sz w:val="18"/>
                <w:szCs w:val="18"/>
              </w:rPr>
              <w:t>Provide facilities for parents and caregivers such as changing tables, breastfeeding rooms, and designated playrooms where parents can work/study while their children are entertained</w:t>
            </w:r>
          </w:p>
        </w:tc>
        <w:tc>
          <w:tcPr>
            <w:tcW w:w="1515" w:type="dxa"/>
            <w:tcMar>
              <w:left w:w="105" w:type="dxa"/>
              <w:right w:w="105" w:type="dxa"/>
            </w:tcMar>
            <w:vAlign w:val="center"/>
          </w:tcPr>
          <w:p w14:paraId="4A42AFBC" w14:textId="77777777" w:rsidR="00FC6A06" w:rsidRPr="00DA2128" w:rsidRDefault="00FC6A06" w:rsidP="00A937C6">
            <w:pPr>
              <w:spacing w:after="200" w:line="240" w:lineRule="auto"/>
              <w:jc w:val="center"/>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0.77</w:t>
            </w:r>
          </w:p>
        </w:tc>
      </w:tr>
      <w:tr w:rsidR="00FC6A06" w:rsidRPr="00DA2128" w14:paraId="51156693" w14:textId="77777777" w:rsidTr="007B0AA8">
        <w:trPr>
          <w:trHeight w:val="300"/>
        </w:trPr>
        <w:tc>
          <w:tcPr>
            <w:tcW w:w="585" w:type="dxa"/>
            <w:tcMar>
              <w:left w:w="105" w:type="dxa"/>
              <w:right w:w="105" w:type="dxa"/>
            </w:tcMar>
          </w:tcPr>
          <w:p w14:paraId="2C880D13" w14:textId="77777777" w:rsidR="00FC6A06" w:rsidRPr="00DA2128" w:rsidRDefault="00FC6A06" w:rsidP="00A937C6">
            <w:pPr>
              <w:spacing w:after="200" w:line="240" w:lineRule="auto"/>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17</w:t>
            </w:r>
          </w:p>
        </w:tc>
        <w:tc>
          <w:tcPr>
            <w:tcW w:w="6260" w:type="dxa"/>
            <w:tcMar>
              <w:left w:w="105" w:type="dxa"/>
              <w:right w:w="105" w:type="dxa"/>
            </w:tcMar>
          </w:tcPr>
          <w:p w14:paraId="7A6A63F2" w14:textId="77777777" w:rsidR="00FC6A06" w:rsidRPr="00DA2128" w:rsidRDefault="00FC6A06" w:rsidP="00A937C6">
            <w:pPr>
              <w:spacing w:after="200" w:line="240" w:lineRule="auto"/>
              <w:rPr>
                <w:rStyle w:val="oneUserDefinedStyle"/>
                <w:rFonts w:ascii="Avenir Next LT Pro" w:eastAsia="Times New Roman" w:hAnsi="Avenir Next LT Pro" w:cs="Times New Roman"/>
                <w:sz w:val="18"/>
                <w:szCs w:val="18"/>
              </w:rPr>
            </w:pPr>
            <w:r w:rsidRPr="00DA2128">
              <w:rPr>
                <w:rStyle w:val="oneUserDefinedStyle"/>
                <w:rFonts w:ascii="Avenir Next LT Pro" w:eastAsia="Times New Roman" w:hAnsi="Avenir Next LT Pro" w:cs="Times New Roman"/>
                <w:sz w:val="18"/>
                <w:szCs w:val="18"/>
              </w:rPr>
              <w:t>Foster a culture of inclusion in higher education where all students and staff feel valued, supported and encouraged</w:t>
            </w:r>
          </w:p>
        </w:tc>
        <w:tc>
          <w:tcPr>
            <w:tcW w:w="1515" w:type="dxa"/>
            <w:tcMar>
              <w:left w:w="105" w:type="dxa"/>
              <w:right w:w="105" w:type="dxa"/>
            </w:tcMar>
            <w:vAlign w:val="center"/>
          </w:tcPr>
          <w:p w14:paraId="5E893725" w14:textId="77777777" w:rsidR="00FC6A06" w:rsidRPr="00DA2128" w:rsidRDefault="00FC6A06" w:rsidP="00A937C6">
            <w:pPr>
              <w:spacing w:after="200" w:line="240" w:lineRule="auto"/>
              <w:jc w:val="center"/>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0.17*</w:t>
            </w:r>
          </w:p>
        </w:tc>
      </w:tr>
      <w:tr w:rsidR="00FC6A06" w:rsidRPr="00DA2128" w14:paraId="064B8C7B" w14:textId="77777777" w:rsidTr="007B0AA8">
        <w:trPr>
          <w:trHeight w:val="300"/>
        </w:trPr>
        <w:tc>
          <w:tcPr>
            <w:tcW w:w="585" w:type="dxa"/>
            <w:tcMar>
              <w:left w:w="105" w:type="dxa"/>
              <w:right w:w="105" w:type="dxa"/>
            </w:tcMar>
          </w:tcPr>
          <w:p w14:paraId="3D0CF0F7" w14:textId="77777777" w:rsidR="00FC6A06" w:rsidRPr="00DA2128" w:rsidRDefault="00FC6A06" w:rsidP="00A937C6">
            <w:pPr>
              <w:spacing w:after="200" w:line="240" w:lineRule="auto"/>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18</w:t>
            </w:r>
          </w:p>
        </w:tc>
        <w:tc>
          <w:tcPr>
            <w:tcW w:w="6260" w:type="dxa"/>
            <w:tcMar>
              <w:left w:w="105" w:type="dxa"/>
              <w:right w:w="105" w:type="dxa"/>
            </w:tcMar>
          </w:tcPr>
          <w:p w14:paraId="34850C39" w14:textId="77777777" w:rsidR="00FC6A06" w:rsidRPr="00DA2128" w:rsidRDefault="00FC6A06" w:rsidP="00A937C6">
            <w:pPr>
              <w:spacing w:after="200" w:line="240" w:lineRule="auto"/>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Contribute to a culture of openness, inclusion, and tolerance in society where people are valued for their knowledge, experience, and contributions, regardless of their background, affiliations or status</w:t>
            </w:r>
          </w:p>
        </w:tc>
        <w:tc>
          <w:tcPr>
            <w:tcW w:w="1515" w:type="dxa"/>
            <w:tcMar>
              <w:left w:w="105" w:type="dxa"/>
              <w:right w:w="105" w:type="dxa"/>
            </w:tcMar>
            <w:vAlign w:val="center"/>
          </w:tcPr>
          <w:p w14:paraId="6F32AE09" w14:textId="77777777" w:rsidR="00FC6A06" w:rsidRPr="00DA2128" w:rsidRDefault="00FC6A06" w:rsidP="00A937C6">
            <w:pPr>
              <w:spacing w:after="200" w:line="240" w:lineRule="auto"/>
              <w:jc w:val="center"/>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0.32</w:t>
            </w:r>
          </w:p>
        </w:tc>
      </w:tr>
      <w:tr w:rsidR="00FC6A06" w:rsidRPr="00DA2128" w14:paraId="2888C8ED" w14:textId="77777777" w:rsidTr="007B0AA8">
        <w:trPr>
          <w:trHeight w:val="300"/>
        </w:trPr>
        <w:tc>
          <w:tcPr>
            <w:tcW w:w="585" w:type="dxa"/>
            <w:tcMar>
              <w:left w:w="105" w:type="dxa"/>
              <w:right w:w="105" w:type="dxa"/>
            </w:tcMar>
          </w:tcPr>
          <w:p w14:paraId="1B58EBE1" w14:textId="77777777" w:rsidR="00FC6A06" w:rsidRPr="00DA2128" w:rsidRDefault="00FC6A06" w:rsidP="00A937C6">
            <w:pPr>
              <w:spacing w:after="200" w:line="240" w:lineRule="auto"/>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30</w:t>
            </w:r>
          </w:p>
        </w:tc>
        <w:tc>
          <w:tcPr>
            <w:tcW w:w="6260" w:type="dxa"/>
            <w:tcMar>
              <w:left w:w="105" w:type="dxa"/>
              <w:right w:w="105" w:type="dxa"/>
            </w:tcMar>
          </w:tcPr>
          <w:p w14:paraId="3D5DDC1F" w14:textId="77777777" w:rsidR="00FC6A06" w:rsidRPr="00DA2128" w:rsidRDefault="00FC6A06" w:rsidP="00A937C6">
            <w:pPr>
              <w:spacing w:after="200" w:line="240" w:lineRule="auto"/>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Provide financial support and scholarships to students from underrepresented or marginalised groups</w:t>
            </w:r>
          </w:p>
        </w:tc>
        <w:tc>
          <w:tcPr>
            <w:tcW w:w="1515" w:type="dxa"/>
            <w:tcMar>
              <w:left w:w="105" w:type="dxa"/>
              <w:right w:w="105" w:type="dxa"/>
            </w:tcMar>
            <w:vAlign w:val="center"/>
          </w:tcPr>
          <w:p w14:paraId="54D272BE" w14:textId="77777777" w:rsidR="00FC6A06" w:rsidRPr="00DA2128" w:rsidRDefault="00FC6A06" w:rsidP="00A937C6">
            <w:pPr>
              <w:spacing w:after="200" w:line="240" w:lineRule="auto"/>
              <w:jc w:val="center"/>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0.63</w:t>
            </w:r>
          </w:p>
        </w:tc>
      </w:tr>
      <w:tr w:rsidR="00FC6A06" w:rsidRPr="00DA2128" w14:paraId="293ADC89" w14:textId="77777777" w:rsidTr="007B0AA8">
        <w:trPr>
          <w:trHeight w:val="300"/>
        </w:trPr>
        <w:tc>
          <w:tcPr>
            <w:tcW w:w="585" w:type="dxa"/>
            <w:tcMar>
              <w:left w:w="105" w:type="dxa"/>
              <w:right w:w="105" w:type="dxa"/>
            </w:tcMar>
          </w:tcPr>
          <w:p w14:paraId="22910723" w14:textId="77777777" w:rsidR="00FC6A06" w:rsidRPr="00DA2128" w:rsidRDefault="00FC6A06" w:rsidP="00A937C6">
            <w:pPr>
              <w:spacing w:after="200" w:line="240" w:lineRule="auto"/>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40</w:t>
            </w:r>
          </w:p>
        </w:tc>
        <w:tc>
          <w:tcPr>
            <w:tcW w:w="6260" w:type="dxa"/>
            <w:tcMar>
              <w:left w:w="105" w:type="dxa"/>
              <w:right w:w="105" w:type="dxa"/>
            </w:tcMar>
          </w:tcPr>
          <w:p w14:paraId="30CB97CB" w14:textId="77777777" w:rsidR="00FC6A06" w:rsidRPr="00DA2128" w:rsidRDefault="00FC6A06" w:rsidP="00A937C6">
            <w:pPr>
              <w:spacing w:after="200" w:line="240" w:lineRule="auto"/>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To increase marginalised groups’ access to education opportunities by producing target information about university studies</w:t>
            </w:r>
          </w:p>
        </w:tc>
        <w:tc>
          <w:tcPr>
            <w:tcW w:w="1515" w:type="dxa"/>
            <w:tcMar>
              <w:left w:w="105" w:type="dxa"/>
              <w:right w:w="105" w:type="dxa"/>
            </w:tcMar>
            <w:vAlign w:val="center"/>
          </w:tcPr>
          <w:p w14:paraId="0D8B0491" w14:textId="77777777" w:rsidR="00FC6A06" w:rsidRPr="00DA2128" w:rsidRDefault="00FC6A06" w:rsidP="00A937C6">
            <w:pPr>
              <w:spacing w:after="200" w:line="240" w:lineRule="auto"/>
              <w:jc w:val="center"/>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0.58</w:t>
            </w:r>
          </w:p>
        </w:tc>
      </w:tr>
      <w:tr w:rsidR="00FC6A06" w:rsidRPr="00DA2128" w14:paraId="09A588DE" w14:textId="77777777" w:rsidTr="007B0AA8">
        <w:trPr>
          <w:trHeight w:val="300"/>
        </w:trPr>
        <w:tc>
          <w:tcPr>
            <w:tcW w:w="585" w:type="dxa"/>
            <w:tcMar>
              <w:left w:w="105" w:type="dxa"/>
              <w:right w:w="105" w:type="dxa"/>
            </w:tcMar>
          </w:tcPr>
          <w:p w14:paraId="522B2D8A" w14:textId="77777777" w:rsidR="00FC6A06" w:rsidRPr="00DA2128" w:rsidRDefault="00FC6A06" w:rsidP="00A937C6">
            <w:pPr>
              <w:spacing w:after="200" w:line="240" w:lineRule="auto"/>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47</w:t>
            </w:r>
          </w:p>
        </w:tc>
        <w:tc>
          <w:tcPr>
            <w:tcW w:w="6260" w:type="dxa"/>
            <w:tcMar>
              <w:left w:w="105" w:type="dxa"/>
              <w:right w:w="105" w:type="dxa"/>
            </w:tcMar>
          </w:tcPr>
          <w:p w14:paraId="5D7EE2B2" w14:textId="77777777" w:rsidR="00FC6A06" w:rsidRPr="00DA2128" w:rsidRDefault="00FC6A06" w:rsidP="00A937C6">
            <w:pPr>
              <w:spacing w:after="200" w:line="240" w:lineRule="auto"/>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Create mentorship programs to support underrepresented students and staff</w:t>
            </w:r>
          </w:p>
        </w:tc>
        <w:tc>
          <w:tcPr>
            <w:tcW w:w="1515" w:type="dxa"/>
            <w:tcMar>
              <w:left w:w="105" w:type="dxa"/>
              <w:right w:w="105" w:type="dxa"/>
            </w:tcMar>
            <w:vAlign w:val="center"/>
          </w:tcPr>
          <w:p w14:paraId="67CB9F27" w14:textId="77777777" w:rsidR="00FC6A06" w:rsidRPr="00DA2128" w:rsidRDefault="00FC6A06" w:rsidP="00A937C6">
            <w:pPr>
              <w:spacing w:after="200" w:line="240" w:lineRule="auto"/>
              <w:jc w:val="center"/>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0.44</w:t>
            </w:r>
          </w:p>
        </w:tc>
      </w:tr>
      <w:tr w:rsidR="00FC6A06" w:rsidRPr="00DA2128" w14:paraId="403B941D" w14:textId="77777777" w:rsidTr="007B0AA8">
        <w:trPr>
          <w:trHeight w:val="300"/>
        </w:trPr>
        <w:tc>
          <w:tcPr>
            <w:tcW w:w="585" w:type="dxa"/>
            <w:tcMar>
              <w:left w:w="105" w:type="dxa"/>
              <w:right w:w="105" w:type="dxa"/>
            </w:tcMar>
          </w:tcPr>
          <w:p w14:paraId="2E805D21" w14:textId="77777777" w:rsidR="00FC6A06" w:rsidRPr="00DA2128" w:rsidRDefault="00FC6A06" w:rsidP="00A937C6">
            <w:pPr>
              <w:spacing w:after="200" w:line="240" w:lineRule="auto"/>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60</w:t>
            </w:r>
          </w:p>
        </w:tc>
        <w:tc>
          <w:tcPr>
            <w:tcW w:w="6260" w:type="dxa"/>
            <w:tcMar>
              <w:left w:w="105" w:type="dxa"/>
              <w:right w:w="105" w:type="dxa"/>
            </w:tcMar>
          </w:tcPr>
          <w:p w14:paraId="0D818279" w14:textId="77777777" w:rsidR="00FC6A06" w:rsidRPr="00DA2128" w:rsidRDefault="00FC6A06" w:rsidP="00A937C6">
            <w:pPr>
              <w:spacing w:after="200" w:line="240" w:lineRule="auto"/>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Offer customised job roles for individuals with disabilities</w:t>
            </w:r>
          </w:p>
        </w:tc>
        <w:tc>
          <w:tcPr>
            <w:tcW w:w="1515" w:type="dxa"/>
            <w:tcMar>
              <w:left w:w="105" w:type="dxa"/>
              <w:right w:w="105" w:type="dxa"/>
            </w:tcMar>
            <w:vAlign w:val="center"/>
          </w:tcPr>
          <w:p w14:paraId="3C771A5F" w14:textId="77777777" w:rsidR="00FC6A06" w:rsidRPr="00DA2128" w:rsidRDefault="00FC6A06" w:rsidP="00A937C6">
            <w:pPr>
              <w:spacing w:after="200" w:line="240" w:lineRule="auto"/>
              <w:jc w:val="center"/>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0.34</w:t>
            </w:r>
          </w:p>
        </w:tc>
      </w:tr>
      <w:tr w:rsidR="00FC6A06" w:rsidRPr="00DA2128" w14:paraId="3DAEEB1B" w14:textId="77777777" w:rsidTr="007B0AA8">
        <w:trPr>
          <w:trHeight w:val="300"/>
        </w:trPr>
        <w:tc>
          <w:tcPr>
            <w:tcW w:w="585" w:type="dxa"/>
            <w:tcMar>
              <w:left w:w="105" w:type="dxa"/>
              <w:right w:w="105" w:type="dxa"/>
            </w:tcMar>
          </w:tcPr>
          <w:p w14:paraId="48AE0210" w14:textId="77777777" w:rsidR="00FC6A06" w:rsidRPr="00DA2128" w:rsidRDefault="00FC6A06" w:rsidP="00A937C6">
            <w:pPr>
              <w:spacing w:after="200" w:line="240" w:lineRule="auto"/>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63</w:t>
            </w:r>
          </w:p>
        </w:tc>
        <w:tc>
          <w:tcPr>
            <w:tcW w:w="6260" w:type="dxa"/>
            <w:tcMar>
              <w:left w:w="105" w:type="dxa"/>
              <w:right w:w="105" w:type="dxa"/>
            </w:tcMar>
          </w:tcPr>
          <w:p w14:paraId="5691FE5F" w14:textId="77777777" w:rsidR="00FC6A06" w:rsidRPr="00DA2128" w:rsidRDefault="00FC6A06" w:rsidP="00A937C6">
            <w:pPr>
              <w:spacing w:after="200" w:line="240" w:lineRule="auto"/>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Ensure students have access to tailored support</w:t>
            </w:r>
          </w:p>
        </w:tc>
        <w:tc>
          <w:tcPr>
            <w:tcW w:w="1515" w:type="dxa"/>
            <w:tcMar>
              <w:left w:w="105" w:type="dxa"/>
              <w:right w:w="105" w:type="dxa"/>
            </w:tcMar>
            <w:vAlign w:val="center"/>
          </w:tcPr>
          <w:p w14:paraId="39D86531" w14:textId="77777777" w:rsidR="00FC6A06" w:rsidRPr="00DA2128" w:rsidRDefault="00FC6A06" w:rsidP="00A937C6">
            <w:pPr>
              <w:spacing w:after="200" w:line="240" w:lineRule="auto"/>
              <w:jc w:val="center"/>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0.39</w:t>
            </w:r>
          </w:p>
        </w:tc>
      </w:tr>
      <w:tr w:rsidR="00FC6A06" w:rsidRPr="00DA2128" w14:paraId="4CD02307" w14:textId="77777777" w:rsidTr="007B0AA8">
        <w:trPr>
          <w:trHeight w:val="300"/>
        </w:trPr>
        <w:tc>
          <w:tcPr>
            <w:tcW w:w="585" w:type="dxa"/>
            <w:tcMar>
              <w:left w:w="105" w:type="dxa"/>
              <w:right w:w="105" w:type="dxa"/>
            </w:tcMar>
          </w:tcPr>
          <w:p w14:paraId="7A7E50A2" w14:textId="77777777" w:rsidR="00FC6A06" w:rsidRPr="00DA2128" w:rsidRDefault="00FC6A06" w:rsidP="00A937C6">
            <w:pPr>
              <w:spacing w:after="200" w:line="240" w:lineRule="auto"/>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64</w:t>
            </w:r>
          </w:p>
        </w:tc>
        <w:tc>
          <w:tcPr>
            <w:tcW w:w="6260" w:type="dxa"/>
            <w:tcMar>
              <w:left w:w="105" w:type="dxa"/>
              <w:right w:w="105" w:type="dxa"/>
            </w:tcMar>
          </w:tcPr>
          <w:p w14:paraId="5AE85148" w14:textId="77777777" w:rsidR="00FC6A06" w:rsidRPr="00DA2128" w:rsidRDefault="00FC6A06" w:rsidP="00A937C6">
            <w:pPr>
              <w:spacing w:after="200" w:line="240" w:lineRule="auto"/>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Ensure mental health support for students by offering resources tailored to diverse needs and culturally sensitive services</w:t>
            </w:r>
          </w:p>
        </w:tc>
        <w:tc>
          <w:tcPr>
            <w:tcW w:w="1515" w:type="dxa"/>
            <w:tcMar>
              <w:left w:w="105" w:type="dxa"/>
              <w:right w:w="105" w:type="dxa"/>
            </w:tcMar>
            <w:vAlign w:val="center"/>
          </w:tcPr>
          <w:p w14:paraId="1D832FDE" w14:textId="77777777" w:rsidR="00FC6A06" w:rsidRPr="00DA2128" w:rsidRDefault="00FC6A06" w:rsidP="00A937C6">
            <w:pPr>
              <w:spacing w:after="200" w:line="240" w:lineRule="auto"/>
              <w:jc w:val="center"/>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0.73</w:t>
            </w:r>
          </w:p>
        </w:tc>
      </w:tr>
      <w:tr w:rsidR="00FC6A06" w:rsidRPr="00DA2128" w14:paraId="4113A288" w14:textId="77777777" w:rsidTr="007B0AA8">
        <w:trPr>
          <w:trHeight w:val="300"/>
        </w:trPr>
        <w:tc>
          <w:tcPr>
            <w:tcW w:w="585" w:type="dxa"/>
            <w:tcMar>
              <w:left w:w="105" w:type="dxa"/>
              <w:right w:w="105" w:type="dxa"/>
            </w:tcMar>
          </w:tcPr>
          <w:p w14:paraId="67DC930A" w14:textId="77777777" w:rsidR="00FC6A06" w:rsidRPr="00DA2128" w:rsidRDefault="00FC6A06" w:rsidP="00A937C6">
            <w:pPr>
              <w:spacing w:after="200" w:line="240" w:lineRule="auto"/>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65</w:t>
            </w:r>
          </w:p>
        </w:tc>
        <w:tc>
          <w:tcPr>
            <w:tcW w:w="6260" w:type="dxa"/>
            <w:tcMar>
              <w:left w:w="105" w:type="dxa"/>
              <w:right w:w="105" w:type="dxa"/>
            </w:tcMar>
          </w:tcPr>
          <w:p w14:paraId="1401DC20" w14:textId="77777777" w:rsidR="00FC6A06" w:rsidRPr="00DA2128" w:rsidRDefault="00FC6A06" w:rsidP="00A937C6">
            <w:pPr>
              <w:spacing w:after="200" w:line="240" w:lineRule="auto"/>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Ensure students have access to mental health support by providing tailored resources and dedicated staff for guidance during times of need</w:t>
            </w:r>
          </w:p>
        </w:tc>
        <w:tc>
          <w:tcPr>
            <w:tcW w:w="1515" w:type="dxa"/>
            <w:tcMar>
              <w:left w:w="105" w:type="dxa"/>
              <w:right w:w="105" w:type="dxa"/>
            </w:tcMar>
            <w:vAlign w:val="center"/>
          </w:tcPr>
          <w:p w14:paraId="266663E9" w14:textId="77777777" w:rsidR="00FC6A06" w:rsidRPr="00DA2128" w:rsidRDefault="00FC6A06" w:rsidP="00A937C6">
            <w:pPr>
              <w:spacing w:after="200" w:line="240" w:lineRule="auto"/>
              <w:jc w:val="center"/>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1</w:t>
            </w:r>
          </w:p>
        </w:tc>
      </w:tr>
      <w:tr w:rsidR="00FC6A06" w:rsidRPr="00DA2128" w14:paraId="60271D0E" w14:textId="77777777" w:rsidTr="007B0AA8">
        <w:trPr>
          <w:trHeight w:val="300"/>
        </w:trPr>
        <w:tc>
          <w:tcPr>
            <w:tcW w:w="585" w:type="dxa"/>
            <w:tcMar>
              <w:left w:w="105" w:type="dxa"/>
              <w:right w:w="105" w:type="dxa"/>
            </w:tcMar>
          </w:tcPr>
          <w:p w14:paraId="294F20C9" w14:textId="77777777" w:rsidR="00FC6A06" w:rsidRPr="00DA2128" w:rsidRDefault="00FC6A06" w:rsidP="00A937C6">
            <w:pPr>
              <w:spacing w:after="200" w:line="240" w:lineRule="auto"/>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66</w:t>
            </w:r>
          </w:p>
        </w:tc>
        <w:tc>
          <w:tcPr>
            <w:tcW w:w="6260" w:type="dxa"/>
            <w:tcMar>
              <w:left w:w="105" w:type="dxa"/>
              <w:right w:w="105" w:type="dxa"/>
            </w:tcMar>
          </w:tcPr>
          <w:p w14:paraId="5BA98FA4" w14:textId="77777777" w:rsidR="00FC6A06" w:rsidRPr="00DA2128" w:rsidRDefault="00FC6A06" w:rsidP="00A937C6">
            <w:pPr>
              <w:spacing w:after="200" w:line="240" w:lineRule="auto"/>
              <w:rPr>
                <w:rFonts w:eastAsia="Times New Roman" w:cs="Times New Roman"/>
                <w:color w:val="1B2232"/>
                <w:sz w:val="18"/>
                <w:szCs w:val="18"/>
              </w:rPr>
            </w:pPr>
            <w:bookmarkStart w:id="10" w:name="_Hlk201327042"/>
            <w:r w:rsidRPr="00DA2128">
              <w:rPr>
                <w:rStyle w:val="oneUserDefinedStyle"/>
                <w:rFonts w:ascii="Avenir Next LT Pro" w:eastAsia="Times New Roman" w:hAnsi="Avenir Next LT Pro" w:cs="Times New Roman"/>
                <w:sz w:val="18"/>
                <w:szCs w:val="18"/>
              </w:rPr>
              <w:t>Create a comprehensive support system for all staff including accessible resources and psychological support</w:t>
            </w:r>
            <w:bookmarkEnd w:id="10"/>
          </w:p>
        </w:tc>
        <w:tc>
          <w:tcPr>
            <w:tcW w:w="1515" w:type="dxa"/>
            <w:tcMar>
              <w:left w:w="105" w:type="dxa"/>
              <w:right w:w="105" w:type="dxa"/>
            </w:tcMar>
            <w:vAlign w:val="center"/>
          </w:tcPr>
          <w:p w14:paraId="12F87181" w14:textId="77777777" w:rsidR="00FC6A06" w:rsidRPr="00DA2128" w:rsidRDefault="00FC6A06" w:rsidP="00A937C6">
            <w:pPr>
              <w:spacing w:after="200" w:line="240" w:lineRule="auto"/>
              <w:jc w:val="center"/>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0.55</w:t>
            </w:r>
          </w:p>
        </w:tc>
      </w:tr>
      <w:tr w:rsidR="00FC6A06" w:rsidRPr="00DA2128" w14:paraId="02E962BC" w14:textId="77777777" w:rsidTr="007B0AA8">
        <w:trPr>
          <w:trHeight w:val="542"/>
        </w:trPr>
        <w:tc>
          <w:tcPr>
            <w:tcW w:w="585" w:type="dxa"/>
            <w:tcMar>
              <w:left w:w="105" w:type="dxa"/>
              <w:right w:w="105" w:type="dxa"/>
            </w:tcMar>
          </w:tcPr>
          <w:p w14:paraId="57928EF5" w14:textId="77777777" w:rsidR="00FC6A06" w:rsidRPr="00DA2128" w:rsidRDefault="00FC6A06" w:rsidP="00A937C6">
            <w:pPr>
              <w:spacing w:after="200" w:line="240" w:lineRule="auto"/>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67</w:t>
            </w:r>
          </w:p>
        </w:tc>
        <w:tc>
          <w:tcPr>
            <w:tcW w:w="6260" w:type="dxa"/>
            <w:tcMar>
              <w:left w:w="105" w:type="dxa"/>
              <w:right w:w="105" w:type="dxa"/>
            </w:tcMar>
          </w:tcPr>
          <w:p w14:paraId="2C8323EC" w14:textId="77777777" w:rsidR="00FC6A06" w:rsidRPr="00DA2128" w:rsidRDefault="00FC6A06" w:rsidP="00A937C6">
            <w:pPr>
              <w:spacing w:after="200" w:line="240" w:lineRule="auto"/>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Provide support for international students in communication and networking with businesses</w:t>
            </w:r>
          </w:p>
        </w:tc>
        <w:tc>
          <w:tcPr>
            <w:tcW w:w="1515" w:type="dxa"/>
            <w:tcMar>
              <w:left w:w="105" w:type="dxa"/>
              <w:right w:w="105" w:type="dxa"/>
            </w:tcMar>
            <w:vAlign w:val="center"/>
          </w:tcPr>
          <w:p w14:paraId="3E05E32F" w14:textId="77777777" w:rsidR="00FC6A06" w:rsidRPr="00DA2128" w:rsidRDefault="00FC6A06" w:rsidP="00A937C6">
            <w:pPr>
              <w:spacing w:after="200" w:line="240" w:lineRule="auto"/>
              <w:jc w:val="center"/>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0.32</w:t>
            </w:r>
          </w:p>
        </w:tc>
      </w:tr>
      <w:tr w:rsidR="00FC6A06" w:rsidRPr="00DA2128" w14:paraId="25B2859D" w14:textId="77777777" w:rsidTr="007B0AA8">
        <w:trPr>
          <w:trHeight w:val="300"/>
        </w:trPr>
        <w:tc>
          <w:tcPr>
            <w:tcW w:w="585" w:type="dxa"/>
            <w:tcMar>
              <w:left w:w="105" w:type="dxa"/>
              <w:right w:w="105" w:type="dxa"/>
            </w:tcMar>
          </w:tcPr>
          <w:p w14:paraId="4E7D85E9" w14:textId="77777777" w:rsidR="00FC6A06" w:rsidRPr="00DA2128" w:rsidRDefault="00FC6A06" w:rsidP="00A937C6">
            <w:pPr>
              <w:spacing w:after="200" w:line="240" w:lineRule="auto"/>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71</w:t>
            </w:r>
          </w:p>
        </w:tc>
        <w:tc>
          <w:tcPr>
            <w:tcW w:w="6260" w:type="dxa"/>
            <w:tcMar>
              <w:left w:w="105" w:type="dxa"/>
              <w:right w:w="105" w:type="dxa"/>
            </w:tcMar>
          </w:tcPr>
          <w:p w14:paraId="40871DA7" w14:textId="77777777" w:rsidR="00FC6A06" w:rsidRPr="00DA2128" w:rsidRDefault="00FC6A06" w:rsidP="00A937C6">
            <w:pPr>
              <w:spacing w:after="200" w:line="240" w:lineRule="auto"/>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Provide concrete EDI tools and resources such as a website, physical toolkits and booklets for students and staff with practical guides and best practices for inclusive behaviour</w:t>
            </w:r>
          </w:p>
        </w:tc>
        <w:tc>
          <w:tcPr>
            <w:tcW w:w="1515" w:type="dxa"/>
            <w:tcMar>
              <w:left w:w="105" w:type="dxa"/>
              <w:right w:w="105" w:type="dxa"/>
            </w:tcMar>
            <w:vAlign w:val="center"/>
          </w:tcPr>
          <w:p w14:paraId="1A8970A1" w14:textId="77777777" w:rsidR="00FC6A06" w:rsidRPr="00DA2128" w:rsidRDefault="00FC6A06" w:rsidP="00A937C6">
            <w:pPr>
              <w:spacing w:after="200" w:line="240" w:lineRule="auto"/>
              <w:jc w:val="center"/>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0.74</w:t>
            </w:r>
          </w:p>
        </w:tc>
      </w:tr>
      <w:tr w:rsidR="00FC6A06" w:rsidRPr="00DA2128" w14:paraId="2AE6ABE3" w14:textId="77777777" w:rsidTr="007B0AA8">
        <w:trPr>
          <w:trHeight w:val="300"/>
        </w:trPr>
        <w:tc>
          <w:tcPr>
            <w:tcW w:w="6845" w:type="dxa"/>
            <w:gridSpan w:val="2"/>
            <w:tcMar>
              <w:left w:w="105" w:type="dxa"/>
              <w:right w:w="105" w:type="dxa"/>
            </w:tcMar>
            <w:vAlign w:val="center"/>
          </w:tcPr>
          <w:p w14:paraId="4CBCA98F" w14:textId="77777777" w:rsidR="00FC6A06" w:rsidRPr="00DA2128" w:rsidRDefault="00FC6A06"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b/>
                <w:bCs/>
                <w:color w:val="000000" w:themeColor="text1"/>
                <w:sz w:val="18"/>
                <w:szCs w:val="18"/>
              </w:rPr>
              <w:t>Cluster 5: Ensuring equity in leadership and decision-making processes in academia</w:t>
            </w:r>
            <w:r w:rsidRPr="00DA2128">
              <w:rPr>
                <w:rFonts w:eastAsia="Times New Roman" w:cs="Times New Roman"/>
                <w:color w:val="000000" w:themeColor="text1"/>
                <w:sz w:val="18"/>
                <w:szCs w:val="18"/>
              </w:rPr>
              <w:t xml:space="preserve">  </w:t>
            </w:r>
          </w:p>
        </w:tc>
        <w:tc>
          <w:tcPr>
            <w:tcW w:w="1515" w:type="dxa"/>
            <w:tcMar>
              <w:left w:w="105" w:type="dxa"/>
              <w:right w:w="105" w:type="dxa"/>
            </w:tcMar>
            <w:vAlign w:val="center"/>
          </w:tcPr>
          <w:p w14:paraId="7CC19E66" w14:textId="77777777" w:rsidR="00FC6A06" w:rsidRPr="00DA2128" w:rsidRDefault="00FC6A06"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b/>
                <w:bCs/>
                <w:color w:val="000000" w:themeColor="text1"/>
                <w:sz w:val="18"/>
                <w:szCs w:val="18"/>
              </w:rPr>
              <w:t>0.23</w:t>
            </w:r>
          </w:p>
        </w:tc>
      </w:tr>
      <w:tr w:rsidR="00FC6A06" w:rsidRPr="00DA2128" w14:paraId="0CC57633" w14:textId="77777777" w:rsidTr="007B0AA8">
        <w:trPr>
          <w:trHeight w:val="300"/>
        </w:trPr>
        <w:tc>
          <w:tcPr>
            <w:tcW w:w="585" w:type="dxa"/>
            <w:tcMar>
              <w:left w:w="105" w:type="dxa"/>
              <w:right w:w="105" w:type="dxa"/>
            </w:tcMar>
          </w:tcPr>
          <w:p w14:paraId="6E5CEE9E" w14:textId="77777777" w:rsidR="00FC6A06" w:rsidRPr="00DA2128" w:rsidRDefault="00FC6A06" w:rsidP="00A937C6">
            <w:pPr>
              <w:spacing w:after="200" w:line="240" w:lineRule="auto"/>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11</w:t>
            </w:r>
          </w:p>
        </w:tc>
        <w:tc>
          <w:tcPr>
            <w:tcW w:w="6260" w:type="dxa"/>
            <w:tcMar>
              <w:left w:w="105" w:type="dxa"/>
              <w:right w:w="105" w:type="dxa"/>
            </w:tcMar>
          </w:tcPr>
          <w:p w14:paraId="7E3B045A" w14:textId="77777777" w:rsidR="00FC6A06" w:rsidRPr="00DA2128" w:rsidRDefault="00FC6A06" w:rsidP="00A937C6">
            <w:pPr>
              <w:spacing w:after="200" w:line="240" w:lineRule="auto"/>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Reward and recognise the efforts of individuals and groups who actively contribute to EDI offering incentives such as prestige recognition and financial rewards</w:t>
            </w:r>
          </w:p>
        </w:tc>
        <w:tc>
          <w:tcPr>
            <w:tcW w:w="1515" w:type="dxa"/>
            <w:tcMar>
              <w:left w:w="105" w:type="dxa"/>
              <w:right w:w="105" w:type="dxa"/>
            </w:tcMar>
            <w:vAlign w:val="center"/>
          </w:tcPr>
          <w:p w14:paraId="3922F2B2" w14:textId="77777777" w:rsidR="00FC6A06" w:rsidRPr="00DA2128" w:rsidRDefault="00FC6A06" w:rsidP="00A937C6">
            <w:pPr>
              <w:spacing w:after="200" w:line="240" w:lineRule="auto"/>
              <w:jc w:val="center"/>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0.21</w:t>
            </w:r>
          </w:p>
        </w:tc>
      </w:tr>
      <w:tr w:rsidR="00FC6A06" w:rsidRPr="00DA2128" w14:paraId="5E28FF0E" w14:textId="77777777" w:rsidTr="007B0AA8">
        <w:trPr>
          <w:trHeight w:val="300"/>
        </w:trPr>
        <w:tc>
          <w:tcPr>
            <w:tcW w:w="585" w:type="dxa"/>
            <w:tcMar>
              <w:left w:w="105" w:type="dxa"/>
              <w:right w:w="105" w:type="dxa"/>
            </w:tcMar>
          </w:tcPr>
          <w:p w14:paraId="0E544CB6" w14:textId="77777777" w:rsidR="00FC6A06" w:rsidRPr="00DA2128" w:rsidRDefault="00FC6A06" w:rsidP="00A937C6">
            <w:pPr>
              <w:spacing w:after="200" w:line="240" w:lineRule="auto"/>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29</w:t>
            </w:r>
          </w:p>
        </w:tc>
        <w:tc>
          <w:tcPr>
            <w:tcW w:w="6260" w:type="dxa"/>
            <w:tcMar>
              <w:left w:w="105" w:type="dxa"/>
              <w:right w:w="105" w:type="dxa"/>
            </w:tcMar>
          </w:tcPr>
          <w:p w14:paraId="530F8ED9" w14:textId="77777777" w:rsidR="00FC6A06" w:rsidRPr="00DA2128" w:rsidRDefault="00FC6A06" w:rsidP="00A937C6">
            <w:pPr>
              <w:spacing w:after="200" w:line="240" w:lineRule="auto"/>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Increase funding for EDI-focused initiatives</w:t>
            </w:r>
          </w:p>
        </w:tc>
        <w:tc>
          <w:tcPr>
            <w:tcW w:w="1515" w:type="dxa"/>
            <w:tcMar>
              <w:left w:w="105" w:type="dxa"/>
              <w:right w:w="105" w:type="dxa"/>
            </w:tcMar>
            <w:vAlign w:val="center"/>
          </w:tcPr>
          <w:p w14:paraId="16E80588" w14:textId="77777777" w:rsidR="00FC6A06" w:rsidRPr="00DA2128" w:rsidRDefault="00FC6A06" w:rsidP="00A937C6">
            <w:pPr>
              <w:spacing w:after="200" w:line="240" w:lineRule="auto"/>
              <w:jc w:val="center"/>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0.53</w:t>
            </w:r>
          </w:p>
        </w:tc>
      </w:tr>
      <w:tr w:rsidR="00FC6A06" w:rsidRPr="00DA2128" w14:paraId="04909631" w14:textId="77777777" w:rsidTr="007B0AA8">
        <w:trPr>
          <w:trHeight w:val="300"/>
        </w:trPr>
        <w:tc>
          <w:tcPr>
            <w:tcW w:w="585" w:type="dxa"/>
            <w:tcMar>
              <w:left w:w="105" w:type="dxa"/>
              <w:right w:w="105" w:type="dxa"/>
            </w:tcMar>
          </w:tcPr>
          <w:p w14:paraId="65CDB551" w14:textId="77777777" w:rsidR="00FC6A06" w:rsidRPr="00DA2128" w:rsidRDefault="00FC6A06" w:rsidP="00A937C6">
            <w:pPr>
              <w:spacing w:after="200" w:line="240" w:lineRule="auto"/>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32</w:t>
            </w:r>
          </w:p>
        </w:tc>
        <w:tc>
          <w:tcPr>
            <w:tcW w:w="6260" w:type="dxa"/>
            <w:tcMar>
              <w:left w:w="105" w:type="dxa"/>
              <w:right w:w="105" w:type="dxa"/>
            </w:tcMar>
          </w:tcPr>
          <w:p w14:paraId="1FB1E096" w14:textId="77777777" w:rsidR="00FC6A06" w:rsidRPr="00DA2128" w:rsidRDefault="00FC6A06" w:rsidP="00A937C6">
            <w:pPr>
              <w:spacing w:after="200" w:line="240" w:lineRule="auto"/>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Ensure equality in salary distribution by addressing and eliminating pay gaps</w:t>
            </w:r>
          </w:p>
        </w:tc>
        <w:tc>
          <w:tcPr>
            <w:tcW w:w="1515" w:type="dxa"/>
            <w:tcMar>
              <w:left w:w="105" w:type="dxa"/>
              <w:right w:w="105" w:type="dxa"/>
            </w:tcMar>
            <w:vAlign w:val="center"/>
          </w:tcPr>
          <w:p w14:paraId="06018D26" w14:textId="77777777" w:rsidR="00FC6A06" w:rsidRPr="00DA2128" w:rsidRDefault="00FC6A06" w:rsidP="00A937C6">
            <w:pPr>
              <w:spacing w:after="200" w:line="240" w:lineRule="auto"/>
              <w:jc w:val="center"/>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0.15</w:t>
            </w:r>
          </w:p>
        </w:tc>
      </w:tr>
      <w:tr w:rsidR="00FC6A06" w:rsidRPr="00DA2128" w14:paraId="6B39A3A0" w14:textId="77777777" w:rsidTr="007B0AA8">
        <w:trPr>
          <w:trHeight w:val="300"/>
        </w:trPr>
        <w:tc>
          <w:tcPr>
            <w:tcW w:w="585" w:type="dxa"/>
            <w:tcMar>
              <w:left w:w="105" w:type="dxa"/>
              <w:right w:w="105" w:type="dxa"/>
            </w:tcMar>
          </w:tcPr>
          <w:p w14:paraId="39DE8FCC" w14:textId="77777777" w:rsidR="00FC6A06" w:rsidRPr="00DA2128" w:rsidRDefault="00FC6A06" w:rsidP="00A937C6">
            <w:pPr>
              <w:spacing w:after="200" w:line="240" w:lineRule="auto"/>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33</w:t>
            </w:r>
          </w:p>
        </w:tc>
        <w:tc>
          <w:tcPr>
            <w:tcW w:w="6260" w:type="dxa"/>
            <w:tcMar>
              <w:left w:w="105" w:type="dxa"/>
              <w:right w:w="105" w:type="dxa"/>
            </w:tcMar>
          </w:tcPr>
          <w:p w14:paraId="2A3F4F37" w14:textId="77777777" w:rsidR="00FC6A06" w:rsidRPr="00DA2128" w:rsidRDefault="00FC6A06" w:rsidP="00A937C6">
            <w:pPr>
              <w:spacing w:after="200" w:line="240" w:lineRule="auto"/>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Integrate diverse perspectives into decision-making processes by involving underrepresented groups and ensuring their voices are heard on key issues</w:t>
            </w:r>
          </w:p>
        </w:tc>
        <w:tc>
          <w:tcPr>
            <w:tcW w:w="1515" w:type="dxa"/>
            <w:tcMar>
              <w:left w:w="105" w:type="dxa"/>
              <w:right w:w="105" w:type="dxa"/>
            </w:tcMar>
            <w:vAlign w:val="center"/>
          </w:tcPr>
          <w:p w14:paraId="59CEBD1B" w14:textId="77777777" w:rsidR="00FC6A06" w:rsidRPr="00DA2128" w:rsidRDefault="00FC6A06" w:rsidP="00A937C6">
            <w:pPr>
              <w:spacing w:after="200" w:line="240" w:lineRule="auto"/>
              <w:jc w:val="center"/>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0.11*</w:t>
            </w:r>
          </w:p>
        </w:tc>
      </w:tr>
      <w:tr w:rsidR="00FC6A06" w:rsidRPr="00DA2128" w14:paraId="26EEF153" w14:textId="77777777" w:rsidTr="007B0AA8">
        <w:trPr>
          <w:trHeight w:val="300"/>
        </w:trPr>
        <w:tc>
          <w:tcPr>
            <w:tcW w:w="585" w:type="dxa"/>
            <w:tcMar>
              <w:left w:w="105" w:type="dxa"/>
              <w:right w:w="105" w:type="dxa"/>
            </w:tcMar>
          </w:tcPr>
          <w:p w14:paraId="1D4723C5" w14:textId="77777777" w:rsidR="00FC6A06" w:rsidRPr="00DA2128" w:rsidRDefault="00FC6A06" w:rsidP="00A937C6">
            <w:pPr>
              <w:spacing w:after="200" w:line="240" w:lineRule="auto"/>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34</w:t>
            </w:r>
          </w:p>
        </w:tc>
        <w:tc>
          <w:tcPr>
            <w:tcW w:w="6260" w:type="dxa"/>
            <w:tcMar>
              <w:left w:w="105" w:type="dxa"/>
              <w:right w:w="105" w:type="dxa"/>
            </w:tcMar>
          </w:tcPr>
          <w:p w14:paraId="4D33ECBF" w14:textId="77777777" w:rsidR="00FC6A06" w:rsidRPr="00DA2128" w:rsidRDefault="00FC6A06" w:rsidP="00A937C6">
            <w:pPr>
              <w:spacing w:after="200" w:line="240" w:lineRule="auto"/>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Ensure leadership commitment by encouraging management to actively prioritise, support and lead by example in diversity, equity and inclusion initiatives</w:t>
            </w:r>
          </w:p>
        </w:tc>
        <w:tc>
          <w:tcPr>
            <w:tcW w:w="1515" w:type="dxa"/>
            <w:tcMar>
              <w:left w:w="105" w:type="dxa"/>
              <w:right w:w="105" w:type="dxa"/>
            </w:tcMar>
            <w:vAlign w:val="center"/>
          </w:tcPr>
          <w:p w14:paraId="5C0E2D5B" w14:textId="77777777" w:rsidR="00FC6A06" w:rsidRPr="00DA2128" w:rsidRDefault="00FC6A06" w:rsidP="00A937C6">
            <w:pPr>
              <w:spacing w:after="200" w:line="240" w:lineRule="auto"/>
              <w:jc w:val="center"/>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0.13</w:t>
            </w:r>
          </w:p>
        </w:tc>
      </w:tr>
      <w:tr w:rsidR="00FC6A06" w:rsidRPr="00DA2128" w14:paraId="3B1462AD" w14:textId="77777777" w:rsidTr="007B0AA8">
        <w:trPr>
          <w:trHeight w:val="300"/>
        </w:trPr>
        <w:tc>
          <w:tcPr>
            <w:tcW w:w="585" w:type="dxa"/>
            <w:tcMar>
              <w:left w:w="105" w:type="dxa"/>
              <w:right w:w="105" w:type="dxa"/>
            </w:tcMar>
          </w:tcPr>
          <w:p w14:paraId="37ACBAE5" w14:textId="77777777" w:rsidR="00FC6A06" w:rsidRPr="00DA2128" w:rsidRDefault="00FC6A06" w:rsidP="00A937C6">
            <w:pPr>
              <w:spacing w:after="200" w:line="240" w:lineRule="auto"/>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lastRenderedPageBreak/>
              <w:t>35</w:t>
            </w:r>
          </w:p>
        </w:tc>
        <w:tc>
          <w:tcPr>
            <w:tcW w:w="6260" w:type="dxa"/>
            <w:tcMar>
              <w:left w:w="105" w:type="dxa"/>
              <w:right w:w="105" w:type="dxa"/>
            </w:tcMar>
          </w:tcPr>
          <w:p w14:paraId="788AB070" w14:textId="77777777" w:rsidR="00FC6A06" w:rsidRPr="00DA2128" w:rsidRDefault="00FC6A06" w:rsidP="00A937C6">
            <w:pPr>
              <w:spacing w:after="200" w:line="240" w:lineRule="auto"/>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Promote diversity in and leadership by ensuring equitable representation in decision-making roles and positions of power</w:t>
            </w:r>
          </w:p>
        </w:tc>
        <w:tc>
          <w:tcPr>
            <w:tcW w:w="1515" w:type="dxa"/>
            <w:tcMar>
              <w:left w:w="105" w:type="dxa"/>
              <w:right w:w="105" w:type="dxa"/>
            </w:tcMar>
            <w:vAlign w:val="center"/>
          </w:tcPr>
          <w:p w14:paraId="7B9FC34D" w14:textId="77777777" w:rsidR="00FC6A06" w:rsidRPr="00DA2128" w:rsidRDefault="00FC6A06" w:rsidP="00A937C6">
            <w:pPr>
              <w:spacing w:after="200" w:line="240" w:lineRule="auto"/>
              <w:jc w:val="center"/>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0.21</w:t>
            </w:r>
          </w:p>
        </w:tc>
      </w:tr>
      <w:tr w:rsidR="00FC6A06" w:rsidRPr="00DA2128" w14:paraId="0B0DE306" w14:textId="77777777" w:rsidTr="007B0AA8">
        <w:trPr>
          <w:trHeight w:val="300"/>
        </w:trPr>
        <w:tc>
          <w:tcPr>
            <w:tcW w:w="585" w:type="dxa"/>
            <w:tcMar>
              <w:left w:w="105" w:type="dxa"/>
              <w:right w:w="105" w:type="dxa"/>
            </w:tcMar>
          </w:tcPr>
          <w:p w14:paraId="181A4A83" w14:textId="77777777" w:rsidR="00FC6A06" w:rsidRPr="00DA2128" w:rsidRDefault="00FC6A06" w:rsidP="00A937C6">
            <w:pPr>
              <w:spacing w:after="200" w:line="240" w:lineRule="auto"/>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50</w:t>
            </w:r>
          </w:p>
        </w:tc>
        <w:tc>
          <w:tcPr>
            <w:tcW w:w="6260" w:type="dxa"/>
            <w:tcMar>
              <w:left w:w="105" w:type="dxa"/>
              <w:right w:w="105" w:type="dxa"/>
            </w:tcMar>
          </w:tcPr>
          <w:p w14:paraId="43A937E4" w14:textId="77777777" w:rsidR="00FC6A06" w:rsidRPr="00DA2128" w:rsidRDefault="00FC6A06" w:rsidP="00A937C6">
            <w:pPr>
              <w:spacing w:after="200" w:line="240" w:lineRule="auto"/>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Allocate resources to support the development and implementation of EDI initiatives, ensuring sustainability and continuous improvement</w:t>
            </w:r>
          </w:p>
        </w:tc>
        <w:tc>
          <w:tcPr>
            <w:tcW w:w="1515" w:type="dxa"/>
            <w:tcMar>
              <w:left w:w="105" w:type="dxa"/>
              <w:right w:w="105" w:type="dxa"/>
            </w:tcMar>
            <w:vAlign w:val="center"/>
          </w:tcPr>
          <w:p w14:paraId="4DD1F76D" w14:textId="77777777" w:rsidR="00FC6A06" w:rsidRPr="00DA2128" w:rsidRDefault="00FC6A06" w:rsidP="00A937C6">
            <w:pPr>
              <w:spacing w:after="200" w:line="240" w:lineRule="auto"/>
              <w:jc w:val="center"/>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0.48</w:t>
            </w:r>
          </w:p>
        </w:tc>
      </w:tr>
      <w:tr w:rsidR="00FC6A06" w:rsidRPr="00DA2128" w14:paraId="35D07A9B" w14:textId="77777777" w:rsidTr="007B0AA8">
        <w:trPr>
          <w:trHeight w:val="300"/>
        </w:trPr>
        <w:tc>
          <w:tcPr>
            <w:tcW w:w="585" w:type="dxa"/>
            <w:tcMar>
              <w:left w:w="105" w:type="dxa"/>
              <w:right w:w="105" w:type="dxa"/>
            </w:tcMar>
          </w:tcPr>
          <w:p w14:paraId="2ECB092A" w14:textId="77777777" w:rsidR="00FC6A06" w:rsidRPr="00DA2128" w:rsidRDefault="00FC6A06" w:rsidP="00A937C6">
            <w:pPr>
              <w:spacing w:after="200" w:line="240" w:lineRule="auto"/>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59</w:t>
            </w:r>
          </w:p>
        </w:tc>
        <w:tc>
          <w:tcPr>
            <w:tcW w:w="6260" w:type="dxa"/>
            <w:tcMar>
              <w:left w:w="105" w:type="dxa"/>
              <w:right w:w="105" w:type="dxa"/>
            </w:tcMar>
          </w:tcPr>
          <w:p w14:paraId="3E2B5BA3" w14:textId="77777777" w:rsidR="00FC6A06" w:rsidRPr="00DA2128" w:rsidRDefault="00FC6A06" w:rsidP="00A937C6">
            <w:pPr>
              <w:spacing w:after="200" w:line="240" w:lineRule="auto"/>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Ensure equity in hiring and promotions by promoting diverse recruitment panels, increasing efforts to recruit underrepresented groups and ensuring transparency in the process</w:t>
            </w:r>
          </w:p>
        </w:tc>
        <w:tc>
          <w:tcPr>
            <w:tcW w:w="1515" w:type="dxa"/>
            <w:tcMar>
              <w:left w:w="105" w:type="dxa"/>
              <w:right w:w="105" w:type="dxa"/>
            </w:tcMar>
            <w:vAlign w:val="center"/>
          </w:tcPr>
          <w:p w14:paraId="20674BB7" w14:textId="77777777" w:rsidR="00FC6A06" w:rsidRPr="00DA2128" w:rsidRDefault="00FC6A06" w:rsidP="00A937C6">
            <w:pPr>
              <w:spacing w:after="200" w:line="240" w:lineRule="auto"/>
              <w:jc w:val="center"/>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0.2</w:t>
            </w:r>
          </w:p>
        </w:tc>
      </w:tr>
      <w:tr w:rsidR="00FC6A06" w:rsidRPr="00DA2128" w14:paraId="449CD6E1" w14:textId="77777777" w:rsidTr="007B0AA8">
        <w:trPr>
          <w:trHeight w:val="300"/>
        </w:trPr>
        <w:tc>
          <w:tcPr>
            <w:tcW w:w="585" w:type="dxa"/>
            <w:tcMar>
              <w:left w:w="105" w:type="dxa"/>
              <w:right w:w="105" w:type="dxa"/>
            </w:tcMar>
          </w:tcPr>
          <w:p w14:paraId="19FC5EF5" w14:textId="77777777" w:rsidR="00FC6A06" w:rsidRPr="00DA2128" w:rsidRDefault="00FC6A06" w:rsidP="00A937C6">
            <w:pPr>
              <w:spacing w:after="200" w:line="240" w:lineRule="auto"/>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61</w:t>
            </w:r>
          </w:p>
        </w:tc>
        <w:tc>
          <w:tcPr>
            <w:tcW w:w="6260" w:type="dxa"/>
            <w:tcMar>
              <w:left w:w="105" w:type="dxa"/>
              <w:right w:w="105" w:type="dxa"/>
            </w:tcMar>
          </w:tcPr>
          <w:p w14:paraId="01D39DE5" w14:textId="77777777" w:rsidR="00FC6A06" w:rsidRPr="00DA2128" w:rsidRDefault="00FC6A06" w:rsidP="00A937C6">
            <w:pPr>
              <w:spacing w:after="200" w:line="240" w:lineRule="auto"/>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Ensure campus accessibility by improving building designs, creating inclusive spaces and conducting regular accessibility evaluations</w:t>
            </w:r>
          </w:p>
        </w:tc>
        <w:tc>
          <w:tcPr>
            <w:tcW w:w="1515" w:type="dxa"/>
            <w:tcMar>
              <w:left w:w="105" w:type="dxa"/>
              <w:right w:w="105" w:type="dxa"/>
            </w:tcMar>
            <w:vAlign w:val="center"/>
          </w:tcPr>
          <w:p w14:paraId="2E5D1935" w14:textId="77777777" w:rsidR="00FC6A06" w:rsidRPr="00DA2128" w:rsidRDefault="00FC6A06" w:rsidP="00A937C6">
            <w:pPr>
              <w:spacing w:after="200" w:line="240" w:lineRule="auto"/>
              <w:jc w:val="center"/>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0.18</w:t>
            </w:r>
          </w:p>
        </w:tc>
      </w:tr>
      <w:tr w:rsidR="00FC6A06" w:rsidRPr="00DA2128" w14:paraId="56CD9E27" w14:textId="77777777" w:rsidTr="007B0AA8">
        <w:trPr>
          <w:trHeight w:val="300"/>
        </w:trPr>
        <w:tc>
          <w:tcPr>
            <w:tcW w:w="585" w:type="dxa"/>
            <w:tcMar>
              <w:left w:w="105" w:type="dxa"/>
              <w:right w:w="105" w:type="dxa"/>
            </w:tcMar>
          </w:tcPr>
          <w:p w14:paraId="4FEC514D" w14:textId="77777777" w:rsidR="00FC6A06" w:rsidRPr="00DA2128" w:rsidRDefault="00FC6A06" w:rsidP="00A937C6">
            <w:pPr>
              <w:spacing w:after="200" w:line="240" w:lineRule="auto"/>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78</w:t>
            </w:r>
          </w:p>
        </w:tc>
        <w:tc>
          <w:tcPr>
            <w:tcW w:w="6260" w:type="dxa"/>
            <w:tcMar>
              <w:left w:w="105" w:type="dxa"/>
              <w:right w:w="105" w:type="dxa"/>
            </w:tcMar>
          </w:tcPr>
          <w:p w14:paraId="37F7CF77" w14:textId="77777777" w:rsidR="00FC6A06" w:rsidRPr="00DA2128" w:rsidRDefault="00FC6A06" w:rsidP="00A937C6">
            <w:pPr>
              <w:spacing w:after="200" w:line="240" w:lineRule="auto"/>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Increase transparency in academic processes such as recruitment, promotions and wage equality, ensuring fair and open evaluation criteria and decision-making</w:t>
            </w:r>
          </w:p>
        </w:tc>
        <w:tc>
          <w:tcPr>
            <w:tcW w:w="1515" w:type="dxa"/>
            <w:tcMar>
              <w:left w:w="105" w:type="dxa"/>
              <w:right w:w="105" w:type="dxa"/>
            </w:tcMar>
            <w:vAlign w:val="center"/>
          </w:tcPr>
          <w:p w14:paraId="38DECF90" w14:textId="77777777" w:rsidR="00FC6A06" w:rsidRPr="00DA2128" w:rsidRDefault="00FC6A06" w:rsidP="00A937C6">
            <w:pPr>
              <w:spacing w:after="200" w:line="240" w:lineRule="auto"/>
              <w:jc w:val="center"/>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0.13</w:t>
            </w:r>
          </w:p>
        </w:tc>
      </w:tr>
      <w:tr w:rsidR="00FC6A06" w:rsidRPr="00DA2128" w14:paraId="51505140" w14:textId="77777777" w:rsidTr="007B0AA8">
        <w:trPr>
          <w:trHeight w:val="300"/>
        </w:trPr>
        <w:tc>
          <w:tcPr>
            <w:tcW w:w="6845" w:type="dxa"/>
            <w:gridSpan w:val="2"/>
            <w:tcMar>
              <w:left w:w="105" w:type="dxa"/>
              <w:right w:w="105" w:type="dxa"/>
            </w:tcMar>
            <w:vAlign w:val="center"/>
          </w:tcPr>
          <w:p w14:paraId="29392C04" w14:textId="77777777" w:rsidR="00FC6A06" w:rsidRPr="00DA2128" w:rsidRDefault="00FC6A06" w:rsidP="00A937C6">
            <w:pPr>
              <w:spacing w:after="200" w:line="240" w:lineRule="auto"/>
              <w:jc w:val="center"/>
              <w:rPr>
                <w:rFonts w:eastAsia="Times New Roman" w:cs="Times New Roman"/>
                <w:color w:val="1B2232"/>
                <w:sz w:val="18"/>
                <w:szCs w:val="18"/>
              </w:rPr>
            </w:pPr>
            <w:r w:rsidRPr="00DA2128">
              <w:rPr>
                <w:rFonts w:eastAsia="Times New Roman" w:cs="Times New Roman"/>
                <w:b/>
                <w:bCs/>
                <w:color w:val="000000" w:themeColor="text1"/>
                <w:sz w:val="18"/>
                <w:szCs w:val="18"/>
              </w:rPr>
              <w:t xml:space="preserve">Cluster 6: </w:t>
            </w:r>
            <w:r w:rsidRPr="00DA2128">
              <w:rPr>
                <w:rStyle w:val="oneUserDefinedStyle"/>
                <w:rFonts w:ascii="Avenir Next LT Pro" w:eastAsia="Times New Roman" w:hAnsi="Avenir Next LT Pro" w:cs="Times New Roman"/>
                <w:b/>
                <w:bCs/>
                <w:sz w:val="18"/>
                <w:szCs w:val="18"/>
              </w:rPr>
              <w:t>Advancing policy, implementation, and evaluation</w:t>
            </w:r>
          </w:p>
        </w:tc>
        <w:tc>
          <w:tcPr>
            <w:tcW w:w="1515" w:type="dxa"/>
            <w:tcMar>
              <w:left w:w="105" w:type="dxa"/>
              <w:right w:w="105" w:type="dxa"/>
            </w:tcMar>
            <w:vAlign w:val="center"/>
          </w:tcPr>
          <w:p w14:paraId="115A53DF" w14:textId="77777777" w:rsidR="00FC6A06" w:rsidRPr="00DA2128" w:rsidRDefault="00FC6A06"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b/>
                <w:bCs/>
                <w:color w:val="000000" w:themeColor="text1"/>
                <w:sz w:val="18"/>
                <w:szCs w:val="18"/>
              </w:rPr>
              <w:t>0.26</w:t>
            </w:r>
          </w:p>
        </w:tc>
      </w:tr>
      <w:tr w:rsidR="00FC6A06" w:rsidRPr="00DA2128" w14:paraId="059669AF" w14:textId="77777777" w:rsidTr="007B0AA8">
        <w:trPr>
          <w:trHeight w:val="300"/>
        </w:trPr>
        <w:tc>
          <w:tcPr>
            <w:tcW w:w="585" w:type="dxa"/>
            <w:tcMar>
              <w:left w:w="105" w:type="dxa"/>
              <w:right w:w="105" w:type="dxa"/>
            </w:tcMar>
          </w:tcPr>
          <w:p w14:paraId="1149E9C8" w14:textId="77777777" w:rsidR="00FC6A06" w:rsidRPr="00DA2128" w:rsidRDefault="00FC6A06" w:rsidP="00A937C6">
            <w:pPr>
              <w:spacing w:after="200" w:line="240" w:lineRule="auto"/>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12</w:t>
            </w:r>
          </w:p>
        </w:tc>
        <w:tc>
          <w:tcPr>
            <w:tcW w:w="6260" w:type="dxa"/>
            <w:tcMar>
              <w:left w:w="105" w:type="dxa"/>
              <w:right w:w="105" w:type="dxa"/>
            </w:tcMar>
          </w:tcPr>
          <w:p w14:paraId="5B9A55DA" w14:textId="77777777" w:rsidR="00FC6A06" w:rsidRPr="00DA2128" w:rsidRDefault="00FC6A06" w:rsidP="00A937C6">
            <w:pPr>
              <w:spacing w:after="200" w:line="240" w:lineRule="auto"/>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Implement and apply concrete actions related to EDI in line with existing laws and guidelines</w:t>
            </w:r>
          </w:p>
        </w:tc>
        <w:tc>
          <w:tcPr>
            <w:tcW w:w="1515" w:type="dxa"/>
            <w:tcMar>
              <w:left w:w="105" w:type="dxa"/>
              <w:right w:w="105" w:type="dxa"/>
            </w:tcMar>
            <w:vAlign w:val="center"/>
          </w:tcPr>
          <w:p w14:paraId="4ADC6EE0" w14:textId="77777777" w:rsidR="00FC6A06" w:rsidRPr="00DA2128" w:rsidRDefault="00FC6A06" w:rsidP="00A937C6">
            <w:pPr>
              <w:spacing w:after="200" w:line="240" w:lineRule="auto"/>
              <w:jc w:val="center"/>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0.19</w:t>
            </w:r>
          </w:p>
        </w:tc>
      </w:tr>
      <w:tr w:rsidR="00FC6A06" w:rsidRPr="00DA2128" w14:paraId="089B9E0B" w14:textId="77777777" w:rsidTr="007B0AA8">
        <w:trPr>
          <w:trHeight w:val="300"/>
        </w:trPr>
        <w:tc>
          <w:tcPr>
            <w:tcW w:w="585" w:type="dxa"/>
            <w:tcMar>
              <w:left w:w="105" w:type="dxa"/>
              <w:right w:w="105" w:type="dxa"/>
            </w:tcMar>
          </w:tcPr>
          <w:p w14:paraId="76611E09" w14:textId="77777777" w:rsidR="00FC6A06" w:rsidRPr="00DA2128" w:rsidRDefault="00FC6A06" w:rsidP="00A937C6">
            <w:pPr>
              <w:spacing w:after="200" w:line="240" w:lineRule="auto"/>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19</w:t>
            </w:r>
          </w:p>
        </w:tc>
        <w:tc>
          <w:tcPr>
            <w:tcW w:w="6260" w:type="dxa"/>
            <w:tcMar>
              <w:left w:w="105" w:type="dxa"/>
              <w:right w:w="105" w:type="dxa"/>
            </w:tcMar>
          </w:tcPr>
          <w:p w14:paraId="06CA39B5" w14:textId="77777777" w:rsidR="00FC6A06" w:rsidRPr="00DA2128" w:rsidRDefault="00FC6A06" w:rsidP="00A937C6">
            <w:pPr>
              <w:spacing w:after="200" w:line="240" w:lineRule="auto"/>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Develop clear university policies on dress codes to ensure respect and prevent mistreatment, promoting an inclusive and non-discriminatory environment</w:t>
            </w:r>
          </w:p>
        </w:tc>
        <w:tc>
          <w:tcPr>
            <w:tcW w:w="1515" w:type="dxa"/>
            <w:tcMar>
              <w:left w:w="105" w:type="dxa"/>
              <w:right w:w="105" w:type="dxa"/>
            </w:tcMar>
            <w:vAlign w:val="center"/>
          </w:tcPr>
          <w:p w14:paraId="171480BD" w14:textId="77777777" w:rsidR="00FC6A06" w:rsidRPr="00DA2128" w:rsidRDefault="00FC6A06" w:rsidP="00A937C6">
            <w:pPr>
              <w:spacing w:after="200" w:line="240" w:lineRule="auto"/>
              <w:jc w:val="center"/>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0.11</w:t>
            </w:r>
          </w:p>
        </w:tc>
      </w:tr>
      <w:tr w:rsidR="00FC6A06" w:rsidRPr="00DA2128" w14:paraId="1A9144FC" w14:textId="77777777" w:rsidTr="007B0AA8">
        <w:trPr>
          <w:trHeight w:val="300"/>
        </w:trPr>
        <w:tc>
          <w:tcPr>
            <w:tcW w:w="585" w:type="dxa"/>
            <w:tcMar>
              <w:left w:w="105" w:type="dxa"/>
              <w:right w:w="105" w:type="dxa"/>
            </w:tcMar>
          </w:tcPr>
          <w:p w14:paraId="550AB521" w14:textId="77777777" w:rsidR="00FC6A06" w:rsidRPr="00DA2128" w:rsidRDefault="00FC6A06" w:rsidP="00A937C6">
            <w:pPr>
              <w:spacing w:after="200" w:line="240" w:lineRule="auto"/>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20</w:t>
            </w:r>
          </w:p>
        </w:tc>
        <w:tc>
          <w:tcPr>
            <w:tcW w:w="6260" w:type="dxa"/>
            <w:tcMar>
              <w:left w:w="105" w:type="dxa"/>
              <w:right w:w="105" w:type="dxa"/>
            </w:tcMar>
          </w:tcPr>
          <w:p w14:paraId="16D3A87B" w14:textId="77777777" w:rsidR="00FC6A06" w:rsidRPr="00DA2128" w:rsidRDefault="00FC6A06" w:rsidP="00A937C6">
            <w:pPr>
              <w:spacing w:after="200" w:line="240" w:lineRule="auto"/>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Collect and analyse student feedback on EDI to identify improvement areas</w:t>
            </w:r>
          </w:p>
        </w:tc>
        <w:tc>
          <w:tcPr>
            <w:tcW w:w="1515" w:type="dxa"/>
            <w:tcMar>
              <w:left w:w="105" w:type="dxa"/>
              <w:right w:w="105" w:type="dxa"/>
            </w:tcMar>
            <w:vAlign w:val="center"/>
          </w:tcPr>
          <w:p w14:paraId="50F322F7" w14:textId="77777777" w:rsidR="00FC6A06" w:rsidRPr="00DA2128" w:rsidRDefault="00FC6A06" w:rsidP="00A937C6">
            <w:pPr>
              <w:spacing w:after="200" w:line="240" w:lineRule="auto"/>
              <w:jc w:val="center"/>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0.23</w:t>
            </w:r>
          </w:p>
        </w:tc>
      </w:tr>
      <w:tr w:rsidR="00FC6A06" w:rsidRPr="00DA2128" w14:paraId="4BF501F1" w14:textId="77777777" w:rsidTr="007B0AA8">
        <w:trPr>
          <w:trHeight w:val="300"/>
        </w:trPr>
        <w:tc>
          <w:tcPr>
            <w:tcW w:w="585" w:type="dxa"/>
            <w:tcMar>
              <w:left w:w="105" w:type="dxa"/>
              <w:right w:w="105" w:type="dxa"/>
            </w:tcMar>
          </w:tcPr>
          <w:p w14:paraId="52103690" w14:textId="77777777" w:rsidR="00FC6A06" w:rsidRPr="00DA2128" w:rsidRDefault="00FC6A06" w:rsidP="00A937C6">
            <w:pPr>
              <w:spacing w:after="200" w:line="240" w:lineRule="auto"/>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21</w:t>
            </w:r>
          </w:p>
        </w:tc>
        <w:tc>
          <w:tcPr>
            <w:tcW w:w="6260" w:type="dxa"/>
            <w:tcMar>
              <w:left w:w="105" w:type="dxa"/>
              <w:right w:w="105" w:type="dxa"/>
            </w:tcMar>
          </w:tcPr>
          <w:p w14:paraId="530A02EF" w14:textId="77777777" w:rsidR="00FC6A06" w:rsidRPr="00DA2128" w:rsidRDefault="00FC6A06" w:rsidP="00A937C6">
            <w:pPr>
              <w:spacing w:after="200" w:line="240" w:lineRule="auto"/>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Collect and analyse employee feedback on EDI to implement and adjust EDI</w:t>
            </w:r>
          </w:p>
        </w:tc>
        <w:tc>
          <w:tcPr>
            <w:tcW w:w="1515" w:type="dxa"/>
            <w:tcMar>
              <w:left w:w="105" w:type="dxa"/>
              <w:right w:w="105" w:type="dxa"/>
            </w:tcMar>
            <w:vAlign w:val="center"/>
          </w:tcPr>
          <w:p w14:paraId="421F75BF" w14:textId="77777777" w:rsidR="00FC6A06" w:rsidRPr="00DA2128" w:rsidRDefault="00FC6A06" w:rsidP="00A937C6">
            <w:pPr>
              <w:spacing w:after="200" w:line="240" w:lineRule="auto"/>
              <w:jc w:val="center"/>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0.39</w:t>
            </w:r>
          </w:p>
        </w:tc>
      </w:tr>
      <w:tr w:rsidR="00FC6A06" w:rsidRPr="00DA2128" w14:paraId="32F8950F" w14:textId="77777777" w:rsidTr="007B0AA8">
        <w:trPr>
          <w:trHeight w:val="300"/>
        </w:trPr>
        <w:tc>
          <w:tcPr>
            <w:tcW w:w="585" w:type="dxa"/>
            <w:tcMar>
              <w:left w:w="105" w:type="dxa"/>
              <w:right w:w="105" w:type="dxa"/>
            </w:tcMar>
          </w:tcPr>
          <w:p w14:paraId="1158676D" w14:textId="77777777" w:rsidR="00FC6A06" w:rsidRPr="00DA2128" w:rsidRDefault="00FC6A06" w:rsidP="00A937C6">
            <w:pPr>
              <w:spacing w:after="200" w:line="240" w:lineRule="auto"/>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22</w:t>
            </w:r>
          </w:p>
        </w:tc>
        <w:tc>
          <w:tcPr>
            <w:tcW w:w="6260" w:type="dxa"/>
            <w:tcMar>
              <w:left w:w="105" w:type="dxa"/>
              <w:right w:w="105" w:type="dxa"/>
            </w:tcMar>
          </w:tcPr>
          <w:p w14:paraId="07847128" w14:textId="77777777" w:rsidR="00FC6A06" w:rsidRPr="00DA2128" w:rsidRDefault="00FC6A06" w:rsidP="00A937C6">
            <w:pPr>
              <w:spacing w:after="200" w:line="240" w:lineRule="auto"/>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Collect feedback on the effectiveness on the existing EDI policies</w:t>
            </w:r>
          </w:p>
        </w:tc>
        <w:tc>
          <w:tcPr>
            <w:tcW w:w="1515" w:type="dxa"/>
            <w:tcMar>
              <w:left w:w="105" w:type="dxa"/>
              <w:right w:w="105" w:type="dxa"/>
            </w:tcMar>
            <w:vAlign w:val="center"/>
          </w:tcPr>
          <w:p w14:paraId="7EF5B39D" w14:textId="77777777" w:rsidR="00FC6A06" w:rsidRPr="00DA2128" w:rsidRDefault="00FC6A06" w:rsidP="00A937C6">
            <w:pPr>
              <w:spacing w:after="200" w:line="240" w:lineRule="auto"/>
              <w:jc w:val="center"/>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0.49</w:t>
            </w:r>
          </w:p>
        </w:tc>
      </w:tr>
      <w:tr w:rsidR="00FC6A06" w:rsidRPr="00DA2128" w14:paraId="3E60287C" w14:textId="77777777" w:rsidTr="007B0AA8">
        <w:trPr>
          <w:trHeight w:val="300"/>
        </w:trPr>
        <w:tc>
          <w:tcPr>
            <w:tcW w:w="585" w:type="dxa"/>
            <w:tcMar>
              <w:left w:w="105" w:type="dxa"/>
              <w:right w:w="105" w:type="dxa"/>
            </w:tcMar>
          </w:tcPr>
          <w:p w14:paraId="057B2038" w14:textId="77777777" w:rsidR="00FC6A06" w:rsidRPr="00DA2128" w:rsidRDefault="00FC6A06" w:rsidP="00A937C6">
            <w:pPr>
              <w:spacing w:after="200" w:line="240" w:lineRule="auto"/>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23</w:t>
            </w:r>
          </w:p>
        </w:tc>
        <w:tc>
          <w:tcPr>
            <w:tcW w:w="6260" w:type="dxa"/>
            <w:tcMar>
              <w:left w:w="105" w:type="dxa"/>
              <w:right w:w="105" w:type="dxa"/>
            </w:tcMar>
          </w:tcPr>
          <w:p w14:paraId="5F8FA78F" w14:textId="77777777" w:rsidR="00FC6A06" w:rsidRPr="00DA2128" w:rsidRDefault="00FC6A06" w:rsidP="00A937C6">
            <w:pPr>
              <w:spacing w:after="200" w:line="240" w:lineRule="auto"/>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Analyse demographic data on enrolment, retention, and graduation to identify EDI gaps</w:t>
            </w:r>
          </w:p>
        </w:tc>
        <w:tc>
          <w:tcPr>
            <w:tcW w:w="1515" w:type="dxa"/>
            <w:tcMar>
              <w:left w:w="105" w:type="dxa"/>
              <w:right w:w="105" w:type="dxa"/>
            </w:tcMar>
            <w:vAlign w:val="center"/>
          </w:tcPr>
          <w:p w14:paraId="251C0107" w14:textId="77777777" w:rsidR="00FC6A06" w:rsidRPr="00DA2128" w:rsidRDefault="00FC6A06" w:rsidP="00A937C6">
            <w:pPr>
              <w:spacing w:after="200" w:line="240" w:lineRule="auto"/>
              <w:jc w:val="center"/>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0.2</w:t>
            </w:r>
          </w:p>
        </w:tc>
      </w:tr>
      <w:tr w:rsidR="00FC6A06" w:rsidRPr="00DA2128" w14:paraId="49B9BA50" w14:textId="77777777" w:rsidTr="007B0AA8">
        <w:trPr>
          <w:trHeight w:val="300"/>
        </w:trPr>
        <w:tc>
          <w:tcPr>
            <w:tcW w:w="585" w:type="dxa"/>
            <w:tcMar>
              <w:left w:w="105" w:type="dxa"/>
              <w:right w:w="105" w:type="dxa"/>
            </w:tcMar>
          </w:tcPr>
          <w:p w14:paraId="09FDE6B4" w14:textId="77777777" w:rsidR="00FC6A06" w:rsidRPr="00DA2128" w:rsidRDefault="00FC6A06" w:rsidP="00A937C6">
            <w:pPr>
              <w:spacing w:after="200" w:line="240" w:lineRule="auto"/>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28</w:t>
            </w:r>
          </w:p>
        </w:tc>
        <w:tc>
          <w:tcPr>
            <w:tcW w:w="6260" w:type="dxa"/>
            <w:tcMar>
              <w:left w:w="105" w:type="dxa"/>
              <w:right w:w="105" w:type="dxa"/>
            </w:tcMar>
          </w:tcPr>
          <w:p w14:paraId="6C885012" w14:textId="77777777" w:rsidR="00FC6A06" w:rsidRPr="00DA2128" w:rsidRDefault="00FC6A06" w:rsidP="00A937C6">
            <w:pPr>
              <w:spacing w:after="200" w:line="240" w:lineRule="auto"/>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Be more responsive to employees' needs and foster an understanding of EDI to promote equity within the workplace</w:t>
            </w:r>
          </w:p>
        </w:tc>
        <w:tc>
          <w:tcPr>
            <w:tcW w:w="1515" w:type="dxa"/>
            <w:tcMar>
              <w:left w:w="105" w:type="dxa"/>
              <w:right w:w="105" w:type="dxa"/>
            </w:tcMar>
            <w:vAlign w:val="center"/>
          </w:tcPr>
          <w:p w14:paraId="4474A3B9" w14:textId="77777777" w:rsidR="00FC6A06" w:rsidRPr="00DA2128" w:rsidRDefault="00FC6A06" w:rsidP="00A937C6">
            <w:pPr>
              <w:spacing w:after="200" w:line="240" w:lineRule="auto"/>
              <w:jc w:val="center"/>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0.39</w:t>
            </w:r>
          </w:p>
        </w:tc>
      </w:tr>
      <w:tr w:rsidR="00FC6A06" w:rsidRPr="00DA2128" w14:paraId="08DF4AE1" w14:textId="77777777" w:rsidTr="007B0AA8">
        <w:trPr>
          <w:trHeight w:val="300"/>
        </w:trPr>
        <w:tc>
          <w:tcPr>
            <w:tcW w:w="585" w:type="dxa"/>
            <w:tcMar>
              <w:left w:w="105" w:type="dxa"/>
              <w:right w:w="105" w:type="dxa"/>
            </w:tcMar>
          </w:tcPr>
          <w:p w14:paraId="752D5B30" w14:textId="77777777" w:rsidR="00FC6A06" w:rsidRPr="00DA2128" w:rsidRDefault="00FC6A06" w:rsidP="00A937C6">
            <w:pPr>
              <w:spacing w:after="200" w:line="240" w:lineRule="auto"/>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31</w:t>
            </w:r>
          </w:p>
        </w:tc>
        <w:tc>
          <w:tcPr>
            <w:tcW w:w="6260" w:type="dxa"/>
            <w:tcMar>
              <w:left w:w="105" w:type="dxa"/>
              <w:right w:w="105" w:type="dxa"/>
            </w:tcMar>
          </w:tcPr>
          <w:p w14:paraId="68102F41" w14:textId="77777777" w:rsidR="00FC6A06" w:rsidRPr="00DA2128" w:rsidRDefault="00FC6A06" w:rsidP="00A937C6">
            <w:pPr>
              <w:spacing w:after="200" w:line="240" w:lineRule="auto"/>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Promote gender equality in academia by addressing gender imbalances in programs, fostering diverse leadership and ensuring equitable representation in administrative and governing roles</w:t>
            </w:r>
          </w:p>
        </w:tc>
        <w:tc>
          <w:tcPr>
            <w:tcW w:w="1515" w:type="dxa"/>
            <w:tcMar>
              <w:left w:w="105" w:type="dxa"/>
              <w:right w:w="105" w:type="dxa"/>
            </w:tcMar>
            <w:vAlign w:val="center"/>
          </w:tcPr>
          <w:p w14:paraId="4FF1C354" w14:textId="77777777" w:rsidR="00FC6A06" w:rsidRPr="00DA2128" w:rsidRDefault="00FC6A06" w:rsidP="00A937C6">
            <w:pPr>
              <w:spacing w:after="200" w:line="240" w:lineRule="auto"/>
              <w:jc w:val="center"/>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0.08*</w:t>
            </w:r>
          </w:p>
        </w:tc>
      </w:tr>
      <w:tr w:rsidR="00FC6A06" w:rsidRPr="00DA2128" w14:paraId="0CBAB756" w14:textId="77777777" w:rsidTr="007B0AA8">
        <w:trPr>
          <w:trHeight w:val="300"/>
        </w:trPr>
        <w:tc>
          <w:tcPr>
            <w:tcW w:w="585" w:type="dxa"/>
            <w:tcMar>
              <w:left w:w="105" w:type="dxa"/>
              <w:right w:w="105" w:type="dxa"/>
            </w:tcMar>
          </w:tcPr>
          <w:p w14:paraId="794859A6" w14:textId="77777777" w:rsidR="00FC6A06" w:rsidRPr="00DA2128" w:rsidRDefault="00FC6A06" w:rsidP="00A937C6">
            <w:pPr>
              <w:spacing w:after="200" w:line="240" w:lineRule="auto"/>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38</w:t>
            </w:r>
          </w:p>
        </w:tc>
        <w:tc>
          <w:tcPr>
            <w:tcW w:w="6260" w:type="dxa"/>
            <w:tcMar>
              <w:left w:w="105" w:type="dxa"/>
              <w:right w:w="105" w:type="dxa"/>
            </w:tcMar>
          </w:tcPr>
          <w:p w14:paraId="67A4332F" w14:textId="77777777" w:rsidR="00FC6A06" w:rsidRPr="00DA2128" w:rsidRDefault="00FC6A06" w:rsidP="00A937C6">
            <w:pPr>
              <w:spacing w:after="200" w:line="240" w:lineRule="auto"/>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Create indicators to identify underrepresented groups (in need of EDI-driven actions)</w:t>
            </w:r>
          </w:p>
        </w:tc>
        <w:tc>
          <w:tcPr>
            <w:tcW w:w="1515" w:type="dxa"/>
            <w:tcMar>
              <w:left w:w="105" w:type="dxa"/>
              <w:right w:w="105" w:type="dxa"/>
            </w:tcMar>
            <w:vAlign w:val="center"/>
          </w:tcPr>
          <w:p w14:paraId="214C71E9" w14:textId="77777777" w:rsidR="00FC6A06" w:rsidRPr="00DA2128" w:rsidRDefault="00FC6A06" w:rsidP="00A937C6">
            <w:pPr>
              <w:spacing w:after="200" w:line="240" w:lineRule="auto"/>
              <w:jc w:val="center"/>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0.29</w:t>
            </w:r>
          </w:p>
        </w:tc>
      </w:tr>
      <w:tr w:rsidR="00FC6A06" w:rsidRPr="00DA2128" w14:paraId="335C9D27" w14:textId="77777777" w:rsidTr="007B0AA8">
        <w:trPr>
          <w:trHeight w:val="300"/>
        </w:trPr>
        <w:tc>
          <w:tcPr>
            <w:tcW w:w="585" w:type="dxa"/>
            <w:tcMar>
              <w:left w:w="105" w:type="dxa"/>
              <w:right w:w="105" w:type="dxa"/>
            </w:tcMar>
          </w:tcPr>
          <w:p w14:paraId="721820DA" w14:textId="77777777" w:rsidR="00FC6A06" w:rsidRPr="00DA2128" w:rsidRDefault="00FC6A06" w:rsidP="00A937C6">
            <w:pPr>
              <w:spacing w:after="200" w:line="240" w:lineRule="auto"/>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39</w:t>
            </w:r>
          </w:p>
        </w:tc>
        <w:tc>
          <w:tcPr>
            <w:tcW w:w="6260" w:type="dxa"/>
            <w:tcMar>
              <w:left w:w="105" w:type="dxa"/>
              <w:right w:w="105" w:type="dxa"/>
            </w:tcMar>
          </w:tcPr>
          <w:p w14:paraId="22B13765" w14:textId="77777777" w:rsidR="00FC6A06" w:rsidRPr="00DA2128" w:rsidRDefault="00FC6A06" w:rsidP="00A937C6">
            <w:pPr>
              <w:spacing w:after="200" w:line="240" w:lineRule="auto"/>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Develop key performance indicators for EDI, set annual targets, and allocate resources for monitoring and evaluation</w:t>
            </w:r>
          </w:p>
        </w:tc>
        <w:tc>
          <w:tcPr>
            <w:tcW w:w="1515" w:type="dxa"/>
            <w:tcMar>
              <w:left w:w="105" w:type="dxa"/>
              <w:right w:w="105" w:type="dxa"/>
            </w:tcMar>
            <w:vAlign w:val="center"/>
          </w:tcPr>
          <w:p w14:paraId="03A6DC43" w14:textId="77777777" w:rsidR="00FC6A06" w:rsidRPr="00DA2128" w:rsidRDefault="00FC6A06" w:rsidP="00A937C6">
            <w:pPr>
              <w:spacing w:after="200" w:line="240" w:lineRule="auto"/>
              <w:jc w:val="center"/>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0.37</w:t>
            </w:r>
          </w:p>
        </w:tc>
      </w:tr>
      <w:tr w:rsidR="00FC6A06" w:rsidRPr="00DA2128" w14:paraId="31BFF2F8" w14:textId="77777777" w:rsidTr="007B0AA8">
        <w:trPr>
          <w:trHeight w:val="300"/>
        </w:trPr>
        <w:tc>
          <w:tcPr>
            <w:tcW w:w="585" w:type="dxa"/>
            <w:tcMar>
              <w:left w:w="105" w:type="dxa"/>
              <w:right w:w="105" w:type="dxa"/>
            </w:tcMar>
          </w:tcPr>
          <w:p w14:paraId="0305BE75" w14:textId="77777777" w:rsidR="00FC6A06" w:rsidRPr="00DA2128" w:rsidRDefault="00FC6A06" w:rsidP="00A937C6">
            <w:pPr>
              <w:spacing w:after="200" w:line="240" w:lineRule="auto"/>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48</w:t>
            </w:r>
          </w:p>
        </w:tc>
        <w:tc>
          <w:tcPr>
            <w:tcW w:w="6260" w:type="dxa"/>
            <w:tcMar>
              <w:left w:w="105" w:type="dxa"/>
              <w:right w:w="105" w:type="dxa"/>
            </w:tcMar>
          </w:tcPr>
          <w:p w14:paraId="0E684774" w14:textId="77777777" w:rsidR="00FC6A06" w:rsidRPr="00DA2128" w:rsidRDefault="00FC6A06" w:rsidP="00A937C6">
            <w:pPr>
              <w:spacing w:after="200" w:line="240" w:lineRule="auto"/>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Make sure that everyone takes responsibility for EDI</w:t>
            </w:r>
          </w:p>
        </w:tc>
        <w:tc>
          <w:tcPr>
            <w:tcW w:w="1515" w:type="dxa"/>
            <w:tcMar>
              <w:left w:w="105" w:type="dxa"/>
              <w:right w:w="105" w:type="dxa"/>
            </w:tcMar>
            <w:vAlign w:val="center"/>
          </w:tcPr>
          <w:p w14:paraId="5189E26B" w14:textId="77777777" w:rsidR="00FC6A06" w:rsidRPr="00DA2128" w:rsidRDefault="00FC6A06" w:rsidP="00A937C6">
            <w:pPr>
              <w:spacing w:after="200" w:line="240" w:lineRule="auto"/>
              <w:jc w:val="center"/>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0.35</w:t>
            </w:r>
          </w:p>
        </w:tc>
      </w:tr>
      <w:tr w:rsidR="00FC6A06" w:rsidRPr="00DA2128" w14:paraId="20D17B51" w14:textId="77777777" w:rsidTr="007B0AA8">
        <w:trPr>
          <w:trHeight w:val="300"/>
        </w:trPr>
        <w:tc>
          <w:tcPr>
            <w:tcW w:w="585" w:type="dxa"/>
            <w:tcMar>
              <w:left w:w="105" w:type="dxa"/>
              <w:right w:w="105" w:type="dxa"/>
            </w:tcMar>
          </w:tcPr>
          <w:p w14:paraId="2BD8F49A" w14:textId="77777777" w:rsidR="00FC6A06" w:rsidRPr="00DA2128" w:rsidRDefault="00FC6A06" w:rsidP="00A937C6">
            <w:pPr>
              <w:spacing w:after="200" w:line="240" w:lineRule="auto"/>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49</w:t>
            </w:r>
          </w:p>
        </w:tc>
        <w:tc>
          <w:tcPr>
            <w:tcW w:w="6260" w:type="dxa"/>
            <w:tcMar>
              <w:left w:w="105" w:type="dxa"/>
              <w:right w:w="105" w:type="dxa"/>
            </w:tcMar>
          </w:tcPr>
          <w:p w14:paraId="3D2C8FFD" w14:textId="77777777" w:rsidR="00FC6A06" w:rsidRPr="00DA2128" w:rsidRDefault="00FC6A06" w:rsidP="00A937C6">
            <w:pPr>
              <w:spacing w:after="200" w:line="240" w:lineRule="auto"/>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Create an EDI committee that systematically address EDI issues</w:t>
            </w:r>
          </w:p>
        </w:tc>
        <w:tc>
          <w:tcPr>
            <w:tcW w:w="1515" w:type="dxa"/>
            <w:tcMar>
              <w:left w:w="105" w:type="dxa"/>
              <w:right w:w="105" w:type="dxa"/>
            </w:tcMar>
            <w:vAlign w:val="center"/>
          </w:tcPr>
          <w:p w14:paraId="719CA0CB" w14:textId="77777777" w:rsidR="00FC6A06" w:rsidRPr="00DA2128" w:rsidRDefault="00FC6A06" w:rsidP="00A937C6">
            <w:pPr>
              <w:spacing w:after="200" w:line="240" w:lineRule="auto"/>
              <w:jc w:val="center"/>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0.16</w:t>
            </w:r>
          </w:p>
        </w:tc>
      </w:tr>
      <w:tr w:rsidR="00FC6A06" w:rsidRPr="00DA2128" w14:paraId="3E67E15F" w14:textId="77777777" w:rsidTr="007B0AA8">
        <w:trPr>
          <w:trHeight w:val="300"/>
        </w:trPr>
        <w:tc>
          <w:tcPr>
            <w:tcW w:w="585" w:type="dxa"/>
            <w:tcMar>
              <w:left w:w="105" w:type="dxa"/>
              <w:right w:w="105" w:type="dxa"/>
            </w:tcMar>
          </w:tcPr>
          <w:p w14:paraId="1F7497BD" w14:textId="77777777" w:rsidR="00FC6A06" w:rsidRPr="00DA2128" w:rsidRDefault="00FC6A06" w:rsidP="00A937C6">
            <w:pPr>
              <w:spacing w:after="200" w:line="240" w:lineRule="auto"/>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51</w:t>
            </w:r>
          </w:p>
        </w:tc>
        <w:tc>
          <w:tcPr>
            <w:tcW w:w="6260" w:type="dxa"/>
            <w:tcMar>
              <w:left w:w="105" w:type="dxa"/>
              <w:right w:w="105" w:type="dxa"/>
            </w:tcMar>
          </w:tcPr>
          <w:p w14:paraId="56EDE1CF" w14:textId="77777777" w:rsidR="00FC6A06" w:rsidRPr="00DA2128" w:rsidRDefault="00FC6A06" w:rsidP="00A937C6">
            <w:pPr>
              <w:spacing w:after="200" w:line="240" w:lineRule="auto"/>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Ensure clarity and alignment with EDI policies by defining EDI goals, integrating actions into existing systems</w:t>
            </w:r>
          </w:p>
        </w:tc>
        <w:tc>
          <w:tcPr>
            <w:tcW w:w="1515" w:type="dxa"/>
            <w:tcMar>
              <w:left w:w="105" w:type="dxa"/>
              <w:right w:w="105" w:type="dxa"/>
            </w:tcMar>
            <w:vAlign w:val="center"/>
          </w:tcPr>
          <w:p w14:paraId="7EFCAC38" w14:textId="77777777" w:rsidR="00FC6A06" w:rsidRPr="00DA2128" w:rsidRDefault="00FC6A06" w:rsidP="00A937C6">
            <w:pPr>
              <w:spacing w:after="200" w:line="240" w:lineRule="auto"/>
              <w:jc w:val="center"/>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0.15</w:t>
            </w:r>
          </w:p>
        </w:tc>
      </w:tr>
      <w:tr w:rsidR="00FC6A06" w:rsidRPr="00DA2128" w14:paraId="257CD676" w14:textId="77777777" w:rsidTr="007B0AA8">
        <w:trPr>
          <w:trHeight w:val="300"/>
        </w:trPr>
        <w:tc>
          <w:tcPr>
            <w:tcW w:w="585" w:type="dxa"/>
            <w:tcMar>
              <w:left w:w="105" w:type="dxa"/>
              <w:right w:w="105" w:type="dxa"/>
            </w:tcMar>
          </w:tcPr>
          <w:p w14:paraId="323DCB42" w14:textId="77777777" w:rsidR="00FC6A06" w:rsidRPr="00DA2128" w:rsidRDefault="00FC6A06" w:rsidP="00A937C6">
            <w:pPr>
              <w:spacing w:after="200" w:line="240" w:lineRule="auto"/>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52</w:t>
            </w:r>
          </w:p>
        </w:tc>
        <w:tc>
          <w:tcPr>
            <w:tcW w:w="6260" w:type="dxa"/>
            <w:tcMar>
              <w:left w:w="105" w:type="dxa"/>
              <w:right w:w="105" w:type="dxa"/>
            </w:tcMar>
          </w:tcPr>
          <w:p w14:paraId="07AB8357" w14:textId="77777777" w:rsidR="00FC6A06" w:rsidRPr="00DA2128" w:rsidRDefault="00FC6A06" w:rsidP="00A937C6">
            <w:pPr>
              <w:spacing w:after="200" w:line="240" w:lineRule="auto"/>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Ensure clear EDI initiatives by involving university management and the community, and integrating expert insights into a tangible action plan</w:t>
            </w:r>
          </w:p>
        </w:tc>
        <w:tc>
          <w:tcPr>
            <w:tcW w:w="1515" w:type="dxa"/>
            <w:tcMar>
              <w:left w:w="105" w:type="dxa"/>
              <w:right w:w="105" w:type="dxa"/>
            </w:tcMar>
            <w:vAlign w:val="center"/>
          </w:tcPr>
          <w:p w14:paraId="59DA4458" w14:textId="77777777" w:rsidR="00FC6A06" w:rsidRPr="00DA2128" w:rsidRDefault="00FC6A06" w:rsidP="00A937C6">
            <w:pPr>
              <w:spacing w:after="200" w:line="240" w:lineRule="auto"/>
              <w:jc w:val="center"/>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0.22</w:t>
            </w:r>
          </w:p>
        </w:tc>
      </w:tr>
      <w:tr w:rsidR="00FC6A06" w:rsidRPr="00DA2128" w14:paraId="799E5617" w14:textId="77777777" w:rsidTr="007B0AA8">
        <w:trPr>
          <w:trHeight w:val="300"/>
        </w:trPr>
        <w:tc>
          <w:tcPr>
            <w:tcW w:w="585" w:type="dxa"/>
            <w:tcMar>
              <w:left w:w="105" w:type="dxa"/>
              <w:right w:w="105" w:type="dxa"/>
            </w:tcMar>
          </w:tcPr>
          <w:p w14:paraId="413C3553" w14:textId="77777777" w:rsidR="00FC6A06" w:rsidRPr="00DA2128" w:rsidRDefault="00FC6A06" w:rsidP="00A937C6">
            <w:pPr>
              <w:spacing w:after="200" w:line="240" w:lineRule="auto"/>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53</w:t>
            </w:r>
          </w:p>
        </w:tc>
        <w:tc>
          <w:tcPr>
            <w:tcW w:w="6260" w:type="dxa"/>
            <w:tcMar>
              <w:left w:w="105" w:type="dxa"/>
              <w:right w:w="105" w:type="dxa"/>
            </w:tcMar>
          </w:tcPr>
          <w:p w14:paraId="3DD67D6E" w14:textId="77777777" w:rsidR="00FC6A06" w:rsidRPr="00DA2128" w:rsidRDefault="00FC6A06" w:rsidP="00A937C6">
            <w:pPr>
              <w:spacing w:after="200" w:line="240" w:lineRule="auto"/>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Assess and verify the implementation of EDI policies to distinguish between genuine practices and those that are merely symbolic</w:t>
            </w:r>
          </w:p>
        </w:tc>
        <w:tc>
          <w:tcPr>
            <w:tcW w:w="1515" w:type="dxa"/>
            <w:tcMar>
              <w:left w:w="105" w:type="dxa"/>
              <w:right w:w="105" w:type="dxa"/>
            </w:tcMar>
            <w:vAlign w:val="center"/>
          </w:tcPr>
          <w:p w14:paraId="6896BB5A" w14:textId="77777777" w:rsidR="00FC6A06" w:rsidRPr="00DA2128" w:rsidRDefault="00FC6A06" w:rsidP="00A937C6">
            <w:pPr>
              <w:spacing w:after="200" w:line="240" w:lineRule="auto"/>
              <w:jc w:val="center"/>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0.3</w:t>
            </w:r>
          </w:p>
        </w:tc>
      </w:tr>
      <w:tr w:rsidR="00FC6A06" w:rsidRPr="00DA2128" w14:paraId="0D458923" w14:textId="77777777" w:rsidTr="007B0AA8">
        <w:trPr>
          <w:trHeight w:val="300"/>
        </w:trPr>
        <w:tc>
          <w:tcPr>
            <w:tcW w:w="585" w:type="dxa"/>
            <w:tcMar>
              <w:left w:w="105" w:type="dxa"/>
              <w:right w:w="105" w:type="dxa"/>
            </w:tcMar>
          </w:tcPr>
          <w:p w14:paraId="4A59ADDC" w14:textId="77777777" w:rsidR="00FC6A06" w:rsidRPr="00DA2128" w:rsidRDefault="00FC6A06" w:rsidP="00A937C6">
            <w:pPr>
              <w:spacing w:after="200" w:line="240" w:lineRule="auto"/>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54</w:t>
            </w:r>
          </w:p>
        </w:tc>
        <w:tc>
          <w:tcPr>
            <w:tcW w:w="6260" w:type="dxa"/>
            <w:tcMar>
              <w:left w:w="105" w:type="dxa"/>
              <w:right w:w="105" w:type="dxa"/>
            </w:tcMar>
          </w:tcPr>
          <w:p w14:paraId="6D6FB459" w14:textId="77777777" w:rsidR="00FC6A06" w:rsidRPr="00DA2128" w:rsidRDefault="00FC6A06" w:rsidP="00A937C6">
            <w:pPr>
              <w:spacing w:after="200" w:line="240" w:lineRule="auto"/>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Establishing a dedicated office for EDI initiatives that has clear goals and sufficient funding</w:t>
            </w:r>
          </w:p>
        </w:tc>
        <w:tc>
          <w:tcPr>
            <w:tcW w:w="1515" w:type="dxa"/>
            <w:tcMar>
              <w:left w:w="105" w:type="dxa"/>
              <w:right w:w="105" w:type="dxa"/>
            </w:tcMar>
            <w:vAlign w:val="center"/>
          </w:tcPr>
          <w:p w14:paraId="7166BBF5" w14:textId="77777777" w:rsidR="00FC6A06" w:rsidRPr="00DA2128" w:rsidRDefault="00FC6A06" w:rsidP="00A937C6">
            <w:pPr>
              <w:spacing w:after="200" w:line="240" w:lineRule="auto"/>
              <w:jc w:val="center"/>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0.19</w:t>
            </w:r>
          </w:p>
        </w:tc>
      </w:tr>
      <w:tr w:rsidR="00FC6A06" w:rsidRPr="00DA2128" w14:paraId="4CB63800" w14:textId="77777777" w:rsidTr="007B0AA8">
        <w:trPr>
          <w:trHeight w:val="300"/>
        </w:trPr>
        <w:tc>
          <w:tcPr>
            <w:tcW w:w="585" w:type="dxa"/>
            <w:tcMar>
              <w:left w:w="105" w:type="dxa"/>
              <w:right w:w="105" w:type="dxa"/>
            </w:tcMar>
          </w:tcPr>
          <w:p w14:paraId="3FAAC32E" w14:textId="77777777" w:rsidR="00FC6A06" w:rsidRPr="00DA2128" w:rsidRDefault="00FC6A06" w:rsidP="00A937C6">
            <w:pPr>
              <w:spacing w:after="200" w:line="240" w:lineRule="auto"/>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55</w:t>
            </w:r>
          </w:p>
        </w:tc>
        <w:tc>
          <w:tcPr>
            <w:tcW w:w="6260" w:type="dxa"/>
            <w:tcMar>
              <w:left w:w="105" w:type="dxa"/>
              <w:right w:w="105" w:type="dxa"/>
            </w:tcMar>
          </w:tcPr>
          <w:p w14:paraId="150E8FC9" w14:textId="77777777" w:rsidR="00FC6A06" w:rsidRPr="00DA2128" w:rsidRDefault="00FC6A06" w:rsidP="00A937C6">
            <w:pPr>
              <w:spacing w:after="200" w:line="240" w:lineRule="auto"/>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Create an advisory board for EDI that includes students, staff and faculty from diverse backgrounds</w:t>
            </w:r>
          </w:p>
        </w:tc>
        <w:tc>
          <w:tcPr>
            <w:tcW w:w="1515" w:type="dxa"/>
            <w:tcMar>
              <w:left w:w="105" w:type="dxa"/>
              <w:right w:w="105" w:type="dxa"/>
            </w:tcMar>
            <w:vAlign w:val="center"/>
          </w:tcPr>
          <w:p w14:paraId="6AAEBDDA" w14:textId="77777777" w:rsidR="00FC6A06" w:rsidRPr="00DA2128" w:rsidRDefault="00FC6A06" w:rsidP="00A937C6">
            <w:pPr>
              <w:spacing w:after="200" w:line="240" w:lineRule="auto"/>
              <w:jc w:val="center"/>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0.41</w:t>
            </w:r>
          </w:p>
        </w:tc>
      </w:tr>
      <w:tr w:rsidR="00FC6A06" w:rsidRPr="00DA2128" w14:paraId="1CC56720" w14:textId="77777777" w:rsidTr="007B0AA8">
        <w:trPr>
          <w:trHeight w:val="300"/>
        </w:trPr>
        <w:tc>
          <w:tcPr>
            <w:tcW w:w="585" w:type="dxa"/>
            <w:tcMar>
              <w:left w:w="105" w:type="dxa"/>
              <w:right w:w="105" w:type="dxa"/>
            </w:tcMar>
          </w:tcPr>
          <w:p w14:paraId="058F2FBF" w14:textId="77777777" w:rsidR="00FC6A06" w:rsidRPr="00DA2128" w:rsidRDefault="00FC6A06" w:rsidP="00A937C6">
            <w:pPr>
              <w:spacing w:after="200" w:line="240" w:lineRule="auto"/>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lastRenderedPageBreak/>
              <w:t>56</w:t>
            </w:r>
          </w:p>
        </w:tc>
        <w:tc>
          <w:tcPr>
            <w:tcW w:w="6260" w:type="dxa"/>
            <w:tcMar>
              <w:left w:w="105" w:type="dxa"/>
              <w:right w:w="105" w:type="dxa"/>
            </w:tcMar>
          </w:tcPr>
          <w:p w14:paraId="61275A66" w14:textId="77777777" w:rsidR="00FC6A06" w:rsidRPr="00DA2128" w:rsidRDefault="00FC6A06" w:rsidP="00A937C6">
            <w:pPr>
              <w:spacing w:after="200" w:line="240" w:lineRule="auto"/>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Create a strong EDI policy with clear action plans promoting inclusivity and zero tolerance for discrimination in all learning environments</w:t>
            </w:r>
          </w:p>
        </w:tc>
        <w:tc>
          <w:tcPr>
            <w:tcW w:w="1515" w:type="dxa"/>
            <w:tcMar>
              <w:left w:w="105" w:type="dxa"/>
              <w:right w:w="105" w:type="dxa"/>
            </w:tcMar>
            <w:vAlign w:val="center"/>
          </w:tcPr>
          <w:p w14:paraId="3DC3D4BF" w14:textId="77777777" w:rsidR="00FC6A06" w:rsidRPr="00DA2128" w:rsidRDefault="00FC6A06" w:rsidP="00A937C6">
            <w:pPr>
              <w:spacing w:after="200" w:line="240" w:lineRule="auto"/>
              <w:jc w:val="center"/>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0.32</w:t>
            </w:r>
          </w:p>
        </w:tc>
      </w:tr>
      <w:tr w:rsidR="00FC6A06" w:rsidRPr="00DA2128" w14:paraId="23D9B333" w14:textId="77777777" w:rsidTr="007B0AA8">
        <w:trPr>
          <w:trHeight w:val="300"/>
        </w:trPr>
        <w:tc>
          <w:tcPr>
            <w:tcW w:w="585" w:type="dxa"/>
            <w:tcMar>
              <w:left w:w="105" w:type="dxa"/>
              <w:right w:w="105" w:type="dxa"/>
            </w:tcMar>
          </w:tcPr>
          <w:p w14:paraId="5C11F1E4" w14:textId="77777777" w:rsidR="00FC6A06" w:rsidRPr="00DA2128" w:rsidRDefault="00FC6A06" w:rsidP="00A937C6">
            <w:pPr>
              <w:spacing w:after="200" w:line="240" w:lineRule="auto"/>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58</w:t>
            </w:r>
          </w:p>
        </w:tc>
        <w:tc>
          <w:tcPr>
            <w:tcW w:w="6260" w:type="dxa"/>
            <w:tcMar>
              <w:left w:w="105" w:type="dxa"/>
              <w:right w:w="105" w:type="dxa"/>
            </w:tcMar>
          </w:tcPr>
          <w:p w14:paraId="3779ABAB" w14:textId="77777777" w:rsidR="00FC6A06" w:rsidRPr="00DA2128" w:rsidRDefault="00FC6A06" w:rsidP="00A937C6">
            <w:pPr>
              <w:spacing w:after="200" w:line="240" w:lineRule="auto"/>
              <w:rPr>
                <w:rFonts w:eastAsia="Times New Roman" w:cs="Times New Roman"/>
                <w:color w:val="1B2232"/>
                <w:sz w:val="18"/>
                <w:szCs w:val="18"/>
              </w:rPr>
            </w:pPr>
            <w:bookmarkStart w:id="11" w:name="_Hlk201329475"/>
            <w:r w:rsidRPr="00DA2128">
              <w:rPr>
                <w:rStyle w:val="oneUserDefinedStyle"/>
                <w:rFonts w:ascii="Avenir Next LT Pro" w:eastAsia="Times New Roman" w:hAnsi="Avenir Next LT Pro" w:cs="Times New Roman"/>
                <w:sz w:val="18"/>
                <w:szCs w:val="18"/>
              </w:rPr>
              <w:t>Create an effective system for reporting and following up on incidents of harassment and discrimination</w:t>
            </w:r>
            <w:bookmarkEnd w:id="11"/>
          </w:p>
        </w:tc>
        <w:tc>
          <w:tcPr>
            <w:tcW w:w="1515" w:type="dxa"/>
            <w:tcMar>
              <w:left w:w="105" w:type="dxa"/>
              <w:right w:w="105" w:type="dxa"/>
            </w:tcMar>
            <w:vAlign w:val="center"/>
          </w:tcPr>
          <w:p w14:paraId="51BB91EB" w14:textId="77777777" w:rsidR="00FC6A06" w:rsidRPr="00DA2128" w:rsidRDefault="00FC6A06" w:rsidP="00A937C6">
            <w:pPr>
              <w:spacing w:after="200" w:line="240" w:lineRule="auto"/>
              <w:jc w:val="center"/>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0.4</w:t>
            </w:r>
          </w:p>
        </w:tc>
      </w:tr>
      <w:tr w:rsidR="00FC6A06" w:rsidRPr="00DA2128" w14:paraId="240A6749" w14:textId="77777777" w:rsidTr="007B0AA8">
        <w:trPr>
          <w:trHeight w:val="300"/>
        </w:trPr>
        <w:tc>
          <w:tcPr>
            <w:tcW w:w="585" w:type="dxa"/>
            <w:tcMar>
              <w:left w:w="105" w:type="dxa"/>
              <w:right w:w="105" w:type="dxa"/>
            </w:tcMar>
          </w:tcPr>
          <w:p w14:paraId="71BC624C" w14:textId="77777777" w:rsidR="00FC6A06" w:rsidRPr="00DA2128" w:rsidRDefault="00FC6A06" w:rsidP="00A937C6">
            <w:pPr>
              <w:spacing w:after="200" w:line="240" w:lineRule="auto"/>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62</w:t>
            </w:r>
          </w:p>
        </w:tc>
        <w:tc>
          <w:tcPr>
            <w:tcW w:w="6260" w:type="dxa"/>
            <w:tcMar>
              <w:left w:w="105" w:type="dxa"/>
              <w:right w:w="105" w:type="dxa"/>
            </w:tcMar>
          </w:tcPr>
          <w:p w14:paraId="6313F558" w14:textId="77777777" w:rsidR="00FC6A06" w:rsidRPr="00DA2128" w:rsidRDefault="00FC6A06" w:rsidP="00A937C6">
            <w:pPr>
              <w:spacing w:after="200" w:line="240" w:lineRule="auto"/>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Discuss and define when inclusivity is prioritised and when specific performance standards are necessary to achieve learning goals</w:t>
            </w:r>
          </w:p>
        </w:tc>
        <w:tc>
          <w:tcPr>
            <w:tcW w:w="1515" w:type="dxa"/>
            <w:tcMar>
              <w:left w:w="105" w:type="dxa"/>
              <w:right w:w="105" w:type="dxa"/>
            </w:tcMar>
            <w:vAlign w:val="center"/>
          </w:tcPr>
          <w:p w14:paraId="0FB81500" w14:textId="77777777" w:rsidR="00FC6A06" w:rsidRPr="00DA2128" w:rsidRDefault="00FC6A06" w:rsidP="00A937C6">
            <w:pPr>
              <w:spacing w:after="200" w:line="240" w:lineRule="auto"/>
              <w:jc w:val="center"/>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0.14</w:t>
            </w:r>
          </w:p>
        </w:tc>
      </w:tr>
      <w:tr w:rsidR="00FC6A06" w:rsidRPr="00DA2128" w14:paraId="70B385EA" w14:textId="77777777" w:rsidTr="007B0AA8">
        <w:trPr>
          <w:trHeight w:val="300"/>
        </w:trPr>
        <w:tc>
          <w:tcPr>
            <w:tcW w:w="585" w:type="dxa"/>
            <w:tcMar>
              <w:left w:w="105" w:type="dxa"/>
              <w:right w:w="105" w:type="dxa"/>
            </w:tcMar>
          </w:tcPr>
          <w:p w14:paraId="3E291D88" w14:textId="77777777" w:rsidR="00FC6A06" w:rsidRPr="00DA2128" w:rsidRDefault="00FC6A06" w:rsidP="00A937C6">
            <w:pPr>
              <w:spacing w:after="200" w:line="240" w:lineRule="auto"/>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79</w:t>
            </w:r>
          </w:p>
        </w:tc>
        <w:tc>
          <w:tcPr>
            <w:tcW w:w="6260" w:type="dxa"/>
            <w:tcMar>
              <w:left w:w="105" w:type="dxa"/>
              <w:right w:w="105" w:type="dxa"/>
            </w:tcMar>
          </w:tcPr>
          <w:p w14:paraId="4A5EC538" w14:textId="77777777" w:rsidR="00FC6A06" w:rsidRPr="00DA2128" w:rsidRDefault="00FC6A06" w:rsidP="00A937C6">
            <w:pPr>
              <w:spacing w:after="200" w:line="240" w:lineRule="auto"/>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Increase transparency in the development and progress of EDI initiatives across all university departments ensuring clear communication of goals and outcomes</w:t>
            </w:r>
          </w:p>
        </w:tc>
        <w:tc>
          <w:tcPr>
            <w:tcW w:w="1515" w:type="dxa"/>
            <w:tcMar>
              <w:left w:w="105" w:type="dxa"/>
              <w:right w:w="105" w:type="dxa"/>
            </w:tcMar>
            <w:vAlign w:val="center"/>
          </w:tcPr>
          <w:p w14:paraId="30C0D4E1" w14:textId="77777777" w:rsidR="00FC6A06" w:rsidRPr="00DA2128" w:rsidRDefault="00FC6A06" w:rsidP="00A937C6">
            <w:pPr>
              <w:spacing w:after="200" w:line="240" w:lineRule="auto"/>
              <w:jc w:val="center"/>
              <w:rPr>
                <w:rFonts w:eastAsia="Times New Roman" w:cs="Times New Roman"/>
                <w:color w:val="1B2232"/>
                <w:sz w:val="18"/>
                <w:szCs w:val="18"/>
              </w:rPr>
            </w:pPr>
            <w:r w:rsidRPr="00DA2128">
              <w:rPr>
                <w:rStyle w:val="oneUserDefinedStyle"/>
                <w:rFonts w:ascii="Avenir Next LT Pro" w:eastAsia="Times New Roman" w:hAnsi="Avenir Next LT Pro" w:cs="Times New Roman"/>
                <w:sz w:val="18"/>
                <w:szCs w:val="18"/>
              </w:rPr>
              <w:t>0.14</w:t>
            </w:r>
          </w:p>
        </w:tc>
      </w:tr>
    </w:tbl>
    <w:p w14:paraId="5EB77ED3" w14:textId="77777777" w:rsidR="00A02D69" w:rsidRPr="00DA2128" w:rsidRDefault="00A02D69" w:rsidP="00A937C6">
      <w:pPr>
        <w:spacing w:line="240" w:lineRule="auto"/>
      </w:pPr>
    </w:p>
    <w:p w14:paraId="5BF54563" w14:textId="77777777" w:rsidR="00903636" w:rsidRPr="00DA2128" w:rsidRDefault="00456288" w:rsidP="00A937C6">
      <w:pPr>
        <w:spacing w:line="240" w:lineRule="auto"/>
        <w:sectPr w:rsidR="00903636" w:rsidRPr="00DA2128" w:rsidSect="0060306B">
          <w:type w:val="continuous"/>
          <w:pgSz w:w="11906" w:h="16838"/>
          <w:pgMar w:top="1418" w:right="1418" w:bottom="1418" w:left="1418" w:header="709" w:footer="709" w:gutter="0"/>
          <w:cols w:space="708"/>
          <w:docGrid w:linePitch="360"/>
        </w:sectPr>
      </w:pPr>
      <w:r w:rsidRPr="00DA2128">
        <w:br w:type="page"/>
      </w:r>
    </w:p>
    <w:p w14:paraId="6D09AF9D" w14:textId="019F8594" w:rsidR="00456288" w:rsidRPr="00DA2128" w:rsidRDefault="00456288" w:rsidP="00A937C6">
      <w:pPr>
        <w:spacing w:line="240" w:lineRule="auto"/>
      </w:pPr>
    </w:p>
    <w:p w14:paraId="5FD42CD8" w14:textId="77777777" w:rsidR="00A02D69" w:rsidRPr="00DA2128" w:rsidRDefault="00A02D69" w:rsidP="00A937C6">
      <w:pPr>
        <w:spacing w:line="240" w:lineRule="auto"/>
      </w:pPr>
    </w:p>
    <w:p w14:paraId="47F3BD91" w14:textId="1982E8B2" w:rsidR="00A01260" w:rsidRPr="00DA2128" w:rsidRDefault="00A01260" w:rsidP="00A937C6">
      <w:pPr>
        <w:spacing w:line="240" w:lineRule="auto"/>
        <w:rPr>
          <w:sz w:val="22"/>
          <w:szCs w:val="22"/>
        </w:rPr>
      </w:pPr>
      <w:r w:rsidRPr="00DA2128">
        <w:rPr>
          <w:b/>
          <w:bCs/>
          <w:sz w:val="22"/>
          <w:szCs w:val="22"/>
        </w:rPr>
        <w:t>Figure 1.</w:t>
      </w:r>
      <w:r w:rsidRPr="00DA2128">
        <w:rPr>
          <w:sz w:val="22"/>
          <w:szCs w:val="22"/>
        </w:rPr>
        <w:t xml:space="preserve"> Point cluster map </w:t>
      </w:r>
      <w:r w:rsidR="00903636" w:rsidRPr="00DA2128">
        <w:rPr>
          <w:noProof/>
          <w:lang w:eastAsia="en-GB"/>
        </w:rPr>
        <w:drawing>
          <wp:inline distT="0" distB="0" distL="0" distR="0" wp14:anchorId="4E25A345" wp14:editId="14F56729">
            <wp:extent cx="8439150" cy="4742371"/>
            <wp:effectExtent l="0" t="0" r="0" b="1270"/>
            <wp:docPr id="1261132749" name="drawing" descr="En bild som visar karta,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132749" name="drawing" descr="En bild som visar karta, diagram&#10;&#10;AI-genererat innehåll kan vara felaktig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452805" cy="4750044"/>
                    </a:xfrm>
                    <a:prstGeom prst="rect">
                      <a:avLst/>
                    </a:prstGeom>
                  </pic:spPr>
                </pic:pic>
              </a:graphicData>
            </a:graphic>
          </wp:inline>
        </w:drawing>
      </w:r>
    </w:p>
    <w:p w14:paraId="0644D3B4" w14:textId="68341169" w:rsidR="00903636" w:rsidRPr="00DA2128" w:rsidRDefault="00903636" w:rsidP="00A937C6">
      <w:pPr>
        <w:spacing w:line="240" w:lineRule="auto"/>
        <w:sectPr w:rsidR="00903636" w:rsidRPr="00DA2128" w:rsidSect="00903636">
          <w:pgSz w:w="16838" w:h="11906" w:orient="landscape"/>
          <w:pgMar w:top="1418" w:right="1418" w:bottom="1418" w:left="1418" w:header="709" w:footer="709" w:gutter="0"/>
          <w:cols w:space="708"/>
          <w:docGrid w:linePitch="360"/>
        </w:sectPr>
      </w:pPr>
    </w:p>
    <w:p w14:paraId="0A20FEB1" w14:textId="77777777" w:rsidR="00A01260" w:rsidRPr="00DA2128" w:rsidRDefault="00A01260" w:rsidP="00A937C6">
      <w:pPr>
        <w:spacing w:line="240" w:lineRule="auto"/>
      </w:pPr>
    </w:p>
    <w:p w14:paraId="2ED78B51" w14:textId="77777777" w:rsidR="00A01260" w:rsidRPr="00DA2128" w:rsidRDefault="00A01260" w:rsidP="00A937C6">
      <w:pPr>
        <w:pStyle w:val="Sub-subheading"/>
        <w:spacing w:line="240" w:lineRule="auto"/>
      </w:pPr>
      <w:r w:rsidRPr="00DA2128">
        <w:t>Average rating</w:t>
      </w:r>
    </w:p>
    <w:p w14:paraId="1E08730D" w14:textId="77777777" w:rsidR="00A01260" w:rsidRPr="00DA2128" w:rsidRDefault="00A01260" w:rsidP="00A937C6">
      <w:pPr>
        <w:spacing w:line="240" w:lineRule="auto"/>
        <w:rPr>
          <w:sz w:val="22"/>
          <w:szCs w:val="22"/>
        </w:rPr>
      </w:pPr>
      <w:r w:rsidRPr="00DA2128">
        <w:rPr>
          <w:sz w:val="22"/>
          <w:szCs w:val="22"/>
        </w:rPr>
        <w:t xml:space="preserve">The participants from the nine universities within the Colours Alliance rated the 79 statements in terms of importance and feasibility, and nine individual analyses were conducted. The average rating of importance and feasibility of each statement is presented in Table 2 for all nine universities. A description of the statements rated highest in terms of importance and feasibility will follow below, and this is also illustrated in individual Go-zone maps for each university (see Figure 2.A to 2.I). The Go-zone maps illustrate the relationships between the average rating of the statements regarding both importance (X-axis) and feasibility (Y-axis). The colour of the point for each statement illustrates the cluster it belongs to. The correlation between the ratings is shown in each Go-zone map and was between r=0.11 to r= 0.61. Mainly indicating a negligible to moderate positive correlation between the rating of the statements. </w:t>
      </w:r>
    </w:p>
    <w:p w14:paraId="45327E48" w14:textId="77777777" w:rsidR="00A01260" w:rsidRPr="00DA2128" w:rsidRDefault="00A01260" w:rsidP="00A937C6">
      <w:pPr>
        <w:spacing w:line="240" w:lineRule="auto"/>
      </w:pPr>
    </w:p>
    <w:p w14:paraId="3D2371B7" w14:textId="77777777" w:rsidR="00A01260" w:rsidRPr="00DA2128" w:rsidRDefault="00A01260" w:rsidP="00A937C6">
      <w:pPr>
        <w:spacing w:line="240" w:lineRule="auto"/>
        <w:rPr>
          <w:b/>
          <w:bCs/>
        </w:rPr>
      </w:pPr>
      <w:r w:rsidRPr="00DA2128">
        <w:rPr>
          <w:b/>
          <w:bCs/>
        </w:rPr>
        <w:t>Cluster 1: Providing training and education</w:t>
      </w:r>
    </w:p>
    <w:p w14:paraId="13CE3FFE" w14:textId="77777777" w:rsidR="00A01260" w:rsidRPr="00DA2128" w:rsidRDefault="00A01260" w:rsidP="00A937C6">
      <w:pPr>
        <w:spacing w:line="240" w:lineRule="auto"/>
        <w:rPr>
          <w:sz w:val="22"/>
          <w:szCs w:val="22"/>
        </w:rPr>
      </w:pPr>
      <w:r w:rsidRPr="00DA2128">
        <w:rPr>
          <w:sz w:val="22"/>
          <w:szCs w:val="22"/>
        </w:rPr>
        <w:t xml:space="preserve">Eight out of nine universities rated statement 4, “Raise awareness of EDI issues to reduce discrimination and exclusion” as most important, with a rating between 3.14 - 3.47. One university rated statement 1, “Raise awareness and understanding of EDI across the university community” as most important (2.95).  </w:t>
      </w:r>
    </w:p>
    <w:p w14:paraId="6A79A3D3" w14:textId="77777777" w:rsidR="00A01260" w:rsidRPr="00DA2128" w:rsidRDefault="00A01260" w:rsidP="00A937C6">
      <w:pPr>
        <w:spacing w:line="240" w:lineRule="auto"/>
        <w:rPr>
          <w:sz w:val="22"/>
          <w:szCs w:val="22"/>
        </w:rPr>
      </w:pPr>
      <w:r w:rsidRPr="00DA2128">
        <w:rPr>
          <w:sz w:val="22"/>
          <w:szCs w:val="22"/>
        </w:rPr>
        <w:t xml:space="preserve">Only one university rated statement 4 highest in terms of feasibility (3.14). Three universities rated statement 57, “Inform the university community about how to apply the EDI policy in everyday life through easily accessible information such as webinars and informational leaflets” as most important (3.03-3.09). Two universities rated statement 75, “Provide an introductory EDI lecture specifically for first-year students to ensure they understand the principles of EDI” highest in terms of feasibility (2.89-3.27). Another two universities rated “Raise awareness of EDI policies” statement 5, highest in terms of feasibility. Lastly, one university rated statement 73, “Develop EDI training for teachers focusing on inclusive teaching strategies” highest in terms of feasibility. </w:t>
      </w:r>
    </w:p>
    <w:p w14:paraId="578ECA77" w14:textId="77777777" w:rsidR="00A01260" w:rsidRPr="00DA2128" w:rsidRDefault="00A01260" w:rsidP="00A937C6">
      <w:pPr>
        <w:spacing w:line="240" w:lineRule="auto"/>
        <w:rPr>
          <w:sz w:val="22"/>
          <w:szCs w:val="22"/>
        </w:rPr>
      </w:pPr>
    </w:p>
    <w:p w14:paraId="1BFA17E4" w14:textId="77777777" w:rsidR="00A01260" w:rsidRPr="00DA2128" w:rsidRDefault="00A01260" w:rsidP="00A937C6">
      <w:pPr>
        <w:spacing w:line="240" w:lineRule="auto"/>
        <w:rPr>
          <w:b/>
          <w:bCs/>
        </w:rPr>
      </w:pPr>
      <w:r w:rsidRPr="00DA2128">
        <w:rPr>
          <w:b/>
          <w:bCs/>
        </w:rPr>
        <w:t xml:space="preserve">Cluster 2: Facilitating events, activities and community engagement </w:t>
      </w:r>
    </w:p>
    <w:p w14:paraId="64734571" w14:textId="77777777" w:rsidR="00A01260" w:rsidRPr="00DA2128" w:rsidRDefault="00A01260" w:rsidP="00A937C6">
      <w:pPr>
        <w:spacing w:line="240" w:lineRule="auto"/>
        <w:rPr>
          <w:sz w:val="22"/>
          <w:szCs w:val="22"/>
        </w:rPr>
      </w:pPr>
      <w:r w:rsidRPr="00DA2128">
        <w:rPr>
          <w:sz w:val="22"/>
          <w:szCs w:val="22"/>
        </w:rPr>
        <w:t xml:space="preserve">Eight out of nine universities rated statement 25, “Organize events where international students can meet and connect with local students and staff to promote cultural exchange” highest in terms of importance (2.95-3.47) and one university rated statement 27, “Organize accessible EDI-related events by offering hybrid formats suitable timings and translations ensuring inclusivity for all participants” as most important (2.9). </w:t>
      </w:r>
    </w:p>
    <w:p w14:paraId="353BE20F" w14:textId="77777777" w:rsidR="00A01260" w:rsidRPr="00DA2128" w:rsidRDefault="00A01260" w:rsidP="00A937C6">
      <w:pPr>
        <w:spacing w:line="240" w:lineRule="auto"/>
        <w:rPr>
          <w:sz w:val="22"/>
          <w:szCs w:val="22"/>
        </w:rPr>
      </w:pPr>
      <w:r w:rsidRPr="00DA2128">
        <w:rPr>
          <w:sz w:val="22"/>
          <w:szCs w:val="22"/>
        </w:rPr>
        <w:t xml:space="preserve">Four of the eight universities rating statement 25, “Organize events where international students can meet and connect with local students and staff to promote cultural exchange” as most important also rated this statement as most feasible (3.14-3.42). Two universities rated statement 68, “Organize lectures and learning sessions on EDI topics including guest speakers” as most feasible (3.00-3.05). Furthermore, one university respectively rated statement 2, “Host regular activities such as forums awareness days and dedicated events” (3.00), statement 3 “Host inspirational lectures and testimonials from individuals who have experienced discrimination or racism” (3.11) and statement 24, “Organize events and activities that promote diversity, encourage dialogue on EDI and celebrate different cultures and perspectives within the university community” (3.11) highest in terms of feasibility. </w:t>
      </w:r>
    </w:p>
    <w:p w14:paraId="555C2367" w14:textId="77777777" w:rsidR="00A01260" w:rsidRPr="00DA2128" w:rsidRDefault="00A01260" w:rsidP="00A937C6">
      <w:pPr>
        <w:spacing w:line="240" w:lineRule="auto"/>
        <w:rPr>
          <w:sz w:val="22"/>
          <w:szCs w:val="22"/>
        </w:rPr>
      </w:pPr>
    </w:p>
    <w:p w14:paraId="4AC70AF9" w14:textId="77777777" w:rsidR="00A01260" w:rsidRPr="00DA2128" w:rsidRDefault="00A01260" w:rsidP="00A937C6">
      <w:pPr>
        <w:spacing w:line="240" w:lineRule="auto"/>
        <w:rPr>
          <w:b/>
          <w:bCs/>
        </w:rPr>
      </w:pPr>
      <w:r w:rsidRPr="00DA2128">
        <w:rPr>
          <w:b/>
          <w:bCs/>
        </w:rPr>
        <w:t xml:space="preserve">Cluster 3: Promoting inclusive collaboration </w:t>
      </w:r>
    </w:p>
    <w:p w14:paraId="50FCC327" w14:textId="77777777" w:rsidR="00A01260" w:rsidRPr="00DA2128" w:rsidRDefault="00A01260" w:rsidP="00A937C6">
      <w:pPr>
        <w:spacing w:line="240" w:lineRule="auto"/>
        <w:rPr>
          <w:sz w:val="22"/>
          <w:szCs w:val="22"/>
        </w:rPr>
      </w:pPr>
      <w:r w:rsidRPr="00DA2128">
        <w:rPr>
          <w:sz w:val="22"/>
          <w:szCs w:val="22"/>
        </w:rPr>
        <w:lastRenderedPageBreak/>
        <w:t xml:space="preserve">All nine universities rated statements 16, “Treat everyone with kindness and respect, valuing individuals for who they are” highest both in terms of importance (3.53-3.84) and feasibility (3.46-3.00). This is clearly demonstrated in all nine Go-zone maps where statement 16 is positioned in the upper-right quadrant.  </w:t>
      </w:r>
    </w:p>
    <w:p w14:paraId="0BD7A110" w14:textId="77777777" w:rsidR="00A01260" w:rsidRPr="00DA2128" w:rsidRDefault="00A01260" w:rsidP="00A937C6">
      <w:pPr>
        <w:spacing w:line="240" w:lineRule="auto"/>
        <w:rPr>
          <w:sz w:val="22"/>
          <w:szCs w:val="22"/>
        </w:rPr>
      </w:pPr>
    </w:p>
    <w:p w14:paraId="6A4A99E2" w14:textId="77777777" w:rsidR="00A01260" w:rsidRPr="00DA2128" w:rsidRDefault="00A01260" w:rsidP="00A937C6">
      <w:pPr>
        <w:spacing w:line="240" w:lineRule="auto"/>
        <w:rPr>
          <w:b/>
          <w:bCs/>
        </w:rPr>
      </w:pPr>
      <w:r w:rsidRPr="00DA2128">
        <w:rPr>
          <w:b/>
          <w:bCs/>
        </w:rPr>
        <w:t xml:space="preserve">Cluster 4: Fostering a supportive and inclusive environment and culture </w:t>
      </w:r>
    </w:p>
    <w:p w14:paraId="4AFE6059" w14:textId="77777777" w:rsidR="00A01260" w:rsidRPr="00DA2128" w:rsidRDefault="00A01260" w:rsidP="00A937C6">
      <w:pPr>
        <w:spacing w:line="240" w:lineRule="auto"/>
        <w:rPr>
          <w:sz w:val="22"/>
          <w:szCs w:val="22"/>
        </w:rPr>
      </w:pPr>
      <w:r w:rsidRPr="00DA2128">
        <w:rPr>
          <w:sz w:val="22"/>
          <w:szCs w:val="22"/>
        </w:rPr>
        <w:t xml:space="preserve">Three of the nine universities rated statement 65, “Ensure students have access to mental health support by providing tailored resources and dedicated staff for guidance during times of need” highest in terms of importance (3.49-3.36). Two universities rated statement 17, “Foster a culture of inclusion in higher education where all students and staff feel valued supported and encouraged” highest in terms of importance (3.65-3.60) and two universities rated statement 18, “Contribute to a culture of openness inclusion and tolerance in society where people are valued for their knowledge experience and contributions regardless of their background affiliations or status” highest in terms of importance (3.4-3.5). </w:t>
      </w:r>
    </w:p>
    <w:p w14:paraId="1BC309BB" w14:textId="77777777" w:rsidR="00A01260" w:rsidRPr="00DA2128" w:rsidRDefault="00A01260" w:rsidP="00A937C6">
      <w:pPr>
        <w:spacing w:line="240" w:lineRule="auto"/>
        <w:rPr>
          <w:sz w:val="22"/>
          <w:szCs w:val="22"/>
        </w:rPr>
      </w:pPr>
      <w:r w:rsidRPr="00DA2128">
        <w:rPr>
          <w:sz w:val="22"/>
          <w:szCs w:val="22"/>
        </w:rPr>
        <w:t xml:space="preserve">Two universities rated statement 65, “Ensure students have access to mental health support by providing tailored resources and dedicated staff for guidance during times of need” highest in terms of feasibility (3.00-3.03). Two universities rated statement 18, “Contribute to a culture of openness, inclusion, and tolerance in society where people are valued for their knowledge, experience, and contributions regardless of their background, affiliations or status” highest in terms of feasibility (2.77-2.97). Two other universities rated statement 71, “Provide concrete EDI tools and resources such as a website, physical toolkits and booklets for students and staff with practical guides and best practices for inclusive behavior” highest in terms of feasibility (2.94-3.17). Only one university rated statement 64, “Ensure mental health support for students by offering resources tailored to diverse needs and culturally sensitive services” (3.14), respectively, statement 66, “Create a comprehensive support system for all staff including accessible resources and psychological support” (2.97), highest in terms of feasibility. </w:t>
      </w:r>
    </w:p>
    <w:p w14:paraId="245904C8" w14:textId="77777777" w:rsidR="00A01260" w:rsidRPr="00DA2128" w:rsidRDefault="00A01260" w:rsidP="00A937C6">
      <w:pPr>
        <w:spacing w:line="240" w:lineRule="auto"/>
        <w:rPr>
          <w:sz w:val="22"/>
          <w:szCs w:val="22"/>
        </w:rPr>
      </w:pPr>
    </w:p>
    <w:p w14:paraId="061928D4" w14:textId="77777777" w:rsidR="00A01260" w:rsidRPr="00DA2128" w:rsidRDefault="00A01260" w:rsidP="00A937C6">
      <w:pPr>
        <w:spacing w:line="240" w:lineRule="auto"/>
        <w:rPr>
          <w:b/>
          <w:bCs/>
        </w:rPr>
      </w:pPr>
      <w:r w:rsidRPr="00DA2128">
        <w:rPr>
          <w:b/>
          <w:bCs/>
        </w:rPr>
        <w:t xml:space="preserve">Cluster 5: Ensuring equity in leadership and decision-making processes in academia </w:t>
      </w:r>
    </w:p>
    <w:p w14:paraId="0E3FFB06" w14:textId="77777777" w:rsidR="00A01260" w:rsidRPr="00DA2128" w:rsidRDefault="00A01260" w:rsidP="00A937C6">
      <w:pPr>
        <w:spacing w:line="240" w:lineRule="auto"/>
        <w:rPr>
          <w:sz w:val="22"/>
          <w:szCs w:val="22"/>
        </w:rPr>
      </w:pPr>
      <w:r w:rsidRPr="00DA2128">
        <w:rPr>
          <w:sz w:val="22"/>
          <w:szCs w:val="22"/>
        </w:rPr>
        <w:t xml:space="preserve">Five of the nine universities rated statement 61, “Ensure campus accessibility by improving building designs, creating inclusive spaces and conducting regular accessibility evaluations” highest in terms of importance (2.75-3.46). Two universities rated statement 78, “Increase transparency in academic processes such as recruitment, promotions and wage equality, ensuring fair and open evaluation criteria and decision-making” highest in terms of importance (3.24-3.37). Furthermore, one university respectively rated statement 29, “Increase funding for EDI-focused initiatives” (3.24) and statement 32, “Ensure equality in salary distribution by addressing and eliminating pay gaps” (3.63) highest in terms of importance. </w:t>
      </w:r>
    </w:p>
    <w:p w14:paraId="478DDCE3" w14:textId="77777777" w:rsidR="00A01260" w:rsidRPr="00DA2128" w:rsidRDefault="00A01260" w:rsidP="00A937C6">
      <w:pPr>
        <w:spacing w:line="240" w:lineRule="auto"/>
        <w:rPr>
          <w:sz w:val="22"/>
          <w:szCs w:val="22"/>
        </w:rPr>
      </w:pPr>
      <w:r w:rsidRPr="00DA2128">
        <w:rPr>
          <w:sz w:val="22"/>
          <w:szCs w:val="22"/>
        </w:rPr>
        <w:t xml:space="preserve">Only one university rated statement 61, “Ensure campus accessibility by improving building designs, creating inclusive spaces and conducting regular accessibility evaluations” highest in terms of feasibility (2.75). However, five universities rated statement 78, “Increase transparency in academic processes such as recruitment, promotions and wage equality, ensuring fair and open evaluation criteria and decision-making” highest in terms of feasibility (2.69-3.37). Two universities rated statement 34, “Ensure leadership commitment by encouraging management to actively prioritize, support and lead by example in diversity, equity and inclusion initiatives” highest in terms of feasibility (2.59-2.79) and one university rated statement 33, “Integrate diverse perspectives into decision-making processes by involving underrepresented groups and ensuring their voices are heard on key issues” highest in terms of feasibility (3.03) </w:t>
      </w:r>
    </w:p>
    <w:p w14:paraId="285FC3C9" w14:textId="77777777" w:rsidR="00A01260" w:rsidRPr="00DA2128" w:rsidRDefault="00A01260" w:rsidP="00A937C6">
      <w:pPr>
        <w:spacing w:line="240" w:lineRule="auto"/>
        <w:rPr>
          <w:sz w:val="22"/>
          <w:szCs w:val="22"/>
        </w:rPr>
      </w:pPr>
    </w:p>
    <w:p w14:paraId="7CE6CF41" w14:textId="77777777" w:rsidR="00A01260" w:rsidRPr="00DA2128" w:rsidRDefault="00A01260" w:rsidP="00A937C6">
      <w:pPr>
        <w:spacing w:line="240" w:lineRule="auto"/>
        <w:rPr>
          <w:b/>
          <w:bCs/>
        </w:rPr>
      </w:pPr>
      <w:r w:rsidRPr="00DA2128">
        <w:rPr>
          <w:b/>
          <w:bCs/>
        </w:rPr>
        <w:lastRenderedPageBreak/>
        <w:t xml:space="preserve">Cluster 6: Advancing policy, implementation, and evaluation </w:t>
      </w:r>
    </w:p>
    <w:p w14:paraId="3DA9FDA1" w14:textId="77777777" w:rsidR="00A01260" w:rsidRPr="00DA2128" w:rsidRDefault="00A01260" w:rsidP="00A937C6">
      <w:pPr>
        <w:spacing w:line="240" w:lineRule="auto"/>
        <w:rPr>
          <w:sz w:val="22"/>
          <w:szCs w:val="22"/>
        </w:rPr>
      </w:pPr>
      <w:r w:rsidRPr="00DA2128">
        <w:rPr>
          <w:sz w:val="22"/>
          <w:szCs w:val="22"/>
        </w:rPr>
        <w:t xml:space="preserve">All nine universities rated statement 58, “Create an effective system for reporting and following up on incidents of harassment and discrimination” highest in terms of importance (3.29-3.58). </w:t>
      </w:r>
    </w:p>
    <w:p w14:paraId="6A7C1C7C" w14:textId="3D73DDA2" w:rsidR="00A02D69" w:rsidRPr="00DA2128" w:rsidRDefault="00A01260" w:rsidP="00A937C6">
      <w:pPr>
        <w:spacing w:line="240" w:lineRule="auto"/>
        <w:rPr>
          <w:sz w:val="22"/>
          <w:szCs w:val="22"/>
        </w:rPr>
      </w:pPr>
      <w:r w:rsidRPr="00DA2128">
        <w:rPr>
          <w:sz w:val="22"/>
          <w:szCs w:val="22"/>
        </w:rPr>
        <w:t xml:space="preserve">Only three universities rated statement 58, “Create an effective system for reporting and following up on incidents of harassment and discrimination” highest in terms of feasibility (2.94-3.06). Four universities rated statement 20, “Collect and analyze student feedback on EDI to identify improvement areas” highest in terms of feasibility (2.94-3.16). Additionally, one university respectively rated statement 21, “Collect and analyse employee feedback on EDI to implement and adjust EDI” (3.06) and statement 22, “Collect feedback on the effectiveness of the existing EDI policies” (3.11) highest in terms of feasibility. </w:t>
      </w:r>
    </w:p>
    <w:p w14:paraId="275640D2" w14:textId="77777777" w:rsidR="00A02D69" w:rsidRPr="00DA2128" w:rsidRDefault="00A02D69" w:rsidP="00A937C6">
      <w:pPr>
        <w:spacing w:line="240" w:lineRule="auto"/>
      </w:pPr>
    </w:p>
    <w:p w14:paraId="41EE3902" w14:textId="77777777" w:rsidR="0060306B" w:rsidRPr="00DA2128" w:rsidRDefault="0060306B" w:rsidP="00A937C6">
      <w:pPr>
        <w:pStyle w:val="Sub-subheading"/>
        <w:spacing w:line="240" w:lineRule="auto"/>
      </w:pPr>
      <w:r w:rsidRPr="00DA2128">
        <w:t xml:space="preserve"> Average rating at the cluster level</w:t>
      </w:r>
    </w:p>
    <w:p w14:paraId="6B0DCE4D" w14:textId="77777777" w:rsidR="0060306B" w:rsidRPr="00DA2128" w:rsidRDefault="0060306B" w:rsidP="00A937C6">
      <w:pPr>
        <w:spacing w:line="240" w:lineRule="auto"/>
        <w:rPr>
          <w:sz w:val="22"/>
          <w:szCs w:val="22"/>
        </w:rPr>
      </w:pPr>
      <w:r w:rsidRPr="00DA2128">
        <w:rPr>
          <w:sz w:val="22"/>
          <w:szCs w:val="22"/>
        </w:rPr>
        <w:t xml:space="preserve">The average ratings at the cluster level are illustrated using Pattern Match, allowing for comparisons between universities regarding the perceived importance and feasibility of each area (cluster). See Table 3 and Figure 3 for the average rating of each cluster. </w:t>
      </w:r>
    </w:p>
    <w:p w14:paraId="07A7A16D" w14:textId="1027F935" w:rsidR="005E2D49" w:rsidRPr="00DA2128" w:rsidRDefault="0060306B" w:rsidP="00A937C6">
      <w:pPr>
        <w:spacing w:line="240" w:lineRule="auto"/>
        <w:rPr>
          <w:sz w:val="22"/>
          <w:szCs w:val="22"/>
        </w:rPr>
      </w:pPr>
      <w:r w:rsidRPr="00DA2128">
        <w:rPr>
          <w:sz w:val="22"/>
          <w:szCs w:val="22"/>
        </w:rPr>
        <w:t xml:space="preserve">Cluster 4: </w:t>
      </w:r>
      <w:r w:rsidRPr="00DA2128">
        <w:rPr>
          <w:i/>
          <w:iCs/>
          <w:sz w:val="22"/>
          <w:szCs w:val="22"/>
        </w:rPr>
        <w:t>Fostering a supportive and inclusive environment and cultur</w:t>
      </w:r>
      <w:r w:rsidRPr="00DA2128">
        <w:rPr>
          <w:sz w:val="22"/>
          <w:szCs w:val="22"/>
        </w:rPr>
        <w:t xml:space="preserve">e, and Cluster 5: </w:t>
      </w:r>
      <w:r w:rsidRPr="00DA2128">
        <w:rPr>
          <w:i/>
          <w:iCs/>
          <w:sz w:val="22"/>
          <w:szCs w:val="22"/>
        </w:rPr>
        <w:t>Ensuring equity in leadership and decision-making processes in academia</w:t>
      </w:r>
      <w:r w:rsidRPr="00DA2128">
        <w:rPr>
          <w:sz w:val="22"/>
          <w:szCs w:val="22"/>
        </w:rPr>
        <w:t xml:space="preserve"> </w:t>
      </w:r>
      <w:r w:rsidRPr="00DA2128">
        <w:rPr>
          <w:i/>
          <w:iCs/>
          <w:sz w:val="22"/>
          <w:szCs w:val="22"/>
        </w:rPr>
        <w:t xml:space="preserve">are </w:t>
      </w:r>
      <w:r w:rsidRPr="00DA2128">
        <w:rPr>
          <w:sz w:val="22"/>
          <w:szCs w:val="22"/>
        </w:rPr>
        <w:t>rated highest in terms of importance by most universities, but also rated lowest in terms of feasibility. Cluster 2: F</w:t>
      </w:r>
      <w:r w:rsidRPr="00DA2128">
        <w:rPr>
          <w:i/>
          <w:iCs/>
          <w:sz w:val="22"/>
          <w:szCs w:val="22"/>
        </w:rPr>
        <w:t>acilitating events, activities, and community engagement</w:t>
      </w:r>
      <w:r w:rsidRPr="00DA2128">
        <w:rPr>
          <w:sz w:val="22"/>
          <w:szCs w:val="22"/>
        </w:rPr>
        <w:t xml:space="preserve"> is rated lowest in terms of importance by most universities; however, it is rated high in terms of feasibility by most universities. Cluster 3: </w:t>
      </w:r>
      <w:r w:rsidRPr="00DA2128">
        <w:rPr>
          <w:i/>
          <w:iCs/>
          <w:sz w:val="22"/>
          <w:szCs w:val="22"/>
        </w:rPr>
        <w:t>Promoting inclusive collaboration</w:t>
      </w:r>
      <w:r w:rsidRPr="00DA2128">
        <w:rPr>
          <w:sz w:val="22"/>
          <w:szCs w:val="22"/>
        </w:rPr>
        <w:t xml:space="preserve">, and Cluster 6: </w:t>
      </w:r>
      <w:r w:rsidRPr="00DA2128">
        <w:rPr>
          <w:i/>
          <w:iCs/>
          <w:sz w:val="22"/>
          <w:szCs w:val="22"/>
        </w:rPr>
        <w:t>Advancing policy, implementation, and evaluation</w:t>
      </w:r>
      <w:r w:rsidRPr="00DA2128">
        <w:rPr>
          <w:sz w:val="22"/>
          <w:szCs w:val="22"/>
        </w:rPr>
        <w:t xml:space="preserve"> are both considered to hold a mid-level rating regarding both importance and feasibility. All the clusters are, in general, rated lower in terms of feasibility compared to the rating of importance, except cluster two, which is rated higher in terms of feasibility compared to the rating of importance by three universities. </w:t>
      </w:r>
    </w:p>
    <w:p w14:paraId="399C57A8" w14:textId="77777777" w:rsidR="00521AAA" w:rsidRPr="00DA2128" w:rsidRDefault="00521AAA" w:rsidP="00A937C6">
      <w:pPr>
        <w:spacing w:line="240" w:lineRule="auto"/>
        <w:rPr>
          <w:sz w:val="22"/>
          <w:szCs w:val="22"/>
        </w:rPr>
      </w:pPr>
    </w:p>
    <w:p w14:paraId="2CE0C511" w14:textId="77777777" w:rsidR="00C74182" w:rsidRPr="00DA2128" w:rsidRDefault="00C74182" w:rsidP="00A937C6">
      <w:pPr>
        <w:spacing w:line="240" w:lineRule="auto"/>
        <w:rPr>
          <w:sz w:val="22"/>
          <w:szCs w:val="22"/>
        </w:rPr>
      </w:pPr>
    </w:p>
    <w:p w14:paraId="68E2FAB5" w14:textId="77777777" w:rsidR="00796BD4" w:rsidRPr="00DA2128" w:rsidRDefault="00796BD4" w:rsidP="00A937C6">
      <w:pPr>
        <w:spacing w:line="240" w:lineRule="auto"/>
        <w:rPr>
          <w:sz w:val="22"/>
          <w:szCs w:val="22"/>
        </w:rPr>
        <w:sectPr w:rsidR="00796BD4" w:rsidRPr="00DA2128" w:rsidSect="00903636">
          <w:pgSz w:w="11906" w:h="16838"/>
          <w:pgMar w:top="1418" w:right="1418" w:bottom="1418" w:left="1418" w:header="709" w:footer="709" w:gutter="0"/>
          <w:cols w:space="708"/>
          <w:docGrid w:linePitch="360"/>
        </w:sectPr>
      </w:pPr>
    </w:p>
    <w:p w14:paraId="016131A9" w14:textId="77777777" w:rsidR="00DC16D1" w:rsidRPr="00DA2128" w:rsidRDefault="00DC16D1" w:rsidP="00A937C6">
      <w:pPr>
        <w:spacing w:line="240" w:lineRule="auto"/>
        <w:rPr>
          <w:sz w:val="22"/>
          <w:szCs w:val="22"/>
        </w:rPr>
      </w:pPr>
      <w:r w:rsidRPr="00DA2128">
        <w:rPr>
          <w:b/>
          <w:bCs/>
          <w:sz w:val="22"/>
          <w:szCs w:val="22"/>
        </w:rPr>
        <w:lastRenderedPageBreak/>
        <w:t>Table 2.</w:t>
      </w:r>
      <w:r w:rsidRPr="00DA2128">
        <w:rPr>
          <w:sz w:val="22"/>
          <w:szCs w:val="22"/>
        </w:rPr>
        <w:t xml:space="preserve"> Average rating of importance and feasibility</w:t>
      </w:r>
    </w:p>
    <w:p w14:paraId="2B8288C9" w14:textId="77777777" w:rsidR="00C74182" w:rsidRPr="00DA2128" w:rsidRDefault="00C74182" w:rsidP="00A937C6">
      <w:pPr>
        <w:spacing w:line="240" w:lineRule="auto"/>
        <w:rPr>
          <w:sz w:val="22"/>
          <w:szCs w:val="22"/>
        </w:rPr>
      </w:pPr>
    </w:p>
    <w:tbl>
      <w:tblPr>
        <w:tblStyle w:val="TableGrid"/>
        <w:tblW w:w="5000" w:type="pct"/>
        <w:tblBorders>
          <w:top w:val="single" w:sz="6" w:space="0" w:color="auto"/>
          <w:left w:val="single" w:sz="6" w:space="0" w:color="auto"/>
          <w:bottom w:val="single" w:sz="6" w:space="0" w:color="auto"/>
          <w:right w:val="single" w:sz="6" w:space="0" w:color="auto"/>
          <w:insideH w:val="single" w:sz="4" w:space="0" w:color="000000" w:themeColor="text1"/>
          <w:insideV w:val="single" w:sz="4" w:space="0" w:color="000000" w:themeColor="text1"/>
        </w:tblBorders>
        <w:tblLook w:val="04A0" w:firstRow="1" w:lastRow="0" w:firstColumn="1" w:lastColumn="0" w:noHBand="0" w:noVBand="1"/>
      </w:tblPr>
      <w:tblGrid>
        <w:gridCol w:w="1070"/>
        <w:gridCol w:w="783"/>
        <w:gridCol w:w="787"/>
        <w:gridCol w:w="722"/>
        <w:gridCol w:w="722"/>
        <w:gridCol w:w="722"/>
        <w:gridCol w:w="722"/>
        <w:gridCol w:w="722"/>
        <w:gridCol w:w="722"/>
        <w:gridCol w:w="722"/>
        <w:gridCol w:w="722"/>
        <w:gridCol w:w="722"/>
        <w:gridCol w:w="722"/>
        <w:gridCol w:w="745"/>
        <w:gridCol w:w="745"/>
        <w:gridCol w:w="722"/>
        <w:gridCol w:w="722"/>
        <w:gridCol w:w="713"/>
        <w:gridCol w:w="705"/>
      </w:tblGrid>
      <w:tr w:rsidR="002B6683" w:rsidRPr="00DA2128" w14:paraId="0E7A91FA" w14:textId="77777777" w:rsidTr="00B605CC">
        <w:trPr>
          <w:trHeight w:val="300"/>
        </w:trPr>
        <w:tc>
          <w:tcPr>
            <w:tcW w:w="376" w:type="pct"/>
            <w:tcMar>
              <w:left w:w="105" w:type="dxa"/>
              <w:right w:w="105" w:type="dxa"/>
            </w:tcMar>
          </w:tcPr>
          <w:p w14:paraId="49C64D3A" w14:textId="77777777" w:rsidR="002B6683" w:rsidRPr="00DA2128" w:rsidRDefault="002B6683" w:rsidP="00A937C6">
            <w:pPr>
              <w:spacing w:after="200" w:line="240" w:lineRule="auto"/>
              <w:rPr>
                <w:rFonts w:eastAsia="Times New Roman" w:cs="Times New Roman"/>
                <w:color w:val="000000" w:themeColor="text1"/>
                <w:sz w:val="18"/>
                <w:szCs w:val="18"/>
              </w:rPr>
            </w:pPr>
          </w:p>
        </w:tc>
        <w:tc>
          <w:tcPr>
            <w:tcW w:w="552" w:type="pct"/>
            <w:gridSpan w:val="2"/>
            <w:shd w:val="clear" w:color="auto" w:fill="DADADA" w:themeFill="background2" w:themeFillShade="E6"/>
            <w:tcMar>
              <w:left w:w="105" w:type="dxa"/>
              <w:right w:w="105" w:type="dxa"/>
            </w:tcMar>
          </w:tcPr>
          <w:p w14:paraId="578D8B7A" w14:textId="77777777" w:rsidR="002B6683" w:rsidRPr="00DA2128" w:rsidRDefault="002B6683"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b/>
                <w:bCs/>
                <w:color w:val="000000" w:themeColor="text1"/>
                <w:sz w:val="18"/>
                <w:szCs w:val="18"/>
              </w:rPr>
              <w:t>HKR</w:t>
            </w:r>
          </w:p>
        </w:tc>
        <w:tc>
          <w:tcPr>
            <w:tcW w:w="508" w:type="pct"/>
            <w:gridSpan w:val="2"/>
            <w:tcMar>
              <w:left w:w="105" w:type="dxa"/>
              <w:right w:w="105" w:type="dxa"/>
            </w:tcMar>
          </w:tcPr>
          <w:p w14:paraId="6C2CA641" w14:textId="77777777" w:rsidR="002B6683" w:rsidRPr="00DA2128" w:rsidRDefault="002B6683"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b/>
                <w:bCs/>
                <w:color w:val="000000" w:themeColor="text1"/>
                <w:sz w:val="18"/>
                <w:szCs w:val="18"/>
              </w:rPr>
              <w:t>JDU</w:t>
            </w:r>
          </w:p>
        </w:tc>
        <w:tc>
          <w:tcPr>
            <w:tcW w:w="508" w:type="pct"/>
            <w:gridSpan w:val="2"/>
            <w:shd w:val="clear" w:color="auto" w:fill="DADADA" w:themeFill="background2" w:themeFillShade="E6"/>
            <w:tcMar>
              <w:left w:w="105" w:type="dxa"/>
              <w:right w:w="105" w:type="dxa"/>
            </w:tcMar>
          </w:tcPr>
          <w:p w14:paraId="07F2EAC7" w14:textId="77777777" w:rsidR="002B6683" w:rsidRPr="00DA2128" w:rsidRDefault="002B6683"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b/>
                <w:bCs/>
                <w:color w:val="000000" w:themeColor="text1"/>
                <w:sz w:val="18"/>
                <w:szCs w:val="18"/>
              </w:rPr>
              <w:t>LMU</w:t>
            </w:r>
          </w:p>
        </w:tc>
        <w:tc>
          <w:tcPr>
            <w:tcW w:w="508" w:type="pct"/>
            <w:gridSpan w:val="2"/>
            <w:tcMar>
              <w:left w:w="105" w:type="dxa"/>
              <w:right w:w="105" w:type="dxa"/>
            </w:tcMar>
          </w:tcPr>
          <w:p w14:paraId="0D257BC9" w14:textId="77777777" w:rsidR="002B6683" w:rsidRPr="00DA2128" w:rsidRDefault="002B6683"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b/>
                <w:bCs/>
                <w:color w:val="000000" w:themeColor="text1"/>
                <w:sz w:val="18"/>
                <w:szCs w:val="18"/>
              </w:rPr>
              <w:t>UCLM</w:t>
            </w:r>
          </w:p>
        </w:tc>
        <w:tc>
          <w:tcPr>
            <w:tcW w:w="508" w:type="pct"/>
            <w:gridSpan w:val="2"/>
            <w:shd w:val="clear" w:color="auto" w:fill="DADADA" w:themeFill="background2" w:themeFillShade="E6"/>
            <w:tcMar>
              <w:left w:w="105" w:type="dxa"/>
              <w:right w:w="105" w:type="dxa"/>
            </w:tcMar>
          </w:tcPr>
          <w:p w14:paraId="720A76ED" w14:textId="77777777" w:rsidR="002B6683" w:rsidRPr="00DA2128" w:rsidRDefault="002B6683"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b/>
                <w:bCs/>
                <w:color w:val="000000" w:themeColor="text1"/>
                <w:sz w:val="18"/>
                <w:szCs w:val="18"/>
              </w:rPr>
              <w:t>UKLO</w:t>
            </w:r>
          </w:p>
        </w:tc>
        <w:tc>
          <w:tcPr>
            <w:tcW w:w="508" w:type="pct"/>
            <w:gridSpan w:val="2"/>
            <w:tcMar>
              <w:left w:w="105" w:type="dxa"/>
              <w:right w:w="105" w:type="dxa"/>
            </w:tcMar>
          </w:tcPr>
          <w:p w14:paraId="1681690C" w14:textId="77777777" w:rsidR="002B6683" w:rsidRPr="00DA2128" w:rsidRDefault="002B6683"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b/>
                <w:bCs/>
                <w:color w:val="000000" w:themeColor="text1"/>
                <w:sz w:val="18"/>
                <w:szCs w:val="18"/>
              </w:rPr>
              <w:t xml:space="preserve">UNIFE </w:t>
            </w:r>
          </w:p>
        </w:tc>
        <w:tc>
          <w:tcPr>
            <w:tcW w:w="524" w:type="pct"/>
            <w:gridSpan w:val="2"/>
            <w:shd w:val="clear" w:color="auto" w:fill="DADADA" w:themeFill="background2" w:themeFillShade="E6"/>
            <w:tcMar>
              <w:left w:w="105" w:type="dxa"/>
              <w:right w:w="105" w:type="dxa"/>
            </w:tcMar>
          </w:tcPr>
          <w:p w14:paraId="7DA7AA14" w14:textId="77777777" w:rsidR="002B6683" w:rsidRPr="00DA2128" w:rsidRDefault="002B6683"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b/>
                <w:bCs/>
                <w:color w:val="000000" w:themeColor="text1"/>
                <w:sz w:val="18"/>
                <w:szCs w:val="18"/>
              </w:rPr>
              <w:t>UNIOS</w:t>
            </w:r>
          </w:p>
        </w:tc>
        <w:tc>
          <w:tcPr>
            <w:tcW w:w="508" w:type="pct"/>
            <w:gridSpan w:val="2"/>
            <w:tcMar>
              <w:left w:w="105" w:type="dxa"/>
              <w:right w:w="105" w:type="dxa"/>
            </w:tcMar>
          </w:tcPr>
          <w:p w14:paraId="2434AE5D" w14:textId="77777777" w:rsidR="002B6683" w:rsidRPr="00DA2128" w:rsidRDefault="002B6683"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b/>
                <w:bCs/>
                <w:color w:val="000000" w:themeColor="text1"/>
                <w:sz w:val="18"/>
                <w:szCs w:val="18"/>
              </w:rPr>
              <w:t>UPD</w:t>
            </w:r>
          </w:p>
        </w:tc>
        <w:tc>
          <w:tcPr>
            <w:tcW w:w="499" w:type="pct"/>
            <w:gridSpan w:val="2"/>
            <w:shd w:val="clear" w:color="auto" w:fill="DADADA" w:themeFill="background2" w:themeFillShade="E6"/>
            <w:tcMar>
              <w:left w:w="105" w:type="dxa"/>
              <w:right w:w="105" w:type="dxa"/>
            </w:tcMar>
          </w:tcPr>
          <w:p w14:paraId="1411EB3F" w14:textId="77777777" w:rsidR="002B6683" w:rsidRPr="00DA2128" w:rsidRDefault="002B6683"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b/>
                <w:bCs/>
                <w:color w:val="000000" w:themeColor="text1"/>
                <w:sz w:val="18"/>
                <w:szCs w:val="18"/>
              </w:rPr>
              <w:t>VUAS</w:t>
            </w:r>
          </w:p>
        </w:tc>
      </w:tr>
      <w:tr w:rsidR="002B6683" w:rsidRPr="00DA2128" w14:paraId="2E94B4D3" w14:textId="77777777" w:rsidTr="00B605CC">
        <w:trPr>
          <w:cantSplit/>
          <w:trHeight w:val="1134"/>
        </w:trPr>
        <w:tc>
          <w:tcPr>
            <w:tcW w:w="376" w:type="pct"/>
            <w:tcMar>
              <w:left w:w="105" w:type="dxa"/>
              <w:right w:w="105" w:type="dxa"/>
            </w:tcMar>
          </w:tcPr>
          <w:p w14:paraId="0F3EDF3E" w14:textId="77777777" w:rsidR="002B6683" w:rsidRPr="00DA2128" w:rsidRDefault="002B6683"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b/>
                <w:bCs/>
                <w:color w:val="000000" w:themeColor="text1"/>
                <w:sz w:val="18"/>
                <w:szCs w:val="18"/>
              </w:rPr>
              <w:t>Cluster solution and statement number</w:t>
            </w:r>
          </w:p>
        </w:tc>
        <w:tc>
          <w:tcPr>
            <w:tcW w:w="275" w:type="pct"/>
            <w:shd w:val="clear" w:color="auto" w:fill="DADADA" w:themeFill="background2" w:themeFillShade="E6"/>
            <w:tcMar>
              <w:left w:w="105" w:type="dxa"/>
              <w:right w:w="105" w:type="dxa"/>
            </w:tcMar>
            <w:textDirection w:val="btLr"/>
          </w:tcPr>
          <w:p w14:paraId="7A070292" w14:textId="77777777" w:rsidR="002B6683" w:rsidRPr="00DA2128" w:rsidRDefault="002B6683" w:rsidP="00A937C6">
            <w:pPr>
              <w:spacing w:after="200" w:line="240" w:lineRule="auto"/>
              <w:ind w:left="113" w:right="113"/>
              <w:jc w:val="center"/>
              <w:rPr>
                <w:rFonts w:eastAsia="Times New Roman" w:cs="Times New Roman"/>
                <w:color w:val="000000" w:themeColor="text1"/>
                <w:sz w:val="18"/>
                <w:szCs w:val="18"/>
              </w:rPr>
            </w:pPr>
            <w:r w:rsidRPr="00DA2128">
              <w:rPr>
                <w:rFonts w:eastAsia="Times New Roman" w:cs="Times New Roman"/>
                <w:b/>
                <w:bCs/>
                <w:color w:val="000000" w:themeColor="text1"/>
                <w:sz w:val="18"/>
                <w:szCs w:val="18"/>
              </w:rPr>
              <w:t>Importance</w:t>
            </w:r>
          </w:p>
        </w:tc>
        <w:tc>
          <w:tcPr>
            <w:tcW w:w="276" w:type="pct"/>
            <w:shd w:val="clear" w:color="auto" w:fill="DADADA" w:themeFill="background2" w:themeFillShade="E6"/>
            <w:tcMar>
              <w:left w:w="105" w:type="dxa"/>
              <w:right w:w="105" w:type="dxa"/>
            </w:tcMar>
            <w:textDirection w:val="btLr"/>
          </w:tcPr>
          <w:p w14:paraId="79FA8BF4" w14:textId="77777777" w:rsidR="002B6683" w:rsidRPr="00DA2128" w:rsidRDefault="002B6683" w:rsidP="00A937C6">
            <w:pPr>
              <w:spacing w:after="200" w:line="240" w:lineRule="auto"/>
              <w:ind w:left="113" w:right="113"/>
              <w:jc w:val="center"/>
              <w:rPr>
                <w:rFonts w:eastAsia="Times New Roman" w:cs="Times New Roman"/>
                <w:color w:val="000000" w:themeColor="text1"/>
                <w:sz w:val="18"/>
                <w:szCs w:val="18"/>
              </w:rPr>
            </w:pPr>
            <w:r w:rsidRPr="00DA2128">
              <w:rPr>
                <w:rFonts w:eastAsia="Times New Roman" w:cs="Times New Roman"/>
                <w:b/>
                <w:bCs/>
                <w:color w:val="000000" w:themeColor="text1"/>
                <w:sz w:val="18"/>
                <w:szCs w:val="18"/>
              </w:rPr>
              <w:t>Feasibility</w:t>
            </w:r>
          </w:p>
        </w:tc>
        <w:tc>
          <w:tcPr>
            <w:tcW w:w="254" w:type="pct"/>
            <w:tcMar>
              <w:left w:w="105" w:type="dxa"/>
              <w:right w:w="105" w:type="dxa"/>
            </w:tcMar>
            <w:textDirection w:val="btLr"/>
          </w:tcPr>
          <w:p w14:paraId="1BD805A8" w14:textId="77777777" w:rsidR="002B6683" w:rsidRPr="00DA2128" w:rsidRDefault="002B6683" w:rsidP="00A937C6">
            <w:pPr>
              <w:spacing w:after="200" w:line="240" w:lineRule="auto"/>
              <w:ind w:left="113" w:right="113"/>
              <w:jc w:val="center"/>
              <w:rPr>
                <w:rFonts w:eastAsia="Times New Roman" w:cs="Times New Roman"/>
                <w:color w:val="000000" w:themeColor="text1"/>
                <w:sz w:val="18"/>
                <w:szCs w:val="18"/>
              </w:rPr>
            </w:pPr>
            <w:r w:rsidRPr="00DA2128">
              <w:rPr>
                <w:rFonts w:eastAsia="Times New Roman" w:cs="Times New Roman"/>
                <w:b/>
                <w:bCs/>
                <w:color w:val="000000" w:themeColor="text1"/>
                <w:sz w:val="18"/>
                <w:szCs w:val="18"/>
              </w:rPr>
              <w:t>Importance</w:t>
            </w:r>
          </w:p>
        </w:tc>
        <w:tc>
          <w:tcPr>
            <w:tcW w:w="254" w:type="pct"/>
            <w:tcMar>
              <w:left w:w="105" w:type="dxa"/>
              <w:right w:w="105" w:type="dxa"/>
            </w:tcMar>
            <w:textDirection w:val="btLr"/>
          </w:tcPr>
          <w:p w14:paraId="495DB4CE" w14:textId="77777777" w:rsidR="002B6683" w:rsidRPr="00DA2128" w:rsidRDefault="002B6683" w:rsidP="00A937C6">
            <w:pPr>
              <w:spacing w:after="200" w:line="240" w:lineRule="auto"/>
              <w:ind w:left="113" w:right="113"/>
              <w:jc w:val="center"/>
              <w:rPr>
                <w:rFonts w:eastAsia="Times New Roman" w:cs="Times New Roman"/>
                <w:color w:val="000000" w:themeColor="text1"/>
                <w:sz w:val="18"/>
                <w:szCs w:val="18"/>
              </w:rPr>
            </w:pPr>
            <w:r w:rsidRPr="00DA2128">
              <w:rPr>
                <w:rFonts w:eastAsia="Times New Roman" w:cs="Times New Roman"/>
                <w:b/>
                <w:bCs/>
                <w:color w:val="000000" w:themeColor="text1"/>
                <w:sz w:val="18"/>
                <w:szCs w:val="18"/>
              </w:rPr>
              <w:t>Feasibility</w:t>
            </w:r>
          </w:p>
        </w:tc>
        <w:tc>
          <w:tcPr>
            <w:tcW w:w="254" w:type="pct"/>
            <w:shd w:val="clear" w:color="auto" w:fill="DADADA" w:themeFill="background2" w:themeFillShade="E6"/>
            <w:tcMar>
              <w:left w:w="105" w:type="dxa"/>
              <w:right w:w="105" w:type="dxa"/>
            </w:tcMar>
            <w:textDirection w:val="btLr"/>
          </w:tcPr>
          <w:p w14:paraId="2AEE1436" w14:textId="77777777" w:rsidR="002B6683" w:rsidRPr="00DA2128" w:rsidRDefault="002B6683" w:rsidP="00A937C6">
            <w:pPr>
              <w:spacing w:after="200" w:line="240" w:lineRule="auto"/>
              <w:ind w:left="113" w:right="113"/>
              <w:jc w:val="center"/>
              <w:rPr>
                <w:rFonts w:eastAsia="Times New Roman" w:cs="Times New Roman"/>
                <w:color w:val="000000" w:themeColor="text1"/>
                <w:sz w:val="18"/>
                <w:szCs w:val="18"/>
              </w:rPr>
            </w:pPr>
            <w:r w:rsidRPr="00DA2128">
              <w:rPr>
                <w:rFonts w:eastAsia="Times New Roman" w:cs="Times New Roman"/>
                <w:b/>
                <w:bCs/>
                <w:color w:val="000000" w:themeColor="text1"/>
                <w:sz w:val="18"/>
                <w:szCs w:val="18"/>
              </w:rPr>
              <w:t>Importance</w:t>
            </w:r>
          </w:p>
        </w:tc>
        <w:tc>
          <w:tcPr>
            <w:tcW w:w="254" w:type="pct"/>
            <w:shd w:val="clear" w:color="auto" w:fill="DADADA" w:themeFill="background2" w:themeFillShade="E6"/>
            <w:tcMar>
              <w:left w:w="105" w:type="dxa"/>
              <w:right w:w="105" w:type="dxa"/>
            </w:tcMar>
            <w:textDirection w:val="btLr"/>
          </w:tcPr>
          <w:p w14:paraId="0A8A1923" w14:textId="77777777" w:rsidR="002B6683" w:rsidRPr="00DA2128" w:rsidRDefault="002B6683" w:rsidP="00A937C6">
            <w:pPr>
              <w:spacing w:after="200" w:line="240" w:lineRule="auto"/>
              <w:ind w:left="113" w:right="113"/>
              <w:jc w:val="center"/>
              <w:rPr>
                <w:rFonts w:eastAsia="Times New Roman" w:cs="Times New Roman"/>
                <w:color w:val="000000" w:themeColor="text1"/>
                <w:sz w:val="18"/>
                <w:szCs w:val="18"/>
              </w:rPr>
            </w:pPr>
            <w:r w:rsidRPr="00DA2128">
              <w:rPr>
                <w:rFonts w:eastAsia="Times New Roman" w:cs="Times New Roman"/>
                <w:b/>
                <w:bCs/>
                <w:color w:val="000000" w:themeColor="text1"/>
                <w:sz w:val="18"/>
                <w:szCs w:val="18"/>
              </w:rPr>
              <w:t>Feasibility</w:t>
            </w:r>
          </w:p>
        </w:tc>
        <w:tc>
          <w:tcPr>
            <w:tcW w:w="254" w:type="pct"/>
            <w:tcMar>
              <w:left w:w="105" w:type="dxa"/>
              <w:right w:w="105" w:type="dxa"/>
            </w:tcMar>
            <w:textDirection w:val="btLr"/>
          </w:tcPr>
          <w:p w14:paraId="6EF30C0F" w14:textId="77777777" w:rsidR="002B6683" w:rsidRPr="00DA2128" w:rsidRDefault="002B6683" w:rsidP="00A937C6">
            <w:pPr>
              <w:spacing w:after="200" w:line="240" w:lineRule="auto"/>
              <w:ind w:left="113" w:right="113"/>
              <w:jc w:val="center"/>
              <w:rPr>
                <w:rFonts w:eastAsia="Times New Roman" w:cs="Times New Roman"/>
                <w:color w:val="000000" w:themeColor="text1"/>
                <w:sz w:val="18"/>
                <w:szCs w:val="18"/>
              </w:rPr>
            </w:pPr>
            <w:r w:rsidRPr="00DA2128">
              <w:rPr>
                <w:rFonts w:eastAsia="Times New Roman" w:cs="Times New Roman"/>
                <w:b/>
                <w:bCs/>
                <w:color w:val="000000" w:themeColor="text1"/>
                <w:sz w:val="18"/>
                <w:szCs w:val="18"/>
              </w:rPr>
              <w:t>Importance</w:t>
            </w:r>
          </w:p>
        </w:tc>
        <w:tc>
          <w:tcPr>
            <w:tcW w:w="254" w:type="pct"/>
            <w:tcMar>
              <w:left w:w="105" w:type="dxa"/>
              <w:right w:w="105" w:type="dxa"/>
            </w:tcMar>
            <w:textDirection w:val="btLr"/>
          </w:tcPr>
          <w:p w14:paraId="7D228C10" w14:textId="77777777" w:rsidR="002B6683" w:rsidRPr="00DA2128" w:rsidRDefault="002B6683" w:rsidP="00A937C6">
            <w:pPr>
              <w:spacing w:after="200" w:line="240" w:lineRule="auto"/>
              <w:ind w:left="113" w:right="113"/>
              <w:jc w:val="center"/>
              <w:rPr>
                <w:rFonts w:eastAsia="Times New Roman" w:cs="Times New Roman"/>
                <w:color w:val="000000" w:themeColor="text1"/>
                <w:sz w:val="18"/>
                <w:szCs w:val="18"/>
              </w:rPr>
            </w:pPr>
            <w:r w:rsidRPr="00DA2128">
              <w:rPr>
                <w:rFonts w:eastAsia="Times New Roman" w:cs="Times New Roman"/>
                <w:b/>
                <w:bCs/>
                <w:color w:val="000000" w:themeColor="text1"/>
                <w:sz w:val="18"/>
                <w:szCs w:val="18"/>
              </w:rPr>
              <w:t>Feasibility</w:t>
            </w:r>
          </w:p>
        </w:tc>
        <w:tc>
          <w:tcPr>
            <w:tcW w:w="254" w:type="pct"/>
            <w:shd w:val="clear" w:color="auto" w:fill="DADADA" w:themeFill="background2" w:themeFillShade="E6"/>
            <w:tcMar>
              <w:left w:w="105" w:type="dxa"/>
              <w:right w:w="105" w:type="dxa"/>
            </w:tcMar>
            <w:textDirection w:val="btLr"/>
          </w:tcPr>
          <w:p w14:paraId="31644251" w14:textId="77777777" w:rsidR="002B6683" w:rsidRPr="00DA2128" w:rsidRDefault="002B6683" w:rsidP="00A937C6">
            <w:pPr>
              <w:spacing w:after="200" w:line="240" w:lineRule="auto"/>
              <w:ind w:left="113" w:right="113"/>
              <w:jc w:val="center"/>
              <w:rPr>
                <w:rFonts w:eastAsia="Times New Roman" w:cs="Times New Roman"/>
                <w:color w:val="000000" w:themeColor="text1"/>
                <w:sz w:val="18"/>
                <w:szCs w:val="18"/>
              </w:rPr>
            </w:pPr>
            <w:r w:rsidRPr="00DA2128">
              <w:rPr>
                <w:rFonts w:eastAsia="Times New Roman" w:cs="Times New Roman"/>
                <w:b/>
                <w:bCs/>
                <w:color w:val="000000" w:themeColor="text1"/>
                <w:sz w:val="18"/>
                <w:szCs w:val="18"/>
              </w:rPr>
              <w:t>Importance</w:t>
            </w:r>
          </w:p>
        </w:tc>
        <w:tc>
          <w:tcPr>
            <w:tcW w:w="254" w:type="pct"/>
            <w:shd w:val="clear" w:color="auto" w:fill="DADADA" w:themeFill="background2" w:themeFillShade="E6"/>
            <w:tcMar>
              <w:left w:w="105" w:type="dxa"/>
              <w:right w:w="105" w:type="dxa"/>
            </w:tcMar>
            <w:textDirection w:val="btLr"/>
          </w:tcPr>
          <w:p w14:paraId="6E50E4AE" w14:textId="77777777" w:rsidR="002B6683" w:rsidRPr="00DA2128" w:rsidRDefault="002B6683" w:rsidP="00A937C6">
            <w:pPr>
              <w:spacing w:after="200" w:line="240" w:lineRule="auto"/>
              <w:ind w:left="113" w:right="113"/>
              <w:jc w:val="center"/>
              <w:rPr>
                <w:rFonts w:eastAsia="Times New Roman" w:cs="Times New Roman"/>
                <w:color w:val="000000" w:themeColor="text1"/>
                <w:sz w:val="18"/>
                <w:szCs w:val="18"/>
              </w:rPr>
            </w:pPr>
            <w:r w:rsidRPr="00DA2128">
              <w:rPr>
                <w:rFonts w:eastAsia="Times New Roman" w:cs="Times New Roman"/>
                <w:b/>
                <w:bCs/>
                <w:color w:val="000000" w:themeColor="text1"/>
                <w:sz w:val="18"/>
                <w:szCs w:val="18"/>
              </w:rPr>
              <w:t>Feasibility</w:t>
            </w:r>
          </w:p>
        </w:tc>
        <w:tc>
          <w:tcPr>
            <w:tcW w:w="254" w:type="pct"/>
            <w:tcMar>
              <w:left w:w="105" w:type="dxa"/>
              <w:right w:w="105" w:type="dxa"/>
            </w:tcMar>
            <w:textDirection w:val="btLr"/>
          </w:tcPr>
          <w:p w14:paraId="3061DD73" w14:textId="77777777" w:rsidR="002B6683" w:rsidRPr="00DA2128" w:rsidRDefault="002B6683" w:rsidP="00A937C6">
            <w:pPr>
              <w:spacing w:after="200" w:line="240" w:lineRule="auto"/>
              <w:ind w:left="113" w:right="113"/>
              <w:jc w:val="center"/>
              <w:rPr>
                <w:rFonts w:eastAsia="Times New Roman" w:cs="Times New Roman"/>
                <w:color w:val="000000" w:themeColor="text1"/>
                <w:sz w:val="18"/>
                <w:szCs w:val="18"/>
              </w:rPr>
            </w:pPr>
            <w:r w:rsidRPr="00DA2128">
              <w:rPr>
                <w:rFonts w:eastAsia="Times New Roman" w:cs="Times New Roman"/>
                <w:b/>
                <w:bCs/>
                <w:color w:val="000000" w:themeColor="text1"/>
                <w:sz w:val="18"/>
                <w:szCs w:val="18"/>
              </w:rPr>
              <w:t>Importance</w:t>
            </w:r>
          </w:p>
        </w:tc>
        <w:tc>
          <w:tcPr>
            <w:tcW w:w="254" w:type="pct"/>
            <w:tcMar>
              <w:left w:w="105" w:type="dxa"/>
              <w:right w:w="105" w:type="dxa"/>
            </w:tcMar>
            <w:textDirection w:val="btLr"/>
          </w:tcPr>
          <w:p w14:paraId="35795088" w14:textId="77777777" w:rsidR="002B6683" w:rsidRPr="00DA2128" w:rsidRDefault="002B6683" w:rsidP="00A937C6">
            <w:pPr>
              <w:spacing w:after="200" w:line="240" w:lineRule="auto"/>
              <w:ind w:left="113" w:right="113"/>
              <w:jc w:val="center"/>
              <w:rPr>
                <w:rFonts w:eastAsia="Times New Roman" w:cs="Times New Roman"/>
                <w:color w:val="000000" w:themeColor="text1"/>
                <w:sz w:val="18"/>
                <w:szCs w:val="18"/>
              </w:rPr>
            </w:pPr>
            <w:r w:rsidRPr="00DA2128">
              <w:rPr>
                <w:rFonts w:eastAsia="Times New Roman" w:cs="Times New Roman"/>
                <w:b/>
                <w:bCs/>
                <w:color w:val="000000" w:themeColor="text1"/>
                <w:sz w:val="18"/>
                <w:szCs w:val="18"/>
              </w:rPr>
              <w:t>Feasibility</w:t>
            </w:r>
          </w:p>
        </w:tc>
        <w:tc>
          <w:tcPr>
            <w:tcW w:w="262" w:type="pct"/>
            <w:shd w:val="clear" w:color="auto" w:fill="DADADA" w:themeFill="background2" w:themeFillShade="E6"/>
            <w:tcMar>
              <w:left w:w="105" w:type="dxa"/>
              <w:right w:w="105" w:type="dxa"/>
            </w:tcMar>
            <w:textDirection w:val="btLr"/>
          </w:tcPr>
          <w:p w14:paraId="0A133D63" w14:textId="77777777" w:rsidR="002B6683" w:rsidRPr="00DA2128" w:rsidRDefault="002B6683" w:rsidP="00A937C6">
            <w:pPr>
              <w:spacing w:after="200" w:line="240" w:lineRule="auto"/>
              <w:ind w:left="113" w:right="113"/>
              <w:jc w:val="center"/>
              <w:rPr>
                <w:rFonts w:eastAsia="Times New Roman" w:cs="Times New Roman"/>
                <w:color w:val="000000" w:themeColor="text1"/>
                <w:sz w:val="18"/>
                <w:szCs w:val="18"/>
              </w:rPr>
            </w:pPr>
            <w:r w:rsidRPr="00DA2128">
              <w:rPr>
                <w:rFonts w:eastAsia="Times New Roman" w:cs="Times New Roman"/>
                <w:b/>
                <w:bCs/>
                <w:color w:val="000000" w:themeColor="text1"/>
                <w:sz w:val="18"/>
                <w:szCs w:val="18"/>
              </w:rPr>
              <w:t>Importance</w:t>
            </w:r>
          </w:p>
        </w:tc>
        <w:tc>
          <w:tcPr>
            <w:tcW w:w="262" w:type="pct"/>
            <w:shd w:val="clear" w:color="auto" w:fill="DADADA" w:themeFill="background2" w:themeFillShade="E6"/>
            <w:tcMar>
              <w:left w:w="105" w:type="dxa"/>
              <w:right w:w="105" w:type="dxa"/>
            </w:tcMar>
            <w:textDirection w:val="btLr"/>
          </w:tcPr>
          <w:p w14:paraId="1F26B97C" w14:textId="77777777" w:rsidR="002B6683" w:rsidRPr="00DA2128" w:rsidRDefault="002B6683" w:rsidP="00A937C6">
            <w:pPr>
              <w:spacing w:after="200" w:line="240" w:lineRule="auto"/>
              <w:ind w:left="113" w:right="113"/>
              <w:jc w:val="center"/>
              <w:rPr>
                <w:rFonts w:eastAsia="Times New Roman" w:cs="Times New Roman"/>
                <w:color w:val="000000" w:themeColor="text1"/>
                <w:sz w:val="18"/>
                <w:szCs w:val="18"/>
              </w:rPr>
            </w:pPr>
            <w:r w:rsidRPr="00DA2128">
              <w:rPr>
                <w:rFonts w:eastAsia="Times New Roman" w:cs="Times New Roman"/>
                <w:b/>
                <w:bCs/>
                <w:color w:val="000000" w:themeColor="text1"/>
                <w:sz w:val="18"/>
                <w:szCs w:val="18"/>
              </w:rPr>
              <w:t>Feasibility</w:t>
            </w:r>
          </w:p>
        </w:tc>
        <w:tc>
          <w:tcPr>
            <w:tcW w:w="254" w:type="pct"/>
            <w:tcMar>
              <w:left w:w="105" w:type="dxa"/>
              <w:right w:w="105" w:type="dxa"/>
            </w:tcMar>
            <w:textDirection w:val="btLr"/>
          </w:tcPr>
          <w:p w14:paraId="2BA69E91" w14:textId="77777777" w:rsidR="002B6683" w:rsidRPr="00DA2128" w:rsidRDefault="002B6683" w:rsidP="00A937C6">
            <w:pPr>
              <w:spacing w:after="200" w:line="240" w:lineRule="auto"/>
              <w:ind w:left="113" w:right="113"/>
              <w:jc w:val="center"/>
              <w:rPr>
                <w:rFonts w:eastAsia="Times New Roman" w:cs="Times New Roman"/>
                <w:color w:val="000000" w:themeColor="text1"/>
                <w:sz w:val="18"/>
                <w:szCs w:val="18"/>
              </w:rPr>
            </w:pPr>
            <w:r w:rsidRPr="00DA2128">
              <w:rPr>
                <w:rFonts w:eastAsia="Times New Roman" w:cs="Times New Roman"/>
                <w:b/>
                <w:bCs/>
                <w:color w:val="000000" w:themeColor="text1"/>
                <w:sz w:val="18"/>
                <w:szCs w:val="18"/>
              </w:rPr>
              <w:t>Importance</w:t>
            </w:r>
          </w:p>
        </w:tc>
        <w:tc>
          <w:tcPr>
            <w:tcW w:w="254" w:type="pct"/>
            <w:tcMar>
              <w:left w:w="105" w:type="dxa"/>
              <w:right w:w="105" w:type="dxa"/>
            </w:tcMar>
            <w:textDirection w:val="btLr"/>
          </w:tcPr>
          <w:p w14:paraId="321DF652" w14:textId="77777777" w:rsidR="002B6683" w:rsidRPr="00DA2128" w:rsidRDefault="002B6683" w:rsidP="00A937C6">
            <w:pPr>
              <w:spacing w:after="200" w:line="240" w:lineRule="auto"/>
              <w:ind w:left="113" w:right="113"/>
              <w:jc w:val="center"/>
              <w:rPr>
                <w:rFonts w:eastAsia="Times New Roman" w:cs="Times New Roman"/>
                <w:color w:val="000000" w:themeColor="text1"/>
                <w:sz w:val="18"/>
                <w:szCs w:val="18"/>
              </w:rPr>
            </w:pPr>
            <w:r w:rsidRPr="00DA2128">
              <w:rPr>
                <w:rFonts w:eastAsia="Times New Roman" w:cs="Times New Roman"/>
                <w:b/>
                <w:bCs/>
                <w:color w:val="000000" w:themeColor="text1"/>
                <w:sz w:val="18"/>
                <w:szCs w:val="18"/>
              </w:rPr>
              <w:t>Feasibility</w:t>
            </w:r>
          </w:p>
        </w:tc>
        <w:tc>
          <w:tcPr>
            <w:tcW w:w="251" w:type="pct"/>
            <w:shd w:val="clear" w:color="auto" w:fill="DADADA" w:themeFill="background2" w:themeFillShade="E6"/>
            <w:tcMar>
              <w:left w:w="105" w:type="dxa"/>
              <w:right w:w="105" w:type="dxa"/>
            </w:tcMar>
            <w:textDirection w:val="btLr"/>
          </w:tcPr>
          <w:p w14:paraId="427F72DE" w14:textId="77777777" w:rsidR="002B6683" w:rsidRPr="00DA2128" w:rsidRDefault="002B6683" w:rsidP="00A937C6">
            <w:pPr>
              <w:spacing w:after="200" w:line="240" w:lineRule="auto"/>
              <w:ind w:left="113" w:right="113"/>
              <w:jc w:val="center"/>
              <w:rPr>
                <w:rFonts w:eastAsia="Times New Roman" w:cs="Times New Roman"/>
                <w:color w:val="000000" w:themeColor="text1"/>
                <w:sz w:val="18"/>
                <w:szCs w:val="18"/>
              </w:rPr>
            </w:pPr>
            <w:r w:rsidRPr="00DA2128">
              <w:rPr>
                <w:rFonts w:eastAsia="Times New Roman" w:cs="Times New Roman"/>
                <w:b/>
                <w:bCs/>
                <w:color w:val="000000" w:themeColor="text1"/>
                <w:sz w:val="18"/>
                <w:szCs w:val="18"/>
              </w:rPr>
              <w:t>Importance</w:t>
            </w:r>
          </w:p>
        </w:tc>
        <w:tc>
          <w:tcPr>
            <w:tcW w:w="248" w:type="pct"/>
            <w:shd w:val="clear" w:color="auto" w:fill="DADADA" w:themeFill="background2" w:themeFillShade="E6"/>
            <w:tcMar>
              <w:left w:w="105" w:type="dxa"/>
              <w:right w:w="105" w:type="dxa"/>
            </w:tcMar>
            <w:textDirection w:val="btLr"/>
          </w:tcPr>
          <w:p w14:paraId="2E6688A4" w14:textId="77777777" w:rsidR="002B6683" w:rsidRPr="00DA2128" w:rsidRDefault="002B6683" w:rsidP="00A937C6">
            <w:pPr>
              <w:spacing w:after="200" w:line="240" w:lineRule="auto"/>
              <w:ind w:left="113" w:right="113"/>
              <w:jc w:val="center"/>
              <w:rPr>
                <w:rFonts w:eastAsia="Times New Roman" w:cs="Times New Roman"/>
                <w:color w:val="000000" w:themeColor="text1"/>
                <w:sz w:val="18"/>
                <w:szCs w:val="18"/>
              </w:rPr>
            </w:pPr>
            <w:r w:rsidRPr="00DA2128">
              <w:rPr>
                <w:rFonts w:eastAsia="Times New Roman" w:cs="Times New Roman"/>
                <w:b/>
                <w:bCs/>
                <w:color w:val="000000" w:themeColor="text1"/>
                <w:sz w:val="18"/>
                <w:szCs w:val="18"/>
              </w:rPr>
              <w:t>Feasibility</w:t>
            </w:r>
          </w:p>
        </w:tc>
      </w:tr>
      <w:tr w:rsidR="002B6683" w:rsidRPr="00DA2128" w14:paraId="7110942F" w14:textId="77777777" w:rsidTr="00B605CC">
        <w:trPr>
          <w:trHeight w:val="300"/>
        </w:trPr>
        <w:tc>
          <w:tcPr>
            <w:tcW w:w="376" w:type="pct"/>
            <w:tcMar>
              <w:left w:w="105" w:type="dxa"/>
              <w:right w:w="105" w:type="dxa"/>
            </w:tcMar>
          </w:tcPr>
          <w:p w14:paraId="19E9D3CD" w14:textId="77777777" w:rsidR="002B6683" w:rsidRPr="00DA2128" w:rsidRDefault="002B6683"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b/>
                <w:bCs/>
                <w:color w:val="000000" w:themeColor="text1"/>
                <w:sz w:val="18"/>
                <w:szCs w:val="18"/>
              </w:rPr>
              <w:t>Cluster 1</w:t>
            </w:r>
          </w:p>
        </w:tc>
        <w:tc>
          <w:tcPr>
            <w:tcW w:w="275" w:type="pct"/>
            <w:shd w:val="clear" w:color="auto" w:fill="DADADA" w:themeFill="background2" w:themeFillShade="E6"/>
            <w:tcMar>
              <w:left w:w="105" w:type="dxa"/>
              <w:right w:w="105" w:type="dxa"/>
            </w:tcMar>
          </w:tcPr>
          <w:p w14:paraId="3A6F2E73" w14:textId="77777777" w:rsidR="002B6683" w:rsidRPr="00DA2128" w:rsidRDefault="002B6683" w:rsidP="00A937C6">
            <w:pPr>
              <w:spacing w:after="200" w:line="240" w:lineRule="auto"/>
              <w:jc w:val="center"/>
              <w:rPr>
                <w:rFonts w:eastAsia="Aptos" w:cs="Times New Roman"/>
                <w:color w:val="1B2232"/>
                <w:sz w:val="18"/>
                <w:szCs w:val="18"/>
              </w:rPr>
            </w:pPr>
            <w:r w:rsidRPr="00DA2128">
              <w:rPr>
                <w:rStyle w:val="oneUserDefinedStyle"/>
                <w:rFonts w:eastAsia="Aptos" w:cs="Times New Roman"/>
                <w:b/>
                <w:bCs/>
                <w:sz w:val="18"/>
                <w:szCs w:val="18"/>
              </w:rPr>
              <w:t>2.8</w:t>
            </w:r>
          </w:p>
        </w:tc>
        <w:tc>
          <w:tcPr>
            <w:tcW w:w="276" w:type="pct"/>
            <w:shd w:val="clear" w:color="auto" w:fill="DADADA" w:themeFill="background2" w:themeFillShade="E6"/>
            <w:tcMar>
              <w:left w:w="105" w:type="dxa"/>
              <w:right w:w="105" w:type="dxa"/>
            </w:tcMar>
          </w:tcPr>
          <w:p w14:paraId="5655B67C" w14:textId="77777777" w:rsidR="002B6683" w:rsidRPr="00DA2128" w:rsidRDefault="002B6683" w:rsidP="00A937C6">
            <w:pPr>
              <w:spacing w:after="200" w:line="240" w:lineRule="auto"/>
              <w:jc w:val="center"/>
              <w:rPr>
                <w:rFonts w:eastAsia="Aptos" w:cs="Times New Roman"/>
                <w:color w:val="1B2232"/>
                <w:sz w:val="18"/>
                <w:szCs w:val="18"/>
              </w:rPr>
            </w:pPr>
            <w:r w:rsidRPr="00DA2128">
              <w:rPr>
                <w:rStyle w:val="oneUserDefinedStyle"/>
                <w:rFonts w:eastAsia="Aptos" w:cs="Times New Roman"/>
                <w:b/>
                <w:bCs/>
                <w:sz w:val="18"/>
                <w:szCs w:val="18"/>
              </w:rPr>
              <w:t>2.74</w:t>
            </w:r>
          </w:p>
        </w:tc>
        <w:tc>
          <w:tcPr>
            <w:tcW w:w="254" w:type="pct"/>
            <w:tcMar>
              <w:left w:w="105" w:type="dxa"/>
              <w:right w:w="105" w:type="dxa"/>
            </w:tcMar>
          </w:tcPr>
          <w:p w14:paraId="3146A28B"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b/>
                <w:bCs/>
                <w:sz w:val="18"/>
                <w:szCs w:val="18"/>
              </w:rPr>
              <w:t>2.96</w:t>
            </w:r>
          </w:p>
        </w:tc>
        <w:tc>
          <w:tcPr>
            <w:tcW w:w="254" w:type="pct"/>
            <w:tcMar>
              <w:left w:w="105" w:type="dxa"/>
              <w:right w:w="105" w:type="dxa"/>
            </w:tcMar>
          </w:tcPr>
          <w:p w14:paraId="7DD66CC2"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b/>
                <w:bCs/>
                <w:sz w:val="18"/>
                <w:szCs w:val="18"/>
              </w:rPr>
              <w:t>2.75</w:t>
            </w:r>
          </w:p>
        </w:tc>
        <w:tc>
          <w:tcPr>
            <w:tcW w:w="254" w:type="pct"/>
            <w:shd w:val="clear" w:color="auto" w:fill="DADADA" w:themeFill="background2" w:themeFillShade="E6"/>
            <w:tcMar>
              <w:left w:w="105" w:type="dxa"/>
              <w:right w:w="105" w:type="dxa"/>
            </w:tcMar>
          </w:tcPr>
          <w:p w14:paraId="26174C82" w14:textId="77777777" w:rsidR="002B6683" w:rsidRPr="00DA2128" w:rsidRDefault="002B6683"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b/>
                <w:bCs/>
                <w:color w:val="000000" w:themeColor="text1"/>
                <w:sz w:val="18"/>
                <w:szCs w:val="18"/>
              </w:rPr>
              <w:t>3.1</w:t>
            </w:r>
          </w:p>
        </w:tc>
        <w:tc>
          <w:tcPr>
            <w:tcW w:w="254" w:type="pct"/>
            <w:shd w:val="clear" w:color="auto" w:fill="DADADA" w:themeFill="background2" w:themeFillShade="E6"/>
            <w:tcMar>
              <w:left w:w="105" w:type="dxa"/>
              <w:right w:w="105" w:type="dxa"/>
            </w:tcMar>
          </w:tcPr>
          <w:p w14:paraId="66DEDEC8" w14:textId="77777777" w:rsidR="002B6683" w:rsidRPr="00DA2128" w:rsidRDefault="002B6683"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b/>
                <w:bCs/>
                <w:color w:val="000000" w:themeColor="text1"/>
                <w:sz w:val="18"/>
                <w:szCs w:val="18"/>
              </w:rPr>
              <w:t>2.58</w:t>
            </w:r>
          </w:p>
        </w:tc>
        <w:tc>
          <w:tcPr>
            <w:tcW w:w="254" w:type="pct"/>
            <w:tcMar>
              <w:left w:w="105" w:type="dxa"/>
              <w:right w:w="105" w:type="dxa"/>
            </w:tcMar>
          </w:tcPr>
          <w:p w14:paraId="0F158A68"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b/>
                <w:bCs/>
                <w:sz w:val="18"/>
                <w:szCs w:val="18"/>
              </w:rPr>
              <w:t>2.91</w:t>
            </w:r>
          </w:p>
        </w:tc>
        <w:tc>
          <w:tcPr>
            <w:tcW w:w="254" w:type="pct"/>
            <w:tcMar>
              <w:left w:w="105" w:type="dxa"/>
              <w:right w:w="105" w:type="dxa"/>
            </w:tcMar>
          </w:tcPr>
          <w:p w14:paraId="486B72E6"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b/>
                <w:bCs/>
                <w:sz w:val="18"/>
                <w:szCs w:val="18"/>
              </w:rPr>
              <w:t>2.71</w:t>
            </w:r>
          </w:p>
        </w:tc>
        <w:tc>
          <w:tcPr>
            <w:tcW w:w="254" w:type="pct"/>
            <w:shd w:val="clear" w:color="auto" w:fill="DADADA" w:themeFill="background2" w:themeFillShade="E6"/>
            <w:tcMar>
              <w:left w:w="105" w:type="dxa"/>
              <w:right w:w="105" w:type="dxa"/>
            </w:tcMar>
          </w:tcPr>
          <w:p w14:paraId="5D23C775"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b/>
                <w:bCs/>
                <w:sz w:val="18"/>
                <w:szCs w:val="18"/>
              </w:rPr>
              <w:t>3.08</w:t>
            </w:r>
          </w:p>
        </w:tc>
        <w:tc>
          <w:tcPr>
            <w:tcW w:w="254" w:type="pct"/>
            <w:shd w:val="clear" w:color="auto" w:fill="DADADA" w:themeFill="background2" w:themeFillShade="E6"/>
            <w:tcMar>
              <w:left w:w="105" w:type="dxa"/>
              <w:right w:w="105" w:type="dxa"/>
            </w:tcMar>
          </w:tcPr>
          <w:p w14:paraId="40A7AE8B"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b/>
                <w:bCs/>
                <w:sz w:val="18"/>
                <w:szCs w:val="18"/>
              </w:rPr>
              <w:t>3.02</w:t>
            </w:r>
          </w:p>
        </w:tc>
        <w:tc>
          <w:tcPr>
            <w:tcW w:w="254" w:type="pct"/>
            <w:tcMar>
              <w:left w:w="105" w:type="dxa"/>
              <w:right w:w="105" w:type="dxa"/>
            </w:tcMar>
          </w:tcPr>
          <w:p w14:paraId="7BDFD891" w14:textId="77777777" w:rsidR="002B6683" w:rsidRPr="00DA2128" w:rsidRDefault="002B6683" w:rsidP="00A937C6">
            <w:pPr>
              <w:spacing w:after="200" w:line="240" w:lineRule="auto"/>
              <w:jc w:val="center"/>
              <w:rPr>
                <w:rFonts w:eastAsia="Aptos" w:cs="Times New Roman"/>
                <w:color w:val="1B2232"/>
                <w:sz w:val="18"/>
                <w:szCs w:val="18"/>
              </w:rPr>
            </w:pPr>
            <w:r w:rsidRPr="00DA2128">
              <w:rPr>
                <w:rStyle w:val="oneUserDefinedStyle"/>
                <w:rFonts w:eastAsia="Aptos" w:cs="Times New Roman"/>
                <w:b/>
                <w:bCs/>
                <w:sz w:val="18"/>
                <w:szCs w:val="18"/>
              </w:rPr>
              <w:t>3.14</w:t>
            </w:r>
          </w:p>
        </w:tc>
        <w:tc>
          <w:tcPr>
            <w:tcW w:w="254" w:type="pct"/>
            <w:tcMar>
              <w:left w:w="105" w:type="dxa"/>
              <w:right w:w="105" w:type="dxa"/>
            </w:tcMar>
          </w:tcPr>
          <w:p w14:paraId="55843D38"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b/>
                <w:bCs/>
                <w:sz w:val="18"/>
                <w:szCs w:val="18"/>
              </w:rPr>
              <w:t>2.82</w:t>
            </w:r>
          </w:p>
        </w:tc>
        <w:tc>
          <w:tcPr>
            <w:tcW w:w="262" w:type="pct"/>
            <w:shd w:val="clear" w:color="auto" w:fill="DADADA" w:themeFill="background2" w:themeFillShade="E6"/>
            <w:tcMar>
              <w:left w:w="105" w:type="dxa"/>
              <w:right w:w="105" w:type="dxa"/>
            </w:tcMar>
          </w:tcPr>
          <w:p w14:paraId="4D2D61A3" w14:textId="77777777" w:rsidR="002B6683" w:rsidRPr="00DA2128" w:rsidRDefault="002B6683"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b/>
                <w:bCs/>
                <w:color w:val="000000" w:themeColor="text1"/>
                <w:sz w:val="18"/>
                <w:szCs w:val="18"/>
              </w:rPr>
              <w:t>2.97</w:t>
            </w:r>
          </w:p>
        </w:tc>
        <w:tc>
          <w:tcPr>
            <w:tcW w:w="262" w:type="pct"/>
            <w:shd w:val="clear" w:color="auto" w:fill="DADADA" w:themeFill="background2" w:themeFillShade="E6"/>
            <w:tcMar>
              <w:left w:w="105" w:type="dxa"/>
              <w:right w:w="105" w:type="dxa"/>
            </w:tcMar>
          </w:tcPr>
          <w:p w14:paraId="61079151" w14:textId="77777777" w:rsidR="002B6683" w:rsidRPr="00DA2128" w:rsidRDefault="002B6683"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b/>
                <w:bCs/>
                <w:color w:val="000000" w:themeColor="text1"/>
                <w:sz w:val="18"/>
                <w:szCs w:val="18"/>
              </w:rPr>
              <w:t>2.88</w:t>
            </w:r>
          </w:p>
        </w:tc>
        <w:tc>
          <w:tcPr>
            <w:tcW w:w="254" w:type="pct"/>
            <w:tcMar>
              <w:left w:w="105" w:type="dxa"/>
              <w:right w:w="105" w:type="dxa"/>
            </w:tcMar>
          </w:tcPr>
          <w:p w14:paraId="7A5EA7DD" w14:textId="77777777" w:rsidR="002B6683" w:rsidRPr="00DA2128" w:rsidRDefault="002B6683"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b/>
                <w:bCs/>
                <w:color w:val="000000" w:themeColor="text1"/>
                <w:sz w:val="18"/>
                <w:szCs w:val="18"/>
              </w:rPr>
              <w:t>3.04</w:t>
            </w:r>
          </w:p>
        </w:tc>
        <w:tc>
          <w:tcPr>
            <w:tcW w:w="254" w:type="pct"/>
            <w:tcMar>
              <w:left w:w="105" w:type="dxa"/>
              <w:right w:w="105" w:type="dxa"/>
            </w:tcMar>
          </w:tcPr>
          <w:p w14:paraId="1C5AC884" w14:textId="77777777" w:rsidR="002B6683" w:rsidRPr="00DA2128" w:rsidRDefault="002B6683"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b/>
                <w:bCs/>
                <w:color w:val="000000" w:themeColor="text1"/>
                <w:sz w:val="18"/>
                <w:szCs w:val="18"/>
              </w:rPr>
              <w:t>2.8</w:t>
            </w:r>
          </w:p>
        </w:tc>
        <w:tc>
          <w:tcPr>
            <w:tcW w:w="251" w:type="pct"/>
            <w:shd w:val="clear" w:color="auto" w:fill="DADADA" w:themeFill="background2" w:themeFillShade="E6"/>
            <w:tcMar>
              <w:left w:w="105" w:type="dxa"/>
              <w:right w:w="105" w:type="dxa"/>
            </w:tcMar>
          </w:tcPr>
          <w:p w14:paraId="61CB33E9" w14:textId="77777777" w:rsidR="002B6683" w:rsidRPr="00DA2128" w:rsidRDefault="002B6683"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b/>
                <w:bCs/>
                <w:color w:val="000000" w:themeColor="text1"/>
                <w:sz w:val="18"/>
                <w:szCs w:val="18"/>
              </w:rPr>
              <w:t>2.63</w:t>
            </w:r>
          </w:p>
        </w:tc>
        <w:tc>
          <w:tcPr>
            <w:tcW w:w="248" w:type="pct"/>
            <w:shd w:val="clear" w:color="auto" w:fill="DADADA" w:themeFill="background2" w:themeFillShade="E6"/>
            <w:tcMar>
              <w:left w:w="105" w:type="dxa"/>
              <w:right w:w="105" w:type="dxa"/>
            </w:tcMar>
          </w:tcPr>
          <w:p w14:paraId="4B93682E" w14:textId="77777777" w:rsidR="002B6683" w:rsidRPr="00DA2128" w:rsidRDefault="002B6683"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b/>
                <w:bCs/>
                <w:color w:val="000000" w:themeColor="text1"/>
                <w:sz w:val="18"/>
                <w:szCs w:val="18"/>
              </w:rPr>
              <w:t>2.55</w:t>
            </w:r>
          </w:p>
        </w:tc>
      </w:tr>
      <w:tr w:rsidR="002B6683" w:rsidRPr="00DA2128" w14:paraId="5CE140D7" w14:textId="77777777" w:rsidTr="00B605CC">
        <w:trPr>
          <w:trHeight w:val="300"/>
        </w:trPr>
        <w:tc>
          <w:tcPr>
            <w:tcW w:w="376" w:type="pct"/>
            <w:tcMar>
              <w:left w:w="105" w:type="dxa"/>
              <w:right w:w="105" w:type="dxa"/>
            </w:tcMar>
          </w:tcPr>
          <w:p w14:paraId="2411C95C" w14:textId="77777777" w:rsidR="002B6683" w:rsidRPr="00DA2128" w:rsidRDefault="002B6683"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color w:val="000000" w:themeColor="text1"/>
                <w:sz w:val="18"/>
                <w:szCs w:val="18"/>
              </w:rPr>
              <w:t>1</w:t>
            </w:r>
          </w:p>
        </w:tc>
        <w:tc>
          <w:tcPr>
            <w:tcW w:w="275" w:type="pct"/>
            <w:shd w:val="clear" w:color="auto" w:fill="DADADA" w:themeFill="background2" w:themeFillShade="E6"/>
            <w:tcMar>
              <w:left w:w="105" w:type="dxa"/>
              <w:right w:w="105" w:type="dxa"/>
            </w:tcMar>
          </w:tcPr>
          <w:p w14:paraId="596692AE" w14:textId="77777777" w:rsidR="002B6683" w:rsidRPr="00DA2128" w:rsidRDefault="002B6683"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color w:val="000000" w:themeColor="text1"/>
                <w:sz w:val="18"/>
                <w:szCs w:val="18"/>
              </w:rPr>
              <w:t>3.03</w:t>
            </w:r>
          </w:p>
        </w:tc>
        <w:tc>
          <w:tcPr>
            <w:tcW w:w="276" w:type="pct"/>
            <w:shd w:val="clear" w:color="auto" w:fill="DADADA" w:themeFill="background2" w:themeFillShade="E6"/>
            <w:tcMar>
              <w:left w:w="105" w:type="dxa"/>
              <w:right w:w="105" w:type="dxa"/>
            </w:tcMar>
          </w:tcPr>
          <w:p w14:paraId="4F160942" w14:textId="77777777" w:rsidR="002B6683" w:rsidRPr="00DA2128" w:rsidRDefault="002B6683"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color w:val="000000" w:themeColor="text1"/>
                <w:sz w:val="18"/>
                <w:szCs w:val="18"/>
              </w:rPr>
              <w:t>2.95</w:t>
            </w:r>
          </w:p>
        </w:tc>
        <w:tc>
          <w:tcPr>
            <w:tcW w:w="254" w:type="pct"/>
            <w:tcMar>
              <w:left w:w="105" w:type="dxa"/>
              <w:right w:w="105" w:type="dxa"/>
            </w:tcMar>
          </w:tcPr>
          <w:p w14:paraId="1B6DFFF9"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3.03</w:t>
            </w:r>
          </w:p>
        </w:tc>
        <w:tc>
          <w:tcPr>
            <w:tcW w:w="254" w:type="pct"/>
            <w:tcMar>
              <w:left w:w="105" w:type="dxa"/>
              <w:right w:w="105" w:type="dxa"/>
            </w:tcMar>
          </w:tcPr>
          <w:p w14:paraId="6601A283"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2.83</w:t>
            </w:r>
          </w:p>
        </w:tc>
        <w:tc>
          <w:tcPr>
            <w:tcW w:w="254" w:type="pct"/>
            <w:shd w:val="clear" w:color="auto" w:fill="DADADA" w:themeFill="background2" w:themeFillShade="E6"/>
            <w:tcMar>
              <w:left w:w="105" w:type="dxa"/>
              <w:right w:w="105" w:type="dxa"/>
            </w:tcMar>
          </w:tcPr>
          <w:p w14:paraId="67C45820"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3.11</w:t>
            </w:r>
          </w:p>
        </w:tc>
        <w:tc>
          <w:tcPr>
            <w:tcW w:w="254" w:type="pct"/>
            <w:shd w:val="clear" w:color="auto" w:fill="DADADA" w:themeFill="background2" w:themeFillShade="E6"/>
            <w:tcMar>
              <w:left w:w="105" w:type="dxa"/>
              <w:right w:w="105" w:type="dxa"/>
            </w:tcMar>
          </w:tcPr>
          <w:p w14:paraId="7275A9F9"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2.74</w:t>
            </w:r>
          </w:p>
        </w:tc>
        <w:tc>
          <w:tcPr>
            <w:tcW w:w="254" w:type="pct"/>
            <w:tcMar>
              <w:left w:w="105" w:type="dxa"/>
              <w:right w:w="105" w:type="dxa"/>
            </w:tcMar>
          </w:tcPr>
          <w:p w14:paraId="2706BA4F"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3.18</w:t>
            </w:r>
          </w:p>
        </w:tc>
        <w:tc>
          <w:tcPr>
            <w:tcW w:w="254" w:type="pct"/>
            <w:tcMar>
              <w:left w:w="105" w:type="dxa"/>
              <w:right w:w="105" w:type="dxa"/>
            </w:tcMar>
          </w:tcPr>
          <w:p w14:paraId="48261E1F"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2.73</w:t>
            </w:r>
          </w:p>
        </w:tc>
        <w:tc>
          <w:tcPr>
            <w:tcW w:w="254" w:type="pct"/>
            <w:shd w:val="clear" w:color="auto" w:fill="DADADA" w:themeFill="background2" w:themeFillShade="E6"/>
            <w:tcMar>
              <w:left w:w="105" w:type="dxa"/>
              <w:right w:w="105" w:type="dxa"/>
            </w:tcMar>
          </w:tcPr>
          <w:p w14:paraId="795E78A7"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3.24</w:t>
            </w:r>
          </w:p>
        </w:tc>
        <w:tc>
          <w:tcPr>
            <w:tcW w:w="254" w:type="pct"/>
            <w:shd w:val="clear" w:color="auto" w:fill="DADADA" w:themeFill="background2" w:themeFillShade="E6"/>
            <w:tcMar>
              <w:left w:w="105" w:type="dxa"/>
              <w:right w:w="105" w:type="dxa"/>
            </w:tcMar>
          </w:tcPr>
          <w:p w14:paraId="3847A65D"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3.03</w:t>
            </w:r>
          </w:p>
        </w:tc>
        <w:tc>
          <w:tcPr>
            <w:tcW w:w="254" w:type="pct"/>
            <w:tcMar>
              <w:left w:w="105" w:type="dxa"/>
              <w:right w:w="105" w:type="dxa"/>
            </w:tcMar>
          </w:tcPr>
          <w:p w14:paraId="2FC615D4"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3.14</w:t>
            </w:r>
          </w:p>
        </w:tc>
        <w:tc>
          <w:tcPr>
            <w:tcW w:w="254" w:type="pct"/>
            <w:tcMar>
              <w:left w:w="105" w:type="dxa"/>
              <w:right w:w="105" w:type="dxa"/>
            </w:tcMar>
          </w:tcPr>
          <w:p w14:paraId="5D4029E6"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2.8</w:t>
            </w:r>
          </w:p>
        </w:tc>
        <w:tc>
          <w:tcPr>
            <w:tcW w:w="262" w:type="pct"/>
            <w:shd w:val="clear" w:color="auto" w:fill="DADADA" w:themeFill="background2" w:themeFillShade="E6"/>
            <w:tcMar>
              <w:left w:w="105" w:type="dxa"/>
              <w:right w:w="105" w:type="dxa"/>
            </w:tcMar>
          </w:tcPr>
          <w:p w14:paraId="01944C21"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3.14</w:t>
            </w:r>
          </w:p>
        </w:tc>
        <w:tc>
          <w:tcPr>
            <w:tcW w:w="262" w:type="pct"/>
            <w:shd w:val="clear" w:color="auto" w:fill="DADADA" w:themeFill="background2" w:themeFillShade="E6"/>
            <w:tcMar>
              <w:left w:w="105" w:type="dxa"/>
              <w:right w:w="105" w:type="dxa"/>
            </w:tcMar>
          </w:tcPr>
          <w:p w14:paraId="31392CDC"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w:t>
            </w:r>
          </w:p>
        </w:tc>
        <w:tc>
          <w:tcPr>
            <w:tcW w:w="254" w:type="pct"/>
            <w:tcMar>
              <w:left w:w="105" w:type="dxa"/>
              <w:right w:w="105" w:type="dxa"/>
            </w:tcMar>
          </w:tcPr>
          <w:p w14:paraId="797AC777"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3.28</w:t>
            </w:r>
          </w:p>
        </w:tc>
        <w:tc>
          <w:tcPr>
            <w:tcW w:w="254" w:type="pct"/>
            <w:tcMar>
              <w:left w:w="105" w:type="dxa"/>
              <w:right w:w="105" w:type="dxa"/>
            </w:tcMar>
          </w:tcPr>
          <w:p w14:paraId="764319E0"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2.77</w:t>
            </w:r>
          </w:p>
        </w:tc>
        <w:tc>
          <w:tcPr>
            <w:tcW w:w="251" w:type="pct"/>
            <w:shd w:val="clear" w:color="auto" w:fill="DADADA" w:themeFill="background2" w:themeFillShade="E6"/>
            <w:tcMar>
              <w:left w:w="105" w:type="dxa"/>
              <w:right w:w="105" w:type="dxa"/>
            </w:tcMar>
          </w:tcPr>
          <w:p w14:paraId="07448F5A"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2.95*</w:t>
            </w:r>
          </w:p>
        </w:tc>
        <w:tc>
          <w:tcPr>
            <w:tcW w:w="248" w:type="pct"/>
            <w:shd w:val="clear" w:color="auto" w:fill="DADADA" w:themeFill="background2" w:themeFillShade="E6"/>
            <w:tcMar>
              <w:left w:w="105" w:type="dxa"/>
              <w:right w:w="105" w:type="dxa"/>
            </w:tcMar>
          </w:tcPr>
          <w:p w14:paraId="6C3C359A"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2.62</w:t>
            </w:r>
          </w:p>
        </w:tc>
      </w:tr>
      <w:tr w:rsidR="002B6683" w:rsidRPr="00DA2128" w14:paraId="443EF248" w14:textId="77777777" w:rsidTr="00B605CC">
        <w:trPr>
          <w:trHeight w:val="300"/>
        </w:trPr>
        <w:tc>
          <w:tcPr>
            <w:tcW w:w="376" w:type="pct"/>
            <w:tcMar>
              <w:left w:w="105" w:type="dxa"/>
              <w:right w:w="105" w:type="dxa"/>
            </w:tcMar>
          </w:tcPr>
          <w:p w14:paraId="48816786" w14:textId="77777777" w:rsidR="002B6683" w:rsidRPr="00DA2128" w:rsidRDefault="002B6683"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color w:val="000000" w:themeColor="text1"/>
                <w:sz w:val="18"/>
                <w:szCs w:val="18"/>
              </w:rPr>
              <w:t>4</w:t>
            </w:r>
          </w:p>
        </w:tc>
        <w:tc>
          <w:tcPr>
            <w:tcW w:w="275" w:type="pct"/>
            <w:shd w:val="clear" w:color="auto" w:fill="DADADA" w:themeFill="background2" w:themeFillShade="E6"/>
            <w:tcMar>
              <w:left w:w="105" w:type="dxa"/>
              <w:right w:w="105" w:type="dxa"/>
            </w:tcMar>
          </w:tcPr>
          <w:p w14:paraId="276D5D58" w14:textId="77777777" w:rsidR="002B6683" w:rsidRPr="00DA2128" w:rsidRDefault="002B6683"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color w:val="000000" w:themeColor="text1"/>
                <w:sz w:val="18"/>
                <w:szCs w:val="18"/>
              </w:rPr>
              <w:t>3.16*</w:t>
            </w:r>
          </w:p>
        </w:tc>
        <w:tc>
          <w:tcPr>
            <w:tcW w:w="276" w:type="pct"/>
            <w:shd w:val="clear" w:color="auto" w:fill="DADADA" w:themeFill="background2" w:themeFillShade="E6"/>
            <w:tcMar>
              <w:left w:w="105" w:type="dxa"/>
              <w:right w:w="105" w:type="dxa"/>
            </w:tcMar>
          </w:tcPr>
          <w:p w14:paraId="29A2AE65" w14:textId="77777777" w:rsidR="002B6683" w:rsidRPr="00DA2128" w:rsidRDefault="002B6683"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color w:val="000000" w:themeColor="text1"/>
                <w:sz w:val="18"/>
                <w:szCs w:val="18"/>
              </w:rPr>
              <w:t>3.14*</w:t>
            </w:r>
          </w:p>
        </w:tc>
        <w:tc>
          <w:tcPr>
            <w:tcW w:w="254" w:type="pct"/>
            <w:tcMar>
              <w:left w:w="105" w:type="dxa"/>
              <w:right w:w="105" w:type="dxa"/>
            </w:tcMar>
          </w:tcPr>
          <w:p w14:paraId="61091FB9"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3.24*</w:t>
            </w:r>
          </w:p>
        </w:tc>
        <w:tc>
          <w:tcPr>
            <w:tcW w:w="254" w:type="pct"/>
            <w:tcMar>
              <w:left w:w="105" w:type="dxa"/>
              <w:right w:w="105" w:type="dxa"/>
            </w:tcMar>
          </w:tcPr>
          <w:p w14:paraId="3612DD8A"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2.83</w:t>
            </w:r>
          </w:p>
        </w:tc>
        <w:tc>
          <w:tcPr>
            <w:tcW w:w="254" w:type="pct"/>
            <w:shd w:val="clear" w:color="auto" w:fill="DADADA" w:themeFill="background2" w:themeFillShade="E6"/>
            <w:tcMar>
              <w:left w:w="105" w:type="dxa"/>
              <w:right w:w="105" w:type="dxa"/>
            </w:tcMar>
          </w:tcPr>
          <w:p w14:paraId="0CC9CF1A"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3.41*</w:t>
            </w:r>
          </w:p>
        </w:tc>
        <w:tc>
          <w:tcPr>
            <w:tcW w:w="254" w:type="pct"/>
            <w:shd w:val="clear" w:color="auto" w:fill="DADADA" w:themeFill="background2" w:themeFillShade="E6"/>
            <w:tcMar>
              <w:left w:w="105" w:type="dxa"/>
              <w:right w:w="105" w:type="dxa"/>
            </w:tcMar>
          </w:tcPr>
          <w:p w14:paraId="351AD55D"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2.97</w:t>
            </w:r>
          </w:p>
        </w:tc>
        <w:tc>
          <w:tcPr>
            <w:tcW w:w="254" w:type="pct"/>
            <w:tcMar>
              <w:left w:w="105" w:type="dxa"/>
              <w:right w:w="105" w:type="dxa"/>
            </w:tcMar>
          </w:tcPr>
          <w:p w14:paraId="61781E1C"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3.33*</w:t>
            </w:r>
          </w:p>
        </w:tc>
        <w:tc>
          <w:tcPr>
            <w:tcW w:w="254" w:type="pct"/>
            <w:tcMar>
              <w:left w:w="105" w:type="dxa"/>
              <w:right w:w="105" w:type="dxa"/>
            </w:tcMar>
          </w:tcPr>
          <w:p w14:paraId="58280365"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2.89</w:t>
            </w:r>
          </w:p>
        </w:tc>
        <w:tc>
          <w:tcPr>
            <w:tcW w:w="254" w:type="pct"/>
            <w:shd w:val="clear" w:color="auto" w:fill="DADADA" w:themeFill="background2" w:themeFillShade="E6"/>
            <w:tcMar>
              <w:left w:w="105" w:type="dxa"/>
              <w:right w:w="105" w:type="dxa"/>
            </w:tcMar>
          </w:tcPr>
          <w:p w14:paraId="121710C3"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3.24*</w:t>
            </w:r>
          </w:p>
        </w:tc>
        <w:tc>
          <w:tcPr>
            <w:tcW w:w="254" w:type="pct"/>
            <w:shd w:val="clear" w:color="auto" w:fill="DADADA" w:themeFill="background2" w:themeFillShade="E6"/>
            <w:tcMar>
              <w:left w:w="105" w:type="dxa"/>
              <w:right w:w="105" w:type="dxa"/>
            </w:tcMar>
          </w:tcPr>
          <w:p w14:paraId="19EABEDE"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w:t>
            </w:r>
          </w:p>
        </w:tc>
        <w:tc>
          <w:tcPr>
            <w:tcW w:w="254" w:type="pct"/>
            <w:tcMar>
              <w:left w:w="105" w:type="dxa"/>
              <w:right w:w="105" w:type="dxa"/>
            </w:tcMar>
          </w:tcPr>
          <w:p w14:paraId="5DA8FCB3"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3.47*</w:t>
            </w:r>
          </w:p>
        </w:tc>
        <w:tc>
          <w:tcPr>
            <w:tcW w:w="254" w:type="pct"/>
            <w:tcMar>
              <w:left w:w="105" w:type="dxa"/>
              <w:right w:w="105" w:type="dxa"/>
            </w:tcMar>
          </w:tcPr>
          <w:p w14:paraId="36F345C1"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w:t>
            </w:r>
          </w:p>
        </w:tc>
        <w:tc>
          <w:tcPr>
            <w:tcW w:w="262" w:type="pct"/>
            <w:shd w:val="clear" w:color="auto" w:fill="DADADA" w:themeFill="background2" w:themeFillShade="E6"/>
            <w:tcMar>
              <w:left w:w="105" w:type="dxa"/>
              <w:right w:w="105" w:type="dxa"/>
            </w:tcMar>
          </w:tcPr>
          <w:p w14:paraId="2DC7D814"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3.28*</w:t>
            </w:r>
          </w:p>
        </w:tc>
        <w:tc>
          <w:tcPr>
            <w:tcW w:w="262" w:type="pct"/>
            <w:shd w:val="clear" w:color="auto" w:fill="DADADA" w:themeFill="background2" w:themeFillShade="E6"/>
            <w:tcMar>
              <w:left w:w="105" w:type="dxa"/>
              <w:right w:w="105" w:type="dxa"/>
            </w:tcMar>
          </w:tcPr>
          <w:p w14:paraId="66B93E5F"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2.94</w:t>
            </w:r>
          </w:p>
        </w:tc>
        <w:tc>
          <w:tcPr>
            <w:tcW w:w="254" w:type="pct"/>
            <w:tcMar>
              <w:left w:w="105" w:type="dxa"/>
              <w:right w:w="105" w:type="dxa"/>
            </w:tcMar>
          </w:tcPr>
          <w:p w14:paraId="6B9AAACF"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3.4*</w:t>
            </w:r>
          </w:p>
        </w:tc>
        <w:tc>
          <w:tcPr>
            <w:tcW w:w="254" w:type="pct"/>
            <w:tcMar>
              <w:left w:w="105" w:type="dxa"/>
              <w:right w:w="105" w:type="dxa"/>
            </w:tcMar>
          </w:tcPr>
          <w:p w14:paraId="2797C169"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w:t>
            </w:r>
          </w:p>
        </w:tc>
        <w:tc>
          <w:tcPr>
            <w:tcW w:w="251" w:type="pct"/>
            <w:shd w:val="clear" w:color="auto" w:fill="DADADA" w:themeFill="background2" w:themeFillShade="E6"/>
            <w:tcMar>
              <w:left w:w="105" w:type="dxa"/>
              <w:right w:w="105" w:type="dxa"/>
            </w:tcMar>
          </w:tcPr>
          <w:p w14:paraId="03E39684"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2.76</w:t>
            </w:r>
          </w:p>
        </w:tc>
        <w:tc>
          <w:tcPr>
            <w:tcW w:w="248" w:type="pct"/>
            <w:shd w:val="clear" w:color="auto" w:fill="DADADA" w:themeFill="background2" w:themeFillShade="E6"/>
            <w:tcMar>
              <w:left w:w="105" w:type="dxa"/>
              <w:right w:w="105" w:type="dxa"/>
            </w:tcMar>
          </w:tcPr>
          <w:p w14:paraId="4D11F05D"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2.89</w:t>
            </w:r>
          </w:p>
        </w:tc>
      </w:tr>
      <w:tr w:rsidR="002B6683" w:rsidRPr="00DA2128" w14:paraId="1E486AD8" w14:textId="77777777" w:rsidTr="00B605CC">
        <w:trPr>
          <w:trHeight w:val="300"/>
        </w:trPr>
        <w:tc>
          <w:tcPr>
            <w:tcW w:w="376" w:type="pct"/>
            <w:tcMar>
              <w:left w:w="105" w:type="dxa"/>
              <w:right w:w="105" w:type="dxa"/>
            </w:tcMar>
          </w:tcPr>
          <w:p w14:paraId="3DE18D79" w14:textId="77777777" w:rsidR="002B6683" w:rsidRPr="00DA2128" w:rsidRDefault="002B6683"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color w:val="000000" w:themeColor="text1"/>
                <w:sz w:val="18"/>
                <w:szCs w:val="18"/>
              </w:rPr>
              <w:t>5</w:t>
            </w:r>
          </w:p>
        </w:tc>
        <w:tc>
          <w:tcPr>
            <w:tcW w:w="275" w:type="pct"/>
            <w:shd w:val="clear" w:color="auto" w:fill="DADADA" w:themeFill="background2" w:themeFillShade="E6"/>
            <w:tcMar>
              <w:left w:w="105" w:type="dxa"/>
              <w:right w:w="105" w:type="dxa"/>
            </w:tcMar>
          </w:tcPr>
          <w:p w14:paraId="10FD2238" w14:textId="77777777" w:rsidR="002B6683" w:rsidRPr="00DA2128" w:rsidRDefault="002B6683"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color w:val="000000" w:themeColor="text1"/>
                <w:sz w:val="18"/>
                <w:szCs w:val="18"/>
              </w:rPr>
              <w:t>2.97</w:t>
            </w:r>
          </w:p>
        </w:tc>
        <w:tc>
          <w:tcPr>
            <w:tcW w:w="276" w:type="pct"/>
            <w:shd w:val="clear" w:color="auto" w:fill="DADADA" w:themeFill="background2" w:themeFillShade="E6"/>
            <w:tcMar>
              <w:left w:w="105" w:type="dxa"/>
              <w:right w:w="105" w:type="dxa"/>
            </w:tcMar>
          </w:tcPr>
          <w:p w14:paraId="5A1667DA" w14:textId="77777777" w:rsidR="002B6683" w:rsidRPr="00DA2128" w:rsidRDefault="002B6683"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color w:val="000000" w:themeColor="text1"/>
                <w:sz w:val="18"/>
                <w:szCs w:val="18"/>
              </w:rPr>
              <w:t>3.11</w:t>
            </w:r>
          </w:p>
        </w:tc>
        <w:tc>
          <w:tcPr>
            <w:tcW w:w="254" w:type="pct"/>
            <w:tcMar>
              <w:left w:w="105" w:type="dxa"/>
              <w:right w:w="105" w:type="dxa"/>
            </w:tcMar>
          </w:tcPr>
          <w:p w14:paraId="289B082A"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3</w:t>
            </w:r>
          </w:p>
        </w:tc>
        <w:tc>
          <w:tcPr>
            <w:tcW w:w="254" w:type="pct"/>
            <w:tcMar>
              <w:left w:w="105" w:type="dxa"/>
              <w:right w:w="105" w:type="dxa"/>
            </w:tcMar>
          </w:tcPr>
          <w:p w14:paraId="5E94F14C"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2.86</w:t>
            </w:r>
          </w:p>
        </w:tc>
        <w:tc>
          <w:tcPr>
            <w:tcW w:w="254" w:type="pct"/>
            <w:shd w:val="clear" w:color="auto" w:fill="DADADA" w:themeFill="background2" w:themeFillShade="E6"/>
            <w:tcMar>
              <w:left w:w="105" w:type="dxa"/>
              <w:right w:w="105" w:type="dxa"/>
            </w:tcMar>
          </w:tcPr>
          <w:p w14:paraId="12F9D9BD"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3.03</w:t>
            </w:r>
          </w:p>
        </w:tc>
        <w:tc>
          <w:tcPr>
            <w:tcW w:w="254" w:type="pct"/>
            <w:shd w:val="clear" w:color="auto" w:fill="DADADA" w:themeFill="background2" w:themeFillShade="E6"/>
            <w:tcMar>
              <w:left w:w="105" w:type="dxa"/>
              <w:right w:w="105" w:type="dxa"/>
            </w:tcMar>
          </w:tcPr>
          <w:p w14:paraId="1622D512"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2.85</w:t>
            </w:r>
          </w:p>
        </w:tc>
        <w:tc>
          <w:tcPr>
            <w:tcW w:w="254" w:type="pct"/>
            <w:tcMar>
              <w:left w:w="105" w:type="dxa"/>
              <w:right w:w="105" w:type="dxa"/>
            </w:tcMar>
          </w:tcPr>
          <w:p w14:paraId="5154C9DD"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3.1</w:t>
            </w:r>
          </w:p>
        </w:tc>
        <w:tc>
          <w:tcPr>
            <w:tcW w:w="254" w:type="pct"/>
            <w:tcMar>
              <w:left w:w="105" w:type="dxa"/>
              <w:right w:w="105" w:type="dxa"/>
            </w:tcMar>
          </w:tcPr>
          <w:p w14:paraId="3CD0F136"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2.89</w:t>
            </w:r>
          </w:p>
        </w:tc>
        <w:tc>
          <w:tcPr>
            <w:tcW w:w="254" w:type="pct"/>
            <w:shd w:val="clear" w:color="auto" w:fill="DADADA" w:themeFill="background2" w:themeFillShade="E6"/>
            <w:tcMar>
              <w:left w:w="105" w:type="dxa"/>
              <w:right w:w="105" w:type="dxa"/>
            </w:tcMar>
          </w:tcPr>
          <w:p w14:paraId="36C27ADC"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3.11</w:t>
            </w:r>
          </w:p>
        </w:tc>
        <w:tc>
          <w:tcPr>
            <w:tcW w:w="254" w:type="pct"/>
            <w:shd w:val="clear" w:color="auto" w:fill="DADADA" w:themeFill="background2" w:themeFillShade="E6"/>
            <w:tcMar>
              <w:left w:w="105" w:type="dxa"/>
              <w:right w:w="105" w:type="dxa"/>
            </w:tcMar>
          </w:tcPr>
          <w:p w14:paraId="5DF02662"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3.03</w:t>
            </w:r>
          </w:p>
        </w:tc>
        <w:tc>
          <w:tcPr>
            <w:tcW w:w="254" w:type="pct"/>
            <w:tcMar>
              <w:left w:w="105" w:type="dxa"/>
              <w:right w:w="105" w:type="dxa"/>
            </w:tcMar>
          </w:tcPr>
          <w:p w14:paraId="60FD5CFC"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3.08</w:t>
            </w:r>
          </w:p>
        </w:tc>
        <w:tc>
          <w:tcPr>
            <w:tcW w:w="254" w:type="pct"/>
            <w:tcMar>
              <w:left w:w="105" w:type="dxa"/>
              <w:right w:w="105" w:type="dxa"/>
            </w:tcMar>
          </w:tcPr>
          <w:p w14:paraId="72E51226"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2.91</w:t>
            </w:r>
          </w:p>
        </w:tc>
        <w:tc>
          <w:tcPr>
            <w:tcW w:w="262" w:type="pct"/>
            <w:shd w:val="clear" w:color="auto" w:fill="DADADA" w:themeFill="background2" w:themeFillShade="E6"/>
            <w:tcMar>
              <w:left w:w="105" w:type="dxa"/>
              <w:right w:w="105" w:type="dxa"/>
            </w:tcMar>
          </w:tcPr>
          <w:p w14:paraId="58F63D81"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3.06</w:t>
            </w:r>
          </w:p>
        </w:tc>
        <w:tc>
          <w:tcPr>
            <w:tcW w:w="262" w:type="pct"/>
            <w:shd w:val="clear" w:color="auto" w:fill="DADADA" w:themeFill="background2" w:themeFillShade="E6"/>
            <w:tcMar>
              <w:left w:w="105" w:type="dxa"/>
              <w:right w:w="105" w:type="dxa"/>
            </w:tcMar>
          </w:tcPr>
          <w:p w14:paraId="79A267E2"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3.09*</w:t>
            </w:r>
          </w:p>
        </w:tc>
        <w:tc>
          <w:tcPr>
            <w:tcW w:w="254" w:type="pct"/>
            <w:tcMar>
              <w:left w:w="105" w:type="dxa"/>
              <w:right w:w="105" w:type="dxa"/>
            </w:tcMar>
          </w:tcPr>
          <w:p w14:paraId="66784A20"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2.98</w:t>
            </w:r>
          </w:p>
        </w:tc>
        <w:tc>
          <w:tcPr>
            <w:tcW w:w="254" w:type="pct"/>
            <w:tcMar>
              <w:left w:w="105" w:type="dxa"/>
              <w:right w:w="105" w:type="dxa"/>
            </w:tcMar>
          </w:tcPr>
          <w:p w14:paraId="2FC0A5BD"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2.85</w:t>
            </w:r>
          </w:p>
        </w:tc>
        <w:tc>
          <w:tcPr>
            <w:tcW w:w="251" w:type="pct"/>
            <w:shd w:val="clear" w:color="auto" w:fill="DADADA" w:themeFill="background2" w:themeFillShade="E6"/>
            <w:tcMar>
              <w:left w:w="105" w:type="dxa"/>
              <w:right w:w="105" w:type="dxa"/>
            </w:tcMar>
          </w:tcPr>
          <w:p w14:paraId="0CA2FDA8"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2.73</w:t>
            </w:r>
          </w:p>
        </w:tc>
        <w:tc>
          <w:tcPr>
            <w:tcW w:w="248" w:type="pct"/>
            <w:shd w:val="clear" w:color="auto" w:fill="DADADA" w:themeFill="background2" w:themeFillShade="E6"/>
            <w:tcMar>
              <w:left w:w="105" w:type="dxa"/>
              <w:right w:w="105" w:type="dxa"/>
            </w:tcMar>
          </w:tcPr>
          <w:p w14:paraId="63E9E022"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2.94*</w:t>
            </w:r>
          </w:p>
        </w:tc>
      </w:tr>
      <w:tr w:rsidR="002B6683" w:rsidRPr="00DA2128" w14:paraId="5637F7EA" w14:textId="77777777" w:rsidTr="00B605CC">
        <w:trPr>
          <w:trHeight w:val="300"/>
        </w:trPr>
        <w:tc>
          <w:tcPr>
            <w:tcW w:w="376" w:type="pct"/>
            <w:tcMar>
              <w:left w:w="105" w:type="dxa"/>
              <w:right w:w="105" w:type="dxa"/>
            </w:tcMar>
          </w:tcPr>
          <w:p w14:paraId="5B37A8EC" w14:textId="77777777" w:rsidR="002B6683" w:rsidRPr="00DA2128" w:rsidRDefault="002B6683"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color w:val="000000" w:themeColor="text1"/>
                <w:sz w:val="18"/>
                <w:szCs w:val="18"/>
              </w:rPr>
              <w:t>10</w:t>
            </w:r>
          </w:p>
        </w:tc>
        <w:tc>
          <w:tcPr>
            <w:tcW w:w="275" w:type="pct"/>
            <w:shd w:val="clear" w:color="auto" w:fill="DADADA" w:themeFill="background2" w:themeFillShade="E6"/>
            <w:tcMar>
              <w:left w:w="105" w:type="dxa"/>
              <w:right w:w="105" w:type="dxa"/>
            </w:tcMar>
          </w:tcPr>
          <w:p w14:paraId="01585861" w14:textId="77777777" w:rsidR="002B6683" w:rsidRPr="00DA2128" w:rsidRDefault="002B6683"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color w:val="000000" w:themeColor="text1"/>
                <w:sz w:val="18"/>
                <w:szCs w:val="18"/>
              </w:rPr>
              <w:t>3</w:t>
            </w:r>
          </w:p>
        </w:tc>
        <w:tc>
          <w:tcPr>
            <w:tcW w:w="276" w:type="pct"/>
            <w:shd w:val="clear" w:color="auto" w:fill="DADADA" w:themeFill="background2" w:themeFillShade="E6"/>
            <w:tcMar>
              <w:left w:w="105" w:type="dxa"/>
              <w:right w:w="105" w:type="dxa"/>
            </w:tcMar>
          </w:tcPr>
          <w:p w14:paraId="35433145" w14:textId="77777777" w:rsidR="002B6683" w:rsidRPr="00DA2128" w:rsidRDefault="002B6683"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color w:val="000000" w:themeColor="text1"/>
                <w:sz w:val="18"/>
                <w:szCs w:val="18"/>
              </w:rPr>
              <w:t>2.56</w:t>
            </w:r>
          </w:p>
        </w:tc>
        <w:tc>
          <w:tcPr>
            <w:tcW w:w="254" w:type="pct"/>
            <w:tcMar>
              <w:left w:w="105" w:type="dxa"/>
              <w:right w:w="105" w:type="dxa"/>
            </w:tcMar>
          </w:tcPr>
          <w:p w14:paraId="6DC5E81A"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3.05</w:t>
            </w:r>
          </w:p>
        </w:tc>
        <w:tc>
          <w:tcPr>
            <w:tcW w:w="254" w:type="pct"/>
            <w:tcMar>
              <w:left w:w="105" w:type="dxa"/>
              <w:right w:w="105" w:type="dxa"/>
            </w:tcMar>
          </w:tcPr>
          <w:p w14:paraId="5C661016"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2.57</w:t>
            </w:r>
          </w:p>
        </w:tc>
        <w:tc>
          <w:tcPr>
            <w:tcW w:w="254" w:type="pct"/>
            <w:shd w:val="clear" w:color="auto" w:fill="DADADA" w:themeFill="background2" w:themeFillShade="E6"/>
            <w:tcMar>
              <w:left w:w="105" w:type="dxa"/>
              <w:right w:w="105" w:type="dxa"/>
            </w:tcMar>
          </w:tcPr>
          <w:p w14:paraId="52840E1B"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3.26</w:t>
            </w:r>
          </w:p>
        </w:tc>
        <w:tc>
          <w:tcPr>
            <w:tcW w:w="254" w:type="pct"/>
            <w:shd w:val="clear" w:color="auto" w:fill="DADADA" w:themeFill="background2" w:themeFillShade="E6"/>
            <w:tcMar>
              <w:left w:w="105" w:type="dxa"/>
              <w:right w:w="105" w:type="dxa"/>
            </w:tcMar>
          </w:tcPr>
          <w:p w14:paraId="2F1E1427"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2.26</w:t>
            </w:r>
          </w:p>
        </w:tc>
        <w:tc>
          <w:tcPr>
            <w:tcW w:w="254" w:type="pct"/>
            <w:tcMar>
              <w:left w:w="105" w:type="dxa"/>
              <w:right w:w="105" w:type="dxa"/>
            </w:tcMar>
          </w:tcPr>
          <w:p w14:paraId="2FF7D6B0"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3.03</w:t>
            </w:r>
          </w:p>
        </w:tc>
        <w:tc>
          <w:tcPr>
            <w:tcW w:w="254" w:type="pct"/>
            <w:tcMar>
              <w:left w:w="105" w:type="dxa"/>
              <w:right w:w="105" w:type="dxa"/>
            </w:tcMar>
          </w:tcPr>
          <w:p w14:paraId="51F3F275"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2.35</w:t>
            </w:r>
          </w:p>
        </w:tc>
        <w:tc>
          <w:tcPr>
            <w:tcW w:w="254" w:type="pct"/>
            <w:shd w:val="clear" w:color="auto" w:fill="DADADA" w:themeFill="background2" w:themeFillShade="E6"/>
            <w:tcMar>
              <w:left w:w="105" w:type="dxa"/>
              <w:right w:w="105" w:type="dxa"/>
            </w:tcMar>
          </w:tcPr>
          <w:p w14:paraId="16A94826"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2.61</w:t>
            </w:r>
          </w:p>
        </w:tc>
        <w:tc>
          <w:tcPr>
            <w:tcW w:w="254" w:type="pct"/>
            <w:shd w:val="clear" w:color="auto" w:fill="DADADA" w:themeFill="background2" w:themeFillShade="E6"/>
            <w:tcMar>
              <w:left w:w="105" w:type="dxa"/>
              <w:right w:w="105" w:type="dxa"/>
            </w:tcMar>
          </w:tcPr>
          <w:p w14:paraId="7741A4E1"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3.05</w:t>
            </w:r>
          </w:p>
        </w:tc>
        <w:tc>
          <w:tcPr>
            <w:tcW w:w="254" w:type="pct"/>
            <w:tcMar>
              <w:left w:w="105" w:type="dxa"/>
              <w:right w:w="105" w:type="dxa"/>
            </w:tcMar>
          </w:tcPr>
          <w:p w14:paraId="2C5F4C18"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3.39</w:t>
            </w:r>
          </w:p>
        </w:tc>
        <w:tc>
          <w:tcPr>
            <w:tcW w:w="254" w:type="pct"/>
            <w:tcMar>
              <w:left w:w="105" w:type="dxa"/>
              <w:right w:w="105" w:type="dxa"/>
            </w:tcMar>
          </w:tcPr>
          <w:p w14:paraId="5EF6EE0A"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2.68</w:t>
            </w:r>
          </w:p>
        </w:tc>
        <w:tc>
          <w:tcPr>
            <w:tcW w:w="262" w:type="pct"/>
            <w:shd w:val="clear" w:color="auto" w:fill="DADADA" w:themeFill="background2" w:themeFillShade="E6"/>
            <w:tcMar>
              <w:left w:w="105" w:type="dxa"/>
              <w:right w:w="105" w:type="dxa"/>
            </w:tcMar>
          </w:tcPr>
          <w:p w14:paraId="4216CDC0"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2.97</w:t>
            </w:r>
          </w:p>
        </w:tc>
        <w:tc>
          <w:tcPr>
            <w:tcW w:w="262" w:type="pct"/>
            <w:shd w:val="clear" w:color="auto" w:fill="DADADA" w:themeFill="background2" w:themeFillShade="E6"/>
            <w:tcMar>
              <w:left w:w="105" w:type="dxa"/>
              <w:right w:w="105" w:type="dxa"/>
            </w:tcMar>
          </w:tcPr>
          <w:p w14:paraId="7FE0099A"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2.89</w:t>
            </w:r>
          </w:p>
        </w:tc>
        <w:tc>
          <w:tcPr>
            <w:tcW w:w="254" w:type="pct"/>
            <w:tcMar>
              <w:left w:w="105" w:type="dxa"/>
              <w:right w:w="105" w:type="dxa"/>
            </w:tcMar>
          </w:tcPr>
          <w:p w14:paraId="50DD4464"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3.24</w:t>
            </w:r>
          </w:p>
        </w:tc>
        <w:tc>
          <w:tcPr>
            <w:tcW w:w="254" w:type="pct"/>
            <w:tcMar>
              <w:left w:w="105" w:type="dxa"/>
              <w:right w:w="105" w:type="dxa"/>
            </w:tcMar>
          </w:tcPr>
          <w:p w14:paraId="53959C73"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2.5</w:t>
            </w:r>
          </w:p>
        </w:tc>
        <w:tc>
          <w:tcPr>
            <w:tcW w:w="251" w:type="pct"/>
            <w:shd w:val="clear" w:color="auto" w:fill="DADADA" w:themeFill="background2" w:themeFillShade="E6"/>
            <w:tcMar>
              <w:left w:w="105" w:type="dxa"/>
              <w:right w:w="105" w:type="dxa"/>
            </w:tcMar>
          </w:tcPr>
          <w:p w14:paraId="2D9FC5BD"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2.84</w:t>
            </w:r>
          </w:p>
        </w:tc>
        <w:tc>
          <w:tcPr>
            <w:tcW w:w="248" w:type="pct"/>
            <w:shd w:val="clear" w:color="auto" w:fill="DADADA" w:themeFill="background2" w:themeFillShade="E6"/>
            <w:tcMar>
              <w:left w:w="105" w:type="dxa"/>
              <w:right w:w="105" w:type="dxa"/>
            </w:tcMar>
          </w:tcPr>
          <w:p w14:paraId="6571B4F5"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2.26</w:t>
            </w:r>
          </w:p>
        </w:tc>
      </w:tr>
      <w:tr w:rsidR="002B6683" w:rsidRPr="00DA2128" w14:paraId="11203242" w14:textId="77777777" w:rsidTr="00B605CC">
        <w:trPr>
          <w:trHeight w:val="300"/>
        </w:trPr>
        <w:tc>
          <w:tcPr>
            <w:tcW w:w="376" w:type="pct"/>
            <w:tcMar>
              <w:left w:w="105" w:type="dxa"/>
              <w:right w:w="105" w:type="dxa"/>
            </w:tcMar>
          </w:tcPr>
          <w:p w14:paraId="3C2EAED7" w14:textId="77777777" w:rsidR="002B6683" w:rsidRPr="00DA2128" w:rsidRDefault="002B6683"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color w:val="000000" w:themeColor="text1"/>
                <w:sz w:val="18"/>
                <w:szCs w:val="18"/>
              </w:rPr>
              <w:t>36</w:t>
            </w:r>
          </w:p>
        </w:tc>
        <w:tc>
          <w:tcPr>
            <w:tcW w:w="275" w:type="pct"/>
            <w:shd w:val="clear" w:color="auto" w:fill="DADADA" w:themeFill="background2" w:themeFillShade="E6"/>
            <w:tcMar>
              <w:left w:w="105" w:type="dxa"/>
              <w:right w:w="105" w:type="dxa"/>
            </w:tcMar>
          </w:tcPr>
          <w:p w14:paraId="65F637FC" w14:textId="77777777" w:rsidR="002B6683" w:rsidRPr="00DA2128" w:rsidRDefault="002B6683"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color w:val="000000" w:themeColor="text1"/>
                <w:sz w:val="18"/>
                <w:szCs w:val="18"/>
              </w:rPr>
              <w:t>2.89</w:t>
            </w:r>
          </w:p>
        </w:tc>
        <w:tc>
          <w:tcPr>
            <w:tcW w:w="276" w:type="pct"/>
            <w:shd w:val="clear" w:color="auto" w:fill="DADADA" w:themeFill="background2" w:themeFillShade="E6"/>
            <w:tcMar>
              <w:left w:w="105" w:type="dxa"/>
              <w:right w:w="105" w:type="dxa"/>
            </w:tcMar>
          </w:tcPr>
          <w:p w14:paraId="31CE9C22" w14:textId="77777777" w:rsidR="002B6683" w:rsidRPr="00DA2128" w:rsidRDefault="002B6683"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color w:val="000000" w:themeColor="text1"/>
                <w:sz w:val="18"/>
                <w:szCs w:val="18"/>
              </w:rPr>
              <w:t>2.49</w:t>
            </w:r>
          </w:p>
        </w:tc>
        <w:tc>
          <w:tcPr>
            <w:tcW w:w="254" w:type="pct"/>
            <w:tcMar>
              <w:left w:w="105" w:type="dxa"/>
              <w:right w:w="105" w:type="dxa"/>
            </w:tcMar>
          </w:tcPr>
          <w:p w14:paraId="5E48992B"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2.97</w:t>
            </w:r>
          </w:p>
        </w:tc>
        <w:tc>
          <w:tcPr>
            <w:tcW w:w="254" w:type="pct"/>
            <w:tcMar>
              <w:left w:w="105" w:type="dxa"/>
              <w:right w:w="105" w:type="dxa"/>
            </w:tcMar>
          </w:tcPr>
          <w:p w14:paraId="2228F824"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2.6</w:t>
            </w:r>
          </w:p>
        </w:tc>
        <w:tc>
          <w:tcPr>
            <w:tcW w:w="254" w:type="pct"/>
            <w:shd w:val="clear" w:color="auto" w:fill="DADADA" w:themeFill="background2" w:themeFillShade="E6"/>
            <w:tcMar>
              <w:left w:w="105" w:type="dxa"/>
              <w:right w:w="105" w:type="dxa"/>
            </w:tcMar>
          </w:tcPr>
          <w:p w14:paraId="18C437AD"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3.24</w:t>
            </w:r>
          </w:p>
        </w:tc>
        <w:tc>
          <w:tcPr>
            <w:tcW w:w="254" w:type="pct"/>
            <w:shd w:val="clear" w:color="auto" w:fill="DADADA" w:themeFill="background2" w:themeFillShade="E6"/>
            <w:tcMar>
              <w:left w:w="105" w:type="dxa"/>
              <w:right w:w="105" w:type="dxa"/>
            </w:tcMar>
          </w:tcPr>
          <w:p w14:paraId="3A989CF9"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2.49</w:t>
            </w:r>
          </w:p>
        </w:tc>
        <w:tc>
          <w:tcPr>
            <w:tcW w:w="254" w:type="pct"/>
            <w:tcMar>
              <w:left w:w="105" w:type="dxa"/>
              <w:right w:w="105" w:type="dxa"/>
            </w:tcMar>
          </w:tcPr>
          <w:p w14:paraId="0BCACDFC"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2.95</w:t>
            </w:r>
          </w:p>
        </w:tc>
        <w:tc>
          <w:tcPr>
            <w:tcW w:w="254" w:type="pct"/>
            <w:tcMar>
              <w:left w:w="105" w:type="dxa"/>
              <w:right w:w="105" w:type="dxa"/>
            </w:tcMar>
          </w:tcPr>
          <w:p w14:paraId="7E4CE1A2"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2.46</w:t>
            </w:r>
          </w:p>
        </w:tc>
        <w:tc>
          <w:tcPr>
            <w:tcW w:w="254" w:type="pct"/>
            <w:shd w:val="clear" w:color="auto" w:fill="DADADA" w:themeFill="background2" w:themeFillShade="E6"/>
            <w:tcMar>
              <w:left w:w="105" w:type="dxa"/>
              <w:right w:w="105" w:type="dxa"/>
            </w:tcMar>
          </w:tcPr>
          <w:p w14:paraId="667900AE"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3.11</w:t>
            </w:r>
          </w:p>
        </w:tc>
        <w:tc>
          <w:tcPr>
            <w:tcW w:w="254" w:type="pct"/>
            <w:shd w:val="clear" w:color="auto" w:fill="DADADA" w:themeFill="background2" w:themeFillShade="E6"/>
            <w:tcMar>
              <w:left w:w="105" w:type="dxa"/>
              <w:right w:w="105" w:type="dxa"/>
            </w:tcMar>
          </w:tcPr>
          <w:p w14:paraId="4B1C04BA"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w:t>
            </w:r>
          </w:p>
        </w:tc>
        <w:tc>
          <w:tcPr>
            <w:tcW w:w="254" w:type="pct"/>
            <w:tcMar>
              <w:left w:w="105" w:type="dxa"/>
              <w:right w:w="105" w:type="dxa"/>
            </w:tcMar>
          </w:tcPr>
          <w:p w14:paraId="0CEE3488"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3.18</w:t>
            </w:r>
          </w:p>
        </w:tc>
        <w:tc>
          <w:tcPr>
            <w:tcW w:w="254" w:type="pct"/>
            <w:tcMar>
              <w:left w:w="105" w:type="dxa"/>
              <w:right w:w="105" w:type="dxa"/>
            </w:tcMar>
          </w:tcPr>
          <w:p w14:paraId="2961FA88"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2.83</w:t>
            </w:r>
          </w:p>
        </w:tc>
        <w:tc>
          <w:tcPr>
            <w:tcW w:w="262" w:type="pct"/>
            <w:shd w:val="clear" w:color="auto" w:fill="DADADA" w:themeFill="background2" w:themeFillShade="E6"/>
            <w:tcMar>
              <w:left w:w="105" w:type="dxa"/>
              <w:right w:w="105" w:type="dxa"/>
            </w:tcMar>
          </w:tcPr>
          <w:p w14:paraId="2ED504EE"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w:t>
            </w:r>
          </w:p>
        </w:tc>
        <w:tc>
          <w:tcPr>
            <w:tcW w:w="262" w:type="pct"/>
            <w:shd w:val="clear" w:color="auto" w:fill="DADADA" w:themeFill="background2" w:themeFillShade="E6"/>
            <w:tcMar>
              <w:left w:w="105" w:type="dxa"/>
              <w:right w:w="105" w:type="dxa"/>
            </w:tcMar>
          </w:tcPr>
          <w:p w14:paraId="3D2AE9EA"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2.69</w:t>
            </w:r>
          </w:p>
        </w:tc>
        <w:tc>
          <w:tcPr>
            <w:tcW w:w="254" w:type="pct"/>
            <w:tcMar>
              <w:left w:w="105" w:type="dxa"/>
              <w:right w:w="105" w:type="dxa"/>
            </w:tcMar>
          </w:tcPr>
          <w:p w14:paraId="325C8C7A"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3.12</w:t>
            </w:r>
          </w:p>
        </w:tc>
        <w:tc>
          <w:tcPr>
            <w:tcW w:w="254" w:type="pct"/>
            <w:tcMar>
              <w:left w:w="105" w:type="dxa"/>
              <w:right w:w="105" w:type="dxa"/>
            </w:tcMar>
          </w:tcPr>
          <w:p w14:paraId="2385EF53"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2.85</w:t>
            </w:r>
          </w:p>
        </w:tc>
        <w:tc>
          <w:tcPr>
            <w:tcW w:w="251" w:type="pct"/>
            <w:shd w:val="clear" w:color="auto" w:fill="DADADA" w:themeFill="background2" w:themeFillShade="E6"/>
            <w:tcMar>
              <w:left w:w="105" w:type="dxa"/>
              <w:right w:w="105" w:type="dxa"/>
            </w:tcMar>
          </w:tcPr>
          <w:p w14:paraId="643B162C"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2.51</w:t>
            </w:r>
          </w:p>
        </w:tc>
        <w:tc>
          <w:tcPr>
            <w:tcW w:w="248" w:type="pct"/>
            <w:shd w:val="clear" w:color="auto" w:fill="DADADA" w:themeFill="background2" w:themeFillShade="E6"/>
            <w:tcMar>
              <w:left w:w="105" w:type="dxa"/>
              <w:right w:w="105" w:type="dxa"/>
            </w:tcMar>
          </w:tcPr>
          <w:p w14:paraId="49CE79B7"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2.37</w:t>
            </w:r>
          </w:p>
        </w:tc>
      </w:tr>
      <w:tr w:rsidR="002B6683" w:rsidRPr="00DA2128" w14:paraId="23E22256" w14:textId="77777777" w:rsidTr="00B605CC">
        <w:trPr>
          <w:trHeight w:val="300"/>
        </w:trPr>
        <w:tc>
          <w:tcPr>
            <w:tcW w:w="376" w:type="pct"/>
            <w:tcMar>
              <w:left w:w="105" w:type="dxa"/>
              <w:right w:w="105" w:type="dxa"/>
            </w:tcMar>
          </w:tcPr>
          <w:p w14:paraId="1B34BA1D" w14:textId="77777777" w:rsidR="002B6683" w:rsidRPr="00DA2128" w:rsidRDefault="002B6683"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color w:val="000000" w:themeColor="text1"/>
                <w:sz w:val="18"/>
                <w:szCs w:val="18"/>
              </w:rPr>
              <w:t>41</w:t>
            </w:r>
          </w:p>
        </w:tc>
        <w:tc>
          <w:tcPr>
            <w:tcW w:w="275" w:type="pct"/>
            <w:shd w:val="clear" w:color="auto" w:fill="DADADA" w:themeFill="background2" w:themeFillShade="E6"/>
            <w:tcMar>
              <w:left w:w="105" w:type="dxa"/>
              <w:right w:w="105" w:type="dxa"/>
            </w:tcMar>
          </w:tcPr>
          <w:p w14:paraId="50D49D7C" w14:textId="77777777" w:rsidR="002B6683" w:rsidRPr="00DA2128" w:rsidRDefault="002B6683"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color w:val="000000" w:themeColor="text1"/>
                <w:sz w:val="18"/>
                <w:szCs w:val="18"/>
              </w:rPr>
              <w:t>2.89</w:t>
            </w:r>
          </w:p>
        </w:tc>
        <w:tc>
          <w:tcPr>
            <w:tcW w:w="276" w:type="pct"/>
            <w:shd w:val="clear" w:color="auto" w:fill="DADADA" w:themeFill="background2" w:themeFillShade="E6"/>
            <w:tcMar>
              <w:left w:w="105" w:type="dxa"/>
              <w:right w:w="105" w:type="dxa"/>
            </w:tcMar>
          </w:tcPr>
          <w:p w14:paraId="07AA8BAC" w14:textId="77777777" w:rsidR="002B6683" w:rsidRPr="00DA2128" w:rsidRDefault="002B6683"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color w:val="000000" w:themeColor="text1"/>
                <w:sz w:val="18"/>
                <w:szCs w:val="18"/>
              </w:rPr>
              <w:t>2.72</w:t>
            </w:r>
          </w:p>
        </w:tc>
        <w:tc>
          <w:tcPr>
            <w:tcW w:w="254" w:type="pct"/>
            <w:tcMar>
              <w:left w:w="105" w:type="dxa"/>
              <w:right w:w="105" w:type="dxa"/>
            </w:tcMar>
          </w:tcPr>
          <w:p w14:paraId="34BCEEFF"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2.78</w:t>
            </w:r>
          </w:p>
        </w:tc>
        <w:tc>
          <w:tcPr>
            <w:tcW w:w="254" w:type="pct"/>
            <w:tcMar>
              <w:left w:w="105" w:type="dxa"/>
              <w:right w:w="105" w:type="dxa"/>
            </w:tcMar>
          </w:tcPr>
          <w:p w14:paraId="4F29783D"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2.71</w:t>
            </w:r>
          </w:p>
        </w:tc>
        <w:tc>
          <w:tcPr>
            <w:tcW w:w="254" w:type="pct"/>
            <w:shd w:val="clear" w:color="auto" w:fill="DADADA" w:themeFill="background2" w:themeFillShade="E6"/>
            <w:tcMar>
              <w:left w:w="105" w:type="dxa"/>
              <w:right w:w="105" w:type="dxa"/>
            </w:tcMar>
          </w:tcPr>
          <w:p w14:paraId="04F6A091"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2.83</w:t>
            </w:r>
          </w:p>
        </w:tc>
        <w:tc>
          <w:tcPr>
            <w:tcW w:w="254" w:type="pct"/>
            <w:shd w:val="clear" w:color="auto" w:fill="DADADA" w:themeFill="background2" w:themeFillShade="E6"/>
            <w:tcMar>
              <w:left w:w="105" w:type="dxa"/>
              <w:right w:w="105" w:type="dxa"/>
            </w:tcMar>
          </w:tcPr>
          <w:p w14:paraId="047A9D71"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2.42</w:t>
            </w:r>
          </w:p>
        </w:tc>
        <w:tc>
          <w:tcPr>
            <w:tcW w:w="254" w:type="pct"/>
            <w:tcMar>
              <w:left w:w="105" w:type="dxa"/>
              <w:right w:w="105" w:type="dxa"/>
            </w:tcMar>
          </w:tcPr>
          <w:p w14:paraId="6EF6A574"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2.54</w:t>
            </w:r>
          </w:p>
        </w:tc>
        <w:tc>
          <w:tcPr>
            <w:tcW w:w="254" w:type="pct"/>
            <w:tcMar>
              <w:left w:w="105" w:type="dxa"/>
              <w:right w:w="105" w:type="dxa"/>
            </w:tcMar>
          </w:tcPr>
          <w:p w14:paraId="07365632"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2.57</w:t>
            </w:r>
          </w:p>
        </w:tc>
        <w:tc>
          <w:tcPr>
            <w:tcW w:w="254" w:type="pct"/>
            <w:shd w:val="clear" w:color="auto" w:fill="DADADA" w:themeFill="background2" w:themeFillShade="E6"/>
            <w:tcMar>
              <w:left w:w="105" w:type="dxa"/>
              <w:right w:w="105" w:type="dxa"/>
            </w:tcMar>
          </w:tcPr>
          <w:p w14:paraId="4A9563CD"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3.13</w:t>
            </w:r>
          </w:p>
        </w:tc>
        <w:tc>
          <w:tcPr>
            <w:tcW w:w="254" w:type="pct"/>
            <w:shd w:val="clear" w:color="auto" w:fill="DADADA" w:themeFill="background2" w:themeFillShade="E6"/>
            <w:tcMar>
              <w:left w:w="105" w:type="dxa"/>
              <w:right w:w="105" w:type="dxa"/>
            </w:tcMar>
          </w:tcPr>
          <w:p w14:paraId="60228CAF"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2.89</w:t>
            </w:r>
          </w:p>
        </w:tc>
        <w:tc>
          <w:tcPr>
            <w:tcW w:w="254" w:type="pct"/>
            <w:tcMar>
              <w:left w:w="105" w:type="dxa"/>
              <w:right w:w="105" w:type="dxa"/>
            </w:tcMar>
          </w:tcPr>
          <w:p w14:paraId="287BEDEB"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3.16</w:t>
            </w:r>
          </w:p>
        </w:tc>
        <w:tc>
          <w:tcPr>
            <w:tcW w:w="254" w:type="pct"/>
            <w:tcMar>
              <w:left w:w="105" w:type="dxa"/>
              <w:right w:w="105" w:type="dxa"/>
            </w:tcMar>
          </w:tcPr>
          <w:p w14:paraId="356309C4"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2.97</w:t>
            </w:r>
          </w:p>
        </w:tc>
        <w:tc>
          <w:tcPr>
            <w:tcW w:w="262" w:type="pct"/>
            <w:shd w:val="clear" w:color="auto" w:fill="DADADA" w:themeFill="background2" w:themeFillShade="E6"/>
            <w:tcMar>
              <w:left w:w="105" w:type="dxa"/>
              <w:right w:w="105" w:type="dxa"/>
            </w:tcMar>
          </w:tcPr>
          <w:p w14:paraId="337A834A"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3.11</w:t>
            </w:r>
          </w:p>
        </w:tc>
        <w:tc>
          <w:tcPr>
            <w:tcW w:w="262" w:type="pct"/>
            <w:shd w:val="clear" w:color="auto" w:fill="DADADA" w:themeFill="background2" w:themeFillShade="E6"/>
            <w:tcMar>
              <w:left w:w="105" w:type="dxa"/>
              <w:right w:w="105" w:type="dxa"/>
            </w:tcMar>
          </w:tcPr>
          <w:p w14:paraId="7E0B749D"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3.03</w:t>
            </w:r>
          </w:p>
        </w:tc>
        <w:tc>
          <w:tcPr>
            <w:tcW w:w="254" w:type="pct"/>
            <w:tcMar>
              <w:left w:w="105" w:type="dxa"/>
              <w:right w:w="105" w:type="dxa"/>
            </w:tcMar>
          </w:tcPr>
          <w:p w14:paraId="188596DC"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3.02</w:t>
            </w:r>
          </w:p>
        </w:tc>
        <w:tc>
          <w:tcPr>
            <w:tcW w:w="254" w:type="pct"/>
            <w:tcMar>
              <w:left w:w="105" w:type="dxa"/>
              <w:right w:w="105" w:type="dxa"/>
            </w:tcMar>
          </w:tcPr>
          <w:p w14:paraId="57F93815"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2.94</w:t>
            </w:r>
          </w:p>
        </w:tc>
        <w:tc>
          <w:tcPr>
            <w:tcW w:w="251" w:type="pct"/>
            <w:shd w:val="clear" w:color="auto" w:fill="DADADA" w:themeFill="background2" w:themeFillShade="E6"/>
            <w:tcMar>
              <w:left w:w="105" w:type="dxa"/>
              <w:right w:w="105" w:type="dxa"/>
            </w:tcMar>
          </w:tcPr>
          <w:p w14:paraId="0EE96662"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2.68</w:t>
            </w:r>
          </w:p>
        </w:tc>
        <w:tc>
          <w:tcPr>
            <w:tcW w:w="248" w:type="pct"/>
            <w:shd w:val="clear" w:color="auto" w:fill="DADADA" w:themeFill="background2" w:themeFillShade="E6"/>
            <w:tcMar>
              <w:left w:w="105" w:type="dxa"/>
              <w:right w:w="105" w:type="dxa"/>
            </w:tcMar>
          </w:tcPr>
          <w:p w14:paraId="2B096E88"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2.54</w:t>
            </w:r>
          </w:p>
        </w:tc>
      </w:tr>
      <w:tr w:rsidR="002B6683" w:rsidRPr="00DA2128" w14:paraId="07868EB7" w14:textId="77777777" w:rsidTr="00B605CC">
        <w:trPr>
          <w:trHeight w:val="300"/>
        </w:trPr>
        <w:tc>
          <w:tcPr>
            <w:tcW w:w="376" w:type="pct"/>
            <w:tcMar>
              <w:left w:w="105" w:type="dxa"/>
              <w:right w:w="105" w:type="dxa"/>
            </w:tcMar>
          </w:tcPr>
          <w:p w14:paraId="354C094C" w14:textId="77777777" w:rsidR="002B6683" w:rsidRPr="00DA2128" w:rsidRDefault="002B6683"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color w:val="000000" w:themeColor="text1"/>
                <w:sz w:val="18"/>
                <w:szCs w:val="18"/>
              </w:rPr>
              <w:t>45</w:t>
            </w:r>
          </w:p>
        </w:tc>
        <w:tc>
          <w:tcPr>
            <w:tcW w:w="275" w:type="pct"/>
            <w:shd w:val="clear" w:color="auto" w:fill="DADADA" w:themeFill="background2" w:themeFillShade="E6"/>
            <w:tcMar>
              <w:left w:w="105" w:type="dxa"/>
              <w:right w:w="105" w:type="dxa"/>
            </w:tcMar>
          </w:tcPr>
          <w:p w14:paraId="410D6A19" w14:textId="77777777" w:rsidR="002B6683" w:rsidRPr="00DA2128" w:rsidRDefault="002B6683"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color w:val="000000" w:themeColor="text1"/>
                <w:sz w:val="18"/>
                <w:szCs w:val="18"/>
              </w:rPr>
              <w:t>2.5</w:t>
            </w:r>
          </w:p>
        </w:tc>
        <w:tc>
          <w:tcPr>
            <w:tcW w:w="276" w:type="pct"/>
            <w:shd w:val="clear" w:color="auto" w:fill="DADADA" w:themeFill="background2" w:themeFillShade="E6"/>
            <w:tcMar>
              <w:left w:w="105" w:type="dxa"/>
              <w:right w:w="105" w:type="dxa"/>
            </w:tcMar>
          </w:tcPr>
          <w:p w14:paraId="3AAC117B" w14:textId="77777777" w:rsidR="002B6683" w:rsidRPr="00DA2128" w:rsidRDefault="002B6683"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color w:val="000000" w:themeColor="text1"/>
                <w:sz w:val="18"/>
                <w:szCs w:val="18"/>
              </w:rPr>
              <w:t>3.08</w:t>
            </w:r>
          </w:p>
        </w:tc>
        <w:tc>
          <w:tcPr>
            <w:tcW w:w="254" w:type="pct"/>
            <w:tcMar>
              <w:left w:w="105" w:type="dxa"/>
              <w:right w:w="105" w:type="dxa"/>
            </w:tcMar>
          </w:tcPr>
          <w:p w14:paraId="762771B3"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2.68</w:t>
            </w:r>
          </w:p>
        </w:tc>
        <w:tc>
          <w:tcPr>
            <w:tcW w:w="254" w:type="pct"/>
            <w:tcMar>
              <w:left w:w="105" w:type="dxa"/>
              <w:right w:w="105" w:type="dxa"/>
            </w:tcMar>
          </w:tcPr>
          <w:p w14:paraId="6241CDF2"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2.69</w:t>
            </w:r>
          </w:p>
        </w:tc>
        <w:tc>
          <w:tcPr>
            <w:tcW w:w="254" w:type="pct"/>
            <w:shd w:val="clear" w:color="auto" w:fill="DADADA" w:themeFill="background2" w:themeFillShade="E6"/>
            <w:tcMar>
              <w:left w:w="105" w:type="dxa"/>
              <w:right w:w="105" w:type="dxa"/>
            </w:tcMar>
          </w:tcPr>
          <w:p w14:paraId="1186A8BD"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2.68</w:t>
            </w:r>
          </w:p>
        </w:tc>
        <w:tc>
          <w:tcPr>
            <w:tcW w:w="254" w:type="pct"/>
            <w:shd w:val="clear" w:color="auto" w:fill="DADADA" w:themeFill="background2" w:themeFillShade="E6"/>
            <w:tcMar>
              <w:left w:w="105" w:type="dxa"/>
              <w:right w:w="105" w:type="dxa"/>
            </w:tcMar>
          </w:tcPr>
          <w:p w14:paraId="76041CBE"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2.52</w:t>
            </w:r>
          </w:p>
        </w:tc>
        <w:tc>
          <w:tcPr>
            <w:tcW w:w="254" w:type="pct"/>
            <w:tcMar>
              <w:left w:w="105" w:type="dxa"/>
              <w:right w:w="105" w:type="dxa"/>
            </w:tcMar>
          </w:tcPr>
          <w:p w14:paraId="16CFAD2C"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2.62</w:t>
            </w:r>
          </w:p>
        </w:tc>
        <w:tc>
          <w:tcPr>
            <w:tcW w:w="254" w:type="pct"/>
            <w:tcMar>
              <w:left w:w="105" w:type="dxa"/>
              <w:right w:w="105" w:type="dxa"/>
            </w:tcMar>
          </w:tcPr>
          <w:p w14:paraId="3833261C"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2.81</w:t>
            </w:r>
          </w:p>
        </w:tc>
        <w:tc>
          <w:tcPr>
            <w:tcW w:w="254" w:type="pct"/>
            <w:shd w:val="clear" w:color="auto" w:fill="DADADA" w:themeFill="background2" w:themeFillShade="E6"/>
            <w:tcMar>
              <w:left w:w="105" w:type="dxa"/>
              <w:right w:w="105" w:type="dxa"/>
            </w:tcMar>
          </w:tcPr>
          <w:p w14:paraId="1D49D1B2"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3.11</w:t>
            </w:r>
          </w:p>
        </w:tc>
        <w:tc>
          <w:tcPr>
            <w:tcW w:w="254" w:type="pct"/>
            <w:shd w:val="clear" w:color="auto" w:fill="DADADA" w:themeFill="background2" w:themeFillShade="E6"/>
            <w:tcMar>
              <w:left w:w="105" w:type="dxa"/>
              <w:right w:w="105" w:type="dxa"/>
            </w:tcMar>
          </w:tcPr>
          <w:p w14:paraId="33FE651E"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2.95</w:t>
            </w:r>
          </w:p>
        </w:tc>
        <w:tc>
          <w:tcPr>
            <w:tcW w:w="254" w:type="pct"/>
            <w:tcMar>
              <w:left w:w="105" w:type="dxa"/>
              <w:right w:w="105" w:type="dxa"/>
            </w:tcMar>
          </w:tcPr>
          <w:p w14:paraId="417A065E"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2.71</w:t>
            </w:r>
          </w:p>
        </w:tc>
        <w:tc>
          <w:tcPr>
            <w:tcW w:w="254" w:type="pct"/>
            <w:tcMar>
              <w:left w:w="105" w:type="dxa"/>
              <w:right w:w="105" w:type="dxa"/>
            </w:tcMar>
          </w:tcPr>
          <w:p w14:paraId="01530F28"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2.62</w:t>
            </w:r>
          </w:p>
        </w:tc>
        <w:tc>
          <w:tcPr>
            <w:tcW w:w="262" w:type="pct"/>
            <w:shd w:val="clear" w:color="auto" w:fill="DADADA" w:themeFill="background2" w:themeFillShade="E6"/>
            <w:tcMar>
              <w:left w:w="105" w:type="dxa"/>
              <w:right w:w="105" w:type="dxa"/>
            </w:tcMar>
          </w:tcPr>
          <w:p w14:paraId="6A791E30"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2.69</w:t>
            </w:r>
          </w:p>
        </w:tc>
        <w:tc>
          <w:tcPr>
            <w:tcW w:w="262" w:type="pct"/>
            <w:shd w:val="clear" w:color="auto" w:fill="DADADA" w:themeFill="background2" w:themeFillShade="E6"/>
            <w:tcMar>
              <w:left w:w="105" w:type="dxa"/>
              <w:right w:w="105" w:type="dxa"/>
            </w:tcMar>
          </w:tcPr>
          <w:p w14:paraId="4387FB2B"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2.86</w:t>
            </w:r>
          </w:p>
        </w:tc>
        <w:tc>
          <w:tcPr>
            <w:tcW w:w="254" w:type="pct"/>
            <w:tcMar>
              <w:left w:w="105" w:type="dxa"/>
              <w:right w:w="105" w:type="dxa"/>
            </w:tcMar>
          </w:tcPr>
          <w:p w14:paraId="52BB7CDB"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2.59</w:t>
            </w:r>
          </w:p>
        </w:tc>
        <w:tc>
          <w:tcPr>
            <w:tcW w:w="254" w:type="pct"/>
            <w:tcMar>
              <w:left w:w="105" w:type="dxa"/>
              <w:right w:w="105" w:type="dxa"/>
            </w:tcMar>
          </w:tcPr>
          <w:p w14:paraId="7DB1CE66"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2.77</w:t>
            </w:r>
          </w:p>
        </w:tc>
        <w:tc>
          <w:tcPr>
            <w:tcW w:w="251" w:type="pct"/>
            <w:shd w:val="clear" w:color="auto" w:fill="DADADA" w:themeFill="background2" w:themeFillShade="E6"/>
            <w:tcMar>
              <w:left w:w="105" w:type="dxa"/>
              <w:right w:w="105" w:type="dxa"/>
            </w:tcMar>
          </w:tcPr>
          <w:p w14:paraId="29480E06"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2.03</w:t>
            </w:r>
          </w:p>
        </w:tc>
        <w:tc>
          <w:tcPr>
            <w:tcW w:w="248" w:type="pct"/>
            <w:shd w:val="clear" w:color="auto" w:fill="DADADA" w:themeFill="background2" w:themeFillShade="E6"/>
            <w:tcMar>
              <w:left w:w="105" w:type="dxa"/>
              <w:right w:w="105" w:type="dxa"/>
            </w:tcMar>
          </w:tcPr>
          <w:p w14:paraId="4C4ED678"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2.34</w:t>
            </w:r>
          </w:p>
        </w:tc>
      </w:tr>
      <w:tr w:rsidR="002B6683" w:rsidRPr="00DA2128" w14:paraId="307F47D4" w14:textId="77777777" w:rsidTr="00B605CC">
        <w:trPr>
          <w:trHeight w:val="300"/>
        </w:trPr>
        <w:tc>
          <w:tcPr>
            <w:tcW w:w="376" w:type="pct"/>
            <w:tcMar>
              <w:left w:w="105" w:type="dxa"/>
              <w:right w:w="105" w:type="dxa"/>
            </w:tcMar>
          </w:tcPr>
          <w:p w14:paraId="501DC325" w14:textId="77777777" w:rsidR="002B6683" w:rsidRPr="00DA2128" w:rsidRDefault="002B6683"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color w:val="000000" w:themeColor="text1"/>
                <w:sz w:val="18"/>
                <w:szCs w:val="18"/>
              </w:rPr>
              <w:t>57</w:t>
            </w:r>
          </w:p>
        </w:tc>
        <w:tc>
          <w:tcPr>
            <w:tcW w:w="275" w:type="pct"/>
            <w:shd w:val="clear" w:color="auto" w:fill="DADADA" w:themeFill="background2" w:themeFillShade="E6"/>
            <w:tcMar>
              <w:left w:w="105" w:type="dxa"/>
              <w:right w:w="105" w:type="dxa"/>
            </w:tcMar>
          </w:tcPr>
          <w:p w14:paraId="20D432EB" w14:textId="77777777" w:rsidR="002B6683" w:rsidRPr="00DA2128" w:rsidRDefault="002B6683"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color w:val="000000" w:themeColor="text1"/>
                <w:sz w:val="18"/>
                <w:szCs w:val="18"/>
              </w:rPr>
              <w:t>2.75</w:t>
            </w:r>
          </w:p>
        </w:tc>
        <w:tc>
          <w:tcPr>
            <w:tcW w:w="276" w:type="pct"/>
            <w:shd w:val="clear" w:color="auto" w:fill="DADADA" w:themeFill="background2" w:themeFillShade="E6"/>
            <w:tcMar>
              <w:left w:w="105" w:type="dxa"/>
              <w:right w:w="105" w:type="dxa"/>
            </w:tcMar>
          </w:tcPr>
          <w:p w14:paraId="07B217FF" w14:textId="77777777" w:rsidR="002B6683" w:rsidRPr="00DA2128" w:rsidRDefault="002B6683"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color w:val="000000" w:themeColor="text1"/>
                <w:sz w:val="18"/>
                <w:szCs w:val="18"/>
              </w:rPr>
              <w:t>2.97</w:t>
            </w:r>
          </w:p>
        </w:tc>
        <w:tc>
          <w:tcPr>
            <w:tcW w:w="254" w:type="pct"/>
            <w:tcMar>
              <w:left w:w="105" w:type="dxa"/>
              <w:right w:w="105" w:type="dxa"/>
            </w:tcMar>
          </w:tcPr>
          <w:p w14:paraId="564F5512"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2.95</w:t>
            </w:r>
          </w:p>
        </w:tc>
        <w:tc>
          <w:tcPr>
            <w:tcW w:w="254" w:type="pct"/>
            <w:tcMar>
              <w:left w:w="105" w:type="dxa"/>
              <w:right w:w="105" w:type="dxa"/>
            </w:tcMar>
          </w:tcPr>
          <w:p w14:paraId="3C7F7FA9"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2.86</w:t>
            </w:r>
          </w:p>
        </w:tc>
        <w:tc>
          <w:tcPr>
            <w:tcW w:w="254" w:type="pct"/>
            <w:shd w:val="clear" w:color="auto" w:fill="DADADA" w:themeFill="background2" w:themeFillShade="E6"/>
            <w:tcMar>
              <w:left w:w="105" w:type="dxa"/>
              <w:right w:w="105" w:type="dxa"/>
            </w:tcMar>
          </w:tcPr>
          <w:p w14:paraId="0251545C"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3.03</w:t>
            </w:r>
          </w:p>
        </w:tc>
        <w:tc>
          <w:tcPr>
            <w:tcW w:w="254" w:type="pct"/>
            <w:shd w:val="clear" w:color="auto" w:fill="DADADA" w:themeFill="background2" w:themeFillShade="E6"/>
            <w:tcMar>
              <w:left w:w="105" w:type="dxa"/>
              <w:right w:w="105" w:type="dxa"/>
            </w:tcMar>
          </w:tcPr>
          <w:p w14:paraId="051DF85C"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3.03*</w:t>
            </w:r>
          </w:p>
        </w:tc>
        <w:tc>
          <w:tcPr>
            <w:tcW w:w="254" w:type="pct"/>
            <w:tcMar>
              <w:left w:w="105" w:type="dxa"/>
              <w:right w:w="105" w:type="dxa"/>
            </w:tcMar>
          </w:tcPr>
          <w:p w14:paraId="69CD97F8"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2.95</w:t>
            </w:r>
          </w:p>
        </w:tc>
        <w:tc>
          <w:tcPr>
            <w:tcW w:w="254" w:type="pct"/>
            <w:tcMar>
              <w:left w:w="105" w:type="dxa"/>
              <w:right w:w="105" w:type="dxa"/>
            </w:tcMar>
          </w:tcPr>
          <w:p w14:paraId="0F4BFEEC"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3.03*</w:t>
            </w:r>
          </w:p>
        </w:tc>
        <w:tc>
          <w:tcPr>
            <w:tcW w:w="254" w:type="pct"/>
            <w:shd w:val="clear" w:color="auto" w:fill="DADADA" w:themeFill="background2" w:themeFillShade="E6"/>
            <w:tcMar>
              <w:left w:w="105" w:type="dxa"/>
              <w:right w:w="105" w:type="dxa"/>
            </w:tcMar>
          </w:tcPr>
          <w:p w14:paraId="717F5542"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2.84</w:t>
            </w:r>
          </w:p>
        </w:tc>
        <w:tc>
          <w:tcPr>
            <w:tcW w:w="254" w:type="pct"/>
            <w:shd w:val="clear" w:color="auto" w:fill="DADADA" w:themeFill="background2" w:themeFillShade="E6"/>
            <w:tcMar>
              <w:left w:w="105" w:type="dxa"/>
              <w:right w:w="105" w:type="dxa"/>
            </w:tcMar>
          </w:tcPr>
          <w:p w14:paraId="3CF6C7A7"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3.08</w:t>
            </w:r>
          </w:p>
        </w:tc>
        <w:tc>
          <w:tcPr>
            <w:tcW w:w="254" w:type="pct"/>
            <w:tcMar>
              <w:left w:w="105" w:type="dxa"/>
              <w:right w:w="105" w:type="dxa"/>
            </w:tcMar>
          </w:tcPr>
          <w:p w14:paraId="6256231D"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3.18</w:t>
            </w:r>
          </w:p>
        </w:tc>
        <w:tc>
          <w:tcPr>
            <w:tcW w:w="254" w:type="pct"/>
            <w:tcMar>
              <w:left w:w="105" w:type="dxa"/>
              <w:right w:w="105" w:type="dxa"/>
            </w:tcMar>
          </w:tcPr>
          <w:p w14:paraId="1D8DFA63"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3.09*</w:t>
            </w:r>
          </w:p>
        </w:tc>
        <w:tc>
          <w:tcPr>
            <w:tcW w:w="262" w:type="pct"/>
            <w:shd w:val="clear" w:color="auto" w:fill="DADADA" w:themeFill="background2" w:themeFillShade="E6"/>
            <w:tcMar>
              <w:left w:w="105" w:type="dxa"/>
              <w:right w:w="105" w:type="dxa"/>
            </w:tcMar>
          </w:tcPr>
          <w:p w14:paraId="6ACB5C30"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2.89</w:t>
            </w:r>
          </w:p>
        </w:tc>
        <w:tc>
          <w:tcPr>
            <w:tcW w:w="262" w:type="pct"/>
            <w:shd w:val="clear" w:color="auto" w:fill="DADADA" w:themeFill="background2" w:themeFillShade="E6"/>
            <w:tcMar>
              <w:left w:w="105" w:type="dxa"/>
              <w:right w:w="105" w:type="dxa"/>
            </w:tcMar>
          </w:tcPr>
          <w:p w14:paraId="169C8E6F"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2.97</w:t>
            </w:r>
          </w:p>
        </w:tc>
        <w:tc>
          <w:tcPr>
            <w:tcW w:w="254" w:type="pct"/>
            <w:tcMar>
              <w:left w:w="105" w:type="dxa"/>
              <w:right w:w="105" w:type="dxa"/>
            </w:tcMar>
          </w:tcPr>
          <w:p w14:paraId="0F10E882"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2.82</w:t>
            </w:r>
          </w:p>
        </w:tc>
        <w:tc>
          <w:tcPr>
            <w:tcW w:w="254" w:type="pct"/>
            <w:tcMar>
              <w:left w:w="105" w:type="dxa"/>
              <w:right w:w="105" w:type="dxa"/>
            </w:tcMar>
          </w:tcPr>
          <w:p w14:paraId="16B46ED6"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w:t>
            </w:r>
          </w:p>
        </w:tc>
        <w:tc>
          <w:tcPr>
            <w:tcW w:w="251" w:type="pct"/>
            <w:shd w:val="clear" w:color="auto" w:fill="DADADA" w:themeFill="background2" w:themeFillShade="E6"/>
            <w:tcMar>
              <w:left w:w="105" w:type="dxa"/>
              <w:right w:w="105" w:type="dxa"/>
            </w:tcMar>
          </w:tcPr>
          <w:p w14:paraId="230CD6A5"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2.65</w:t>
            </w:r>
          </w:p>
        </w:tc>
        <w:tc>
          <w:tcPr>
            <w:tcW w:w="248" w:type="pct"/>
            <w:shd w:val="clear" w:color="auto" w:fill="DADADA" w:themeFill="background2" w:themeFillShade="E6"/>
            <w:tcMar>
              <w:left w:w="105" w:type="dxa"/>
              <w:right w:w="105" w:type="dxa"/>
            </w:tcMar>
          </w:tcPr>
          <w:p w14:paraId="3E9335AF"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2.89</w:t>
            </w:r>
          </w:p>
        </w:tc>
      </w:tr>
      <w:tr w:rsidR="002B6683" w:rsidRPr="00DA2128" w14:paraId="3524A1B5" w14:textId="77777777" w:rsidTr="00B605CC">
        <w:trPr>
          <w:trHeight w:val="300"/>
        </w:trPr>
        <w:tc>
          <w:tcPr>
            <w:tcW w:w="376" w:type="pct"/>
            <w:tcMar>
              <w:left w:w="105" w:type="dxa"/>
              <w:right w:w="105" w:type="dxa"/>
            </w:tcMar>
          </w:tcPr>
          <w:p w14:paraId="1DF34DE9" w14:textId="77777777" w:rsidR="002B6683" w:rsidRPr="00DA2128" w:rsidRDefault="002B6683"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color w:val="000000" w:themeColor="text1"/>
                <w:sz w:val="18"/>
                <w:szCs w:val="18"/>
              </w:rPr>
              <w:t>69</w:t>
            </w:r>
          </w:p>
        </w:tc>
        <w:tc>
          <w:tcPr>
            <w:tcW w:w="275" w:type="pct"/>
            <w:shd w:val="clear" w:color="auto" w:fill="DADADA" w:themeFill="background2" w:themeFillShade="E6"/>
            <w:tcMar>
              <w:left w:w="105" w:type="dxa"/>
              <w:right w:w="105" w:type="dxa"/>
            </w:tcMar>
          </w:tcPr>
          <w:p w14:paraId="1A009879" w14:textId="77777777" w:rsidR="002B6683" w:rsidRPr="00DA2128" w:rsidRDefault="002B6683"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color w:val="000000" w:themeColor="text1"/>
                <w:sz w:val="18"/>
                <w:szCs w:val="18"/>
              </w:rPr>
              <w:t>2.63</w:t>
            </w:r>
          </w:p>
        </w:tc>
        <w:tc>
          <w:tcPr>
            <w:tcW w:w="276" w:type="pct"/>
            <w:shd w:val="clear" w:color="auto" w:fill="DADADA" w:themeFill="background2" w:themeFillShade="E6"/>
            <w:tcMar>
              <w:left w:w="105" w:type="dxa"/>
              <w:right w:w="105" w:type="dxa"/>
            </w:tcMar>
          </w:tcPr>
          <w:p w14:paraId="23E60F9C" w14:textId="77777777" w:rsidR="002B6683" w:rsidRPr="00DA2128" w:rsidRDefault="002B6683"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color w:val="000000" w:themeColor="text1"/>
                <w:sz w:val="18"/>
                <w:szCs w:val="18"/>
              </w:rPr>
              <w:t>2.72</w:t>
            </w:r>
          </w:p>
        </w:tc>
        <w:tc>
          <w:tcPr>
            <w:tcW w:w="254" w:type="pct"/>
            <w:tcMar>
              <w:left w:w="105" w:type="dxa"/>
              <w:right w:w="105" w:type="dxa"/>
            </w:tcMar>
          </w:tcPr>
          <w:p w14:paraId="4BF1893F"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3</w:t>
            </w:r>
          </w:p>
        </w:tc>
        <w:tc>
          <w:tcPr>
            <w:tcW w:w="254" w:type="pct"/>
            <w:tcMar>
              <w:left w:w="105" w:type="dxa"/>
              <w:right w:w="105" w:type="dxa"/>
            </w:tcMar>
          </w:tcPr>
          <w:p w14:paraId="0C2B0ADC"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2.76</w:t>
            </w:r>
          </w:p>
        </w:tc>
        <w:tc>
          <w:tcPr>
            <w:tcW w:w="254" w:type="pct"/>
            <w:shd w:val="clear" w:color="auto" w:fill="DADADA" w:themeFill="background2" w:themeFillShade="E6"/>
            <w:tcMar>
              <w:left w:w="105" w:type="dxa"/>
              <w:right w:w="105" w:type="dxa"/>
            </w:tcMar>
          </w:tcPr>
          <w:p w14:paraId="6A4C4CA5"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3.06</w:t>
            </w:r>
          </w:p>
        </w:tc>
        <w:tc>
          <w:tcPr>
            <w:tcW w:w="254" w:type="pct"/>
            <w:shd w:val="clear" w:color="auto" w:fill="DADADA" w:themeFill="background2" w:themeFillShade="E6"/>
            <w:tcMar>
              <w:left w:w="105" w:type="dxa"/>
              <w:right w:w="105" w:type="dxa"/>
            </w:tcMar>
          </w:tcPr>
          <w:p w14:paraId="0C255506"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2.61</w:t>
            </w:r>
          </w:p>
        </w:tc>
        <w:tc>
          <w:tcPr>
            <w:tcW w:w="254" w:type="pct"/>
            <w:tcMar>
              <w:left w:w="105" w:type="dxa"/>
              <w:right w:w="105" w:type="dxa"/>
            </w:tcMar>
          </w:tcPr>
          <w:p w14:paraId="0F3B7D0E"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2.77</w:t>
            </w:r>
          </w:p>
        </w:tc>
        <w:tc>
          <w:tcPr>
            <w:tcW w:w="254" w:type="pct"/>
            <w:tcMar>
              <w:left w:w="105" w:type="dxa"/>
              <w:right w:w="105" w:type="dxa"/>
            </w:tcMar>
          </w:tcPr>
          <w:p w14:paraId="78394C90"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2.78</w:t>
            </w:r>
          </w:p>
        </w:tc>
        <w:tc>
          <w:tcPr>
            <w:tcW w:w="254" w:type="pct"/>
            <w:shd w:val="clear" w:color="auto" w:fill="DADADA" w:themeFill="background2" w:themeFillShade="E6"/>
            <w:tcMar>
              <w:left w:w="105" w:type="dxa"/>
              <w:right w:w="105" w:type="dxa"/>
            </w:tcMar>
          </w:tcPr>
          <w:p w14:paraId="493B1F48"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3.24</w:t>
            </w:r>
          </w:p>
        </w:tc>
        <w:tc>
          <w:tcPr>
            <w:tcW w:w="254" w:type="pct"/>
            <w:shd w:val="clear" w:color="auto" w:fill="DADADA" w:themeFill="background2" w:themeFillShade="E6"/>
            <w:tcMar>
              <w:left w:w="105" w:type="dxa"/>
              <w:right w:w="105" w:type="dxa"/>
            </w:tcMar>
          </w:tcPr>
          <w:p w14:paraId="7C2BE771"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3.11</w:t>
            </w:r>
          </w:p>
        </w:tc>
        <w:tc>
          <w:tcPr>
            <w:tcW w:w="254" w:type="pct"/>
            <w:tcMar>
              <w:left w:w="105" w:type="dxa"/>
              <w:right w:w="105" w:type="dxa"/>
            </w:tcMar>
          </w:tcPr>
          <w:p w14:paraId="3B5AD589"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w:t>
            </w:r>
          </w:p>
        </w:tc>
        <w:tc>
          <w:tcPr>
            <w:tcW w:w="254" w:type="pct"/>
            <w:tcMar>
              <w:left w:w="105" w:type="dxa"/>
              <w:right w:w="105" w:type="dxa"/>
            </w:tcMar>
          </w:tcPr>
          <w:p w14:paraId="26BEA96F"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2.74</w:t>
            </w:r>
          </w:p>
        </w:tc>
        <w:tc>
          <w:tcPr>
            <w:tcW w:w="262" w:type="pct"/>
            <w:shd w:val="clear" w:color="auto" w:fill="DADADA" w:themeFill="background2" w:themeFillShade="E6"/>
            <w:tcMar>
              <w:left w:w="105" w:type="dxa"/>
              <w:right w:w="105" w:type="dxa"/>
            </w:tcMar>
          </w:tcPr>
          <w:p w14:paraId="7B76D7CB"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2.89</w:t>
            </w:r>
          </w:p>
        </w:tc>
        <w:tc>
          <w:tcPr>
            <w:tcW w:w="262" w:type="pct"/>
            <w:shd w:val="clear" w:color="auto" w:fill="DADADA" w:themeFill="background2" w:themeFillShade="E6"/>
            <w:tcMar>
              <w:left w:w="105" w:type="dxa"/>
              <w:right w:w="105" w:type="dxa"/>
            </w:tcMar>
          </w:tcPr>
          <w:p w14:paraId="19418A19"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2.89</w:t>
            </w:r>
          </w:p>
        </w:tc>
        <w:tc>
          <w:tcPr>
            <w:tcW w:w="254" w:type="pct"/>
            <w:tcMar>
              <w:left w:w="105" w:type="dxa"/>
              <w:right w:w="105" w:type="dxa"/>
            </w:tcMar>
          </w:tcPr>
          <w:p w14:paraId="025BA499"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3.2</w:t>
            </w:r>
          </w:p>
        </w:tc>
        <w:tc>
          <w:tcPr>
            <w:tcW w:w="254" w:type="pct"/>
            <w:tcMar>
              <w:left w:w="105" w:type="dxa"/>
              <w:right w:w="105" w:type="dxa"/>
            </w:tcMar>
          </w:tcPr>
          <w:p w14:paraId="10C627F3"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2.92</w:t>
            </w:r>
          </w:p>
        </w:tc>
        <w:tc>
          <w:tcPr>
            <w:tcW w:w="251" w:type="pct"/>
            <w:shd w:val="clear" w:color="auto" w:fill="DADADA" w:themeFill="background2" w:themeFillShade="E6"/>
            <w:tcMar>
              <w:left w:w="105" w:type="dxa"/>
              <w:right w:w="105" w:type="dxa"/>
            </w:tcMar>
          </w:tcPr>
          <w:p w14:paraId="1CF748C2"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2.49</w:t>
            </w:r>
          </w:p>
        </w:tc>
        <w:tc>
          <w:tcPr>
            <w:tcW w:w="248" w:type="pct"/>
            <w:shd w:val="clear" w:color="auto" w:fill="DADADA" w:themeFill="background2" w:themeFillShade="E6"/>
            <w:tcMar>
              <w:left w:w="105" w:type="dxa"/>
              <w:right w:w="105" w:type="dxa"/>
            </w:tcMar>
          </w:tcPr>
          <w:p w14:paraId="55AEFCC9"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2.37</w:t>
            </w:r>
          </w:p>
        </w:tc>
      </w:tr>
      <w:tr w:rsidR="002B6683" w:rsidRPr="00DA2128" w14:paraId="12897B92" w14:textId="77777777" w:rsidTr="00B605CC">
        <w:trPr>
          <w:trHeight w:val="300"/>
        </w:trPr>
        <w:tc>
          <w:tcPr>
            <w:tcW w:w="376" w:type="pct"/>
            <w:tcMar>
              <w:left w:w="105" w:type="dxa"/>
              <w:right w:w="105" w:type="dxa"/>
            </w:tcMar>
          </w:tcPr>
          <w:p w14:paraId="595C6BCD" w14:textId="77777777" w:rsidR="002B6683" w:rsidRPr="00DA2128" w:rsidRDefault="002B6683"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color w:val="000000" w:themeColor="text1"/>
                <w:sz w:val="18"/>
                <w:szCs w:val="18"/>
              </w:rPr>
              <w:t>70</w:t>
            </w:r>
          </w:p>
        </w:tc>
        <w:tc>
          <w:tcPr>
            <w:tcW w:w="275" w:type="pct"/>
            <w:shd w:val="clear" w:color="auto" w:fill="DADADA" w:themeFill="background2" w:themeFillShade="E6"/>
            <w:tcMar>
              <w:left w:w="105" w:type="dxa"/>
              <w:right w:w="105" w:type="dxa"/>
            </w:tcMar>
          </w:tcPr>
          <w:p w14:paraId="49A08983" w14:textId="77777777" w:rsidR="002B6683" w:rsidRPr="00DA2128" w:rsidRDefault="002B6683"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color w:val="000000" w:themeColor="text1"/>
                <w:sz w:val="18"/>
                <w:szCs w:val="18"/>
              </w:rPr>
              <w:t>2.92</w:t>
            </w:r>
          </w:p>
        </w:tc>
        <w:tc>
          <w:tcPr>
            <w:tcW w:w="276" w:type="pct"/>
            <w:shd w:val="clear" w:color="auto" w:fill="DADADA" w:themeFill="background2" w:themeFillShade="E6"/>
            <w:tcMar>
              <w:left w:w="105" w:type="dxa"/>
              <w:right w:w="105" w:type="dxa"/>
            </w:tcMar>
          </w:tcPr>
          <w:p w14:paraId="2EC851F7" w14:textId="77777777" w:rsidR="002B6683" w:rsidRPr="00DA2128" w:rsidRDefault="002B6683"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color w:val="000000" w:themeColor="text1"/>
                <w:sz w:val="18"/>
                <w:szCs w:val="18"/>
              </w:rPr>
              <w:t>2.42</w:t>
            </w:r>
          </w:p>
        </w:tc>
        <w:tc>
          <w:tcPr>
            <w:tcW w:w="254" w:type="pct"/>
            <w:tcMar>
              <w:left w:w="105" w:type="dxa"/>
              <w:right w:w="105" w:type="dxa"/>
            </w:tcMar>
          </w:tcPr>
          <w:p w14:paraId="55FD2F5F"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2.89</w:t>
            </w:r>
          </w:p>
        </w:tc>
        <w:tc>
          <w:tcPr>
            <w:tcW w:w="254" w:type="pct"/>
            <w:tcMar>
              <w:left w:w="105" w:type="dxa"/>
              <w:right w:w="105" w:type="dxa"/>
            </w:tcMar>
          </w:tcPr>
          <w:p w14:paraId="6D0F23A7"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2.69</w:t>
            </w:r>
          </w:p>
        </w:tc>
        <w:tc>
          <w:tcPr>
            <w:tcW w:w="254" w:type="pct"/>
            <w:shd w:val="clear" w:color="auto" w:fill="DADADA" w:themeFill="background2" w:themeFillShade="E6"/>
            <w:tcMar>
              <w:left w:w="105" w:type="dxa"/>
              <w:right w:w="105" w:type="dxa"/>
            </w:tcMar>
          </w:tcPr>
          <w:p w14:paraId="78D7BD31"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3.14</w:t>
            </w:r>
          </w:p>
        </w:tc>
        <w:tc>
          <w:tcPr>
            <w:tcW w:w="254" w:type="pct"/>
            <w:shd w:val="clear" w:color="auto" w:fill="DADADA" w:themeFill="background2" w:themeFillShade="E6"/>
            <w:tcMar>
              <w:left w:w="105" w:type="dxa"/>
              <w:right w:w="105" w:type="dxa"/>
            </w:tcMar>
          </w:tcPr>
          <w:p w14:paraId="07820700"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2.14</w:t>
            </w:r>
          </w:p>
        </w:tc>
        <w:tc>
          <w:tcPr>
            <w:tcW w:w="254" w:type="pct"/>
            <w:tcMar>
              <w:left w:w="105" w:type="dxa"/>
              <w:right w:w="105" w:type="dxa"/>
            </w:tcMar>
          </w:tcPr>
          <w:p w14:paraId="22534AC4"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2.59</w:t>
            </w:r>
          </w:p>
        </w:tc>
        <w:tc>
          <w:tcPr>
            <w:tcW w:w="254" w:type="pct"/>
            <w:tcMar>
              <w:left w:w="105" w:type="dxa"/>
              <w:right w:w="105" w:type="dxa"/>
            </w:tcMar>
          </w:tcPr>
          <w:p w14:paraId="70680AC8"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2.54</w:t>
            </w:r>
          </w:p>
        </w:tc>
        <w:tc>
          <w:tcPr>
            <w:tcW w:w="254" w:type="pct"/>
            <w:shd w:val="clear" w:color="auto" w:fill="DADADA" w:themeFill="background2" w:themeFillShade="E6"/>
            <w:tcMar>
              <w:left w:w="105" w:type="dxa"/>
              <w:right w:w="105" w:type="dxa"/>
            </w:tcMar>
          </w:tcPr>
          <w:p w14:paraId="627282BB"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3.13</w:t>
            </w:r>
          </w:p>
        </w:tc>
        <w:tc>
          <w:tcPr>
            <w:tcW w:w="254" w:type="pct"/>
            <w:shd w:val="clear" w:color="auto" w:fill="DADADA" w:themeFill="background2" w:themeFillShade="E6"/>
            <w:tcMar>
              <w:left w:w="105" w:type="dxa"/>
              <w:right w:w="105" w:type="dxa"/>
            </w:tcMar>
          </w:tcPr>
          <w:p w14:paraId="5E0E254F"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2.86</w:t>
            </w:r>
          </w:p>
        </w:tc>
        <w:tc>
          <w:tcPr>
            <w:tcW w:w="254" w:type="pct"/>
            <w:tcMar>
              <w:left w:w="105" w:type="dxa"/>
              <w:right w:w="105" w:type="dxa"/>
            </w:tcMar>
          </w:tcPr>
          <w:p w14:paraId="5FBA3EAF"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3.18</w:t>
            </w:r>
          </w:p>
        </w:tc>
        <w:tc>
          <w:tcPr>
            <w:tcW w:w="254" w:type="pct"/>
            <w:tcMar>
              <w:left w:w="105" w:type="dxa"/>
              <w:right w:w="105" w:type="dxa"/>
            </w:tcMar>
          </w:tcPr>
          <w:p w14:paraId="0703AA80"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2.68</w:t>
            </w:r>
          </w:p>
        </w:tc>
        <w:tc>
          <w:tcPr>
            <w:tcW w:w="262" w:type="pct"/>
            <w:shd w:val="clear" w:color="auto" w:fill="DADADA" w:themeFill="background2" w:themeFillShade="E6"/>
            <w:tcMar>
              <w:left w:w="105" w:type="dxa"/>
              <w:right w:w="105" w:type="dxa"/>
            </w:tcMar>
          </w:tcPr>
          <w:p w14:paraId="32B0ABB2"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2.75</w:t>
            </w:r>
          </w:p>
        </w:tc>
        <w:tc>
          <w:tcPr>
            <w:tcW w:w="262" w:type="pct"/>
            <w:shd w:val="clear" w:color="auto" w:fill="DADADA" w:themeFill="background2" w:themeFillShade="E6"/>
            <w:tcMar>
              <w:left w:w="105" w:type="dxa"/>
              <w:right w:w="105" w:type="dxa"/>
            </w:tcMar>
          </w:tcPr>
          <w:p w14:paraId="3EB7922C"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2.71</w:t>
            </w:r>
          </w:p>
        </w:tc>
        <w:tc>
          <w:tcPr>
            <w:tcW w:w="254" w:type="pct"/>
            <w:tcMar>
              <w:left w:w="105" w:type="dxa"/>
              <w:right w:w="105" w:type="dxa"/>
            </w:tcMar>
          </w:tcPr>
          <w:p w14:paraId="236F78E7"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2.96</w:t>
            </w:r>
          </w:p>
        </w:tc>
        <w:tc>
          <w:tcPr>
            <w:tcW w:w="254" w:type="pct"/>
            <w:tcMar>
              <w:left w:w="105" w:type="dxa"/>
              <w:right w:w="105" w:type="dxa"/>
            </w:tcMar>
          </w:tcPr>
          <w:p w14:paraId="067E045F"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2.35</w:t>
            </w:r>
          </w:p>
        </w:tc>
        <w:tc>
          <w:tcPr>
            <w:tcW w:w="251" w:type="pct"/>
            <w:shd w:val="clear" w:color="auto" w:fill="DADADA" w:themeFill="background2" w:themeFillShade="E6"/>
            <w:tcMar>
              <w:left w:w="105" w:type="dxa"/>
              <w:right w:w="105" w:type="dxa"/>
            </w:tcMar>
          </w:tcPr>
          <w:p w14:paraId="2B7A6ACF"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2.68</w:t>
            </w:r>
          </w:p>
        </w:tc>
        <w:tc>
          <w:tcPr>
            <w:tcW w:w="248" w:type="pct"/>
            <w:shd w:val="clear" w:color="auto" w:fill="DADADA" w:themeFill="background2" w:themeFillShade="E6"/>
            <w:tcMar>
              <w:left w:w="105" w:type="dxa"/>
              <w:right w:w="105" w:type="dxa"/>
            </w:tcMar>
          </w:tcPr>
          <w:p w14:paraId="126046D1"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2.37</w:t>
            </w:r>
          </w:p>
        </w:tc>
      </w:tr>
      <w:tr w:rsidR="002B6683" w:rsidRPr="00DA2128" w14:paraId="1FF7A17F" w14:textId="77777777" w:rsidTr="00B605CC">
        <w:trPr>
          <w:trHeight w:val="300"/>
        </w:trPr>
        <w:tc>
          <w:tcPr>
            <w:tcW w:w="376" w:type="pct"/>
            <w:tcMar>
              <w:left w:w="105" w:type="dxa"/>
              <w:right w:w="105" w:type="dxa"/>
            </w:tcMar>
          </w:tcPr>
          <w:p w14:paraId="3F5659FE" w14:textId="77777777" w:rsidR="002B6683" w:rsidRPr="00DA2128" w:rsidRDefault="002B6683"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color w:val="000000" w:themeColor="text1"/>
                <w:sz w:val="18"/>
                <w:szCs w:val="18"/>
              </w:rPr>
              <w:t>72</w:t>
            </w:r>
          </w:p>
        </w:tc>
        <w:tc>
          <w:tcPr>
            <w:tcW w:w="275" w:type="pct"/>
            <w:shd w:val="clear" w:color="auto" w:fill="DADADA" w:themeFill="background2" w:themeFillShade="E6"/>
            <w:tcMar>
              <w:left w:w="105" w:type="dxa"/>
              <w:right w:w="105" w:type="dxa"/>
            </w:tcMar>
          </w:tcPr>
          <w:p w14:paraId="6EC749D3" w14:textId="77777777" w:rsidR="002B6683" w:rsidRPr="00DA2128" w:rsidRDefault="002B6683"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color w:val="000000" w:themeColor="text1"/>
                <w:sz w:val="18"/>
                <w:szCs w:val="18"/>
              </w:rPr>
              <w:t>2.82</w:t>
            </w:r>
          </w:p>
        </w:tc>
        <w:tc>
          <w:tcPr>
            <w:tcW w:w="276" w:type="pct"/>
            <w:shd w:val="clear" w:color="auto" w:fill="DADADA" w:themeFill="background2" w:themeFillShade="E6"/>
            <w:tcMar>
              <w:left w:w="105" w:type="dxa"/>
              <w:right w:w="105" w:type="dxa"/>
            </w:tcMar>
          </w:tcPr>
          <w:p w14:paraId="6E681AB6" w14:textId="77777777" w:rsidR="002B6683" w:rsidRPr="00DA2128" w:rsidRDefault="002B6683"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color w:val="000000" w:themeColor="text1"/>
                <w:sz w:val="18"/>
                <w:szCs w:val="18"/>
              </w:rPr>
              <w:t>2.56</w:t>
            </w:r>
          </w:p>
        </w:tc>
        <w:tc>
          <w:tcPr>
            <w:tcW w:w="254" w:type="pct"/>
            <w:tcMar>
              <w:left w:w="105" w:type="dxa"/>
              <w:right w:w="105" w:type="dxa"/>
            </w:tcMar>
          </w:tcPr>
          <w:p w14:paraId="2AD5AA16"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2.76</w:t>
            </w:r>
          </w:p>
        </w:tc>
        <w:tc>
          <w:tcPr>
            <w:tcW w:w="254" w:type="pct"/>
            <w:tcMar>
              <w:left w:w="105" w:type="dxa"/>
              <w:right w:w="105" w:type="dxa"/>
            </w:tcMar>
          </w:tcPr>
          <w:p w14:paraId="61EACC1B"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2.74</w:t>
            </w:r>
          </w:p>
        </w:tc>
        <w:tc>
          <w:tcPr>
            <w:tcW w:w="254" w:type="pct"/>
            <w:shd w:val="clear" w:color="auto" w:fill="DADADA" w:themeFill="background2" w:themeFillShade="E6"/>
            <w:tcMar>
              <w:left w:w="105" w:type="dxa"/>
              <w:right w:w="105" w:type="dxa"/>
            </w:tcMar>
          </w:tcPr>
          <w:p w14:paraId="07A517E8"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3.09</w:t>
            </w:r>
          </w:p>
        </w:tc>
        <w:tc>
          <w:tcPr>
            <w:tcW w:w="254" w:type="pct"/>
            <w:shd w:val="clear" w:color="auto" w:fill="DADADA" w:themeFill="background2" w:themeFillShade="E6"/>
            <w:tcMar>
              <w:left w:w="105" w:type="dxa"/>
              <w:right w:w="105" w:type="dxa"/>
            </w:tcMar>
          </w:tcPr>
          <w:p w14:paraId="6392C891"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2.51</w:t>
            </w:r>
          </w:p>
        </w:tc>
        <w:tc>
          <w:tcPr>
            <w:tcW w:w="254" w:type="pct"/>
            <w:tcMar>
              <w:left w:w="105" w:type="dxa"/>
              <w:right w:w="105" w:type="dxa"/>
            </w:tcMar>
          </w:tcPr>
          <w:p w14:paraId="11253FBD"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2.93</w:t>
            </w:r>
          </w:p>
        </w:tc>
        <w:tc>
          <w:tcPr>
            <w:tcW w:w="254" w:type="pct"/>
            <w:tcMar>
              <w:left w:w="105" w:type="dxa"/>
              <w:right w:w="105" w:type="dxa"/>
            </w:tcMar>
          </w:tcPr>
          <w:p w14:paraId="5D0B0010"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2.92</w:t>
            </w:r>
          </w:p>
        </w:tc>
        <w:tc>
          <w:tcPr>
            <w:tcW w:w="254" w:type="pct"/>
            <w:shd w:val="clear" w:color="auto" w:fill="DADADA" w:themeFill="background2" w:themeFillShade="E6"/>
            <w:tcMar>
              <w:left w:w="105" w:type="dxa"/>
              <w:right w:w="105" w:type="dxa"/>
            </w:tcMar>
          </w:tcPr>
          <w:p w14:paraId="0A0E4DD1"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3.18</w:t>
            </w:r>
          </w:p>
        </w:tc>
        <w:tc>
          <w:tcPr>
            <w:tcW w:w="254" w:type="pct"/>
            <w:shd w:val="clear" w:color="auto" w:fill="DADADA" w:themeFill="background2" w:themeFillShade="E6"/>
            <w:tcMar>
              <w:left w:w="105" w:type="dxa"/>
              <w:right w:w="105" w:type="dxa"/>
            </w:tcMar>
          </w:tcPr>
          <w:p w14:paraId="61CC02E5"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3.08</w:t>
            </w:r>
          </w:p>
        </w:tc>
        <w:tc>
          <w:tcPr>
            <w:tcW w:w="254" w:type="pct"/>
            <w:tcMar>
              <w:left w:w="105" w:type="dxa"/>
              <w:right w:w="105" w:type="dxa"/>
            </w:tcMar>
          </w:tcPr>
          <w:p w14:paraId="6A97FF54"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3.21</w:t>
            </w:r>
          </w:p>
        </w:tc>
        <w:tc>
          <w:tcPr>
            <w:tcW w:w="254" w:type="pct"/>
            <w:tcMar>
              <w:left w:w="105" w:type="dxa"/>
              <w:right w:w="105" w:type="dxa"/>
            </w:tcMar>
          </w:tcPr>
          <w:p w14:paraId="642B282F"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2.85</w:t>
            </w:r>
          </w:p>
        </w:tc>
        <w:tc>
          <w:tcPr>
            <w:tcW w:w="262" w:type="pct"/>
            <w:shd w:val="clear" w:color="auto" w:fill="DADADA" w:themeFill="background2" w:themeFillShade="E6"/>
            <w:tcMar>
              <w:left w:w="105" w:type="dxa"/>
              <w:right w:w="105" w:type="dxa"/>
            </w:tcMar>
          </w:tcPr>
          <w:p w14:paraId="66B177C7"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w:t>
            </w:r>
          </w:p>
        </w:tc>
        <w:tc>
          <w:tcPr>
            <w:tcW w:w="262" w:type="pct"/>
            <w:shd w:val="clear" w:color="auto" w:fill="DADADA" w:themeFill="background2" w:themeFillShade="E6"/>
            <w:tcMar>
              <w:left w:w="105" w:type="dxa"/>
              <w:right w:w="105" w:type="dxa"/>
            </w:tcMar>
          </w:tcPr>
          <w:p w14:paraId="414CEBED"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2.86</w:t>
            </w:r>
          </w:p>
        </w:tc>
        <w:tc>
          <w:tcPr>
            <w:tcW w:w="254" w:type="pct"/>
            <w:tcMar>
              <w:left w:w="105" w:type="dxa"/>
              <w:right w:w="105" w:type="dxa"/>
            </w:tcMar>
          </w:tcPr>
          <w:p w14:paraId="3F03CCBF"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3.12</w:t>
            </w:r>
          </w:p>
        </w:tc>
        <w:tc>
          <w:tcPr>
            <w:tcW w:w="254" w:type="pct"/>
            <w:tcMar>
              <w:left w:w="105" w:type="dxa"/>
              <w:right w:w="105" w:type="dxa"/>
            </w:tcMar>
          </w:tcPr>
          <w:p w14:paraId="0FD29993"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2.96</w:t>
            </w:r>
          </w:p>
        </w:tc>
        <w:tc>
          <w:tcPr>
            <w:tcW w:w="251" w:type="pct"/>
            <w:shd w:val="clear" w:color="auto" w:fill="DADADA" w:themeFill="background2" w:themeFillShade="E6"/>
            <w:tcMar>
              <w:left w:w="105" w:type="dxa"/>
              <w:right w:w="105" w:type="dxa"/>
            </w:tcMar>
          </w:tcPr>
          <w:p w14:paraId="1D5A5C3E"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2.65</w:t>
            </w:r>
          </w:p>
        </w:tc>
        <w:tc>
          <w:tcPr>
            <w:tcW w:w="248" w:type="pct"/>
            <w:shd w:val="clear" w:color="auto" w:fill="DADADA" w:themeFill="background2" w:themeFillShade="E6"/>
            <w:tcMar>
              <w:left w:w="105" w:type="dxa"/>
              <w:right w:w="105" w:type="dxa"/>
            </w:tcMar>
          </w:tcPr>
          <w:p w14:paraId="2E918713"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2.51</w:t>
            </w:r>
          </w:p>
        </w:tc>
      </w:tr>
      <w:tr w:rsidR="002B6683" w:rsidRPr="00DA2128" w14:paraId="7934CFBC" w14:textId="77777777" w:rsidTr="00B605CC">
        <w:trPr>
          <w:trHeight w:val="300"/>
        </w:trPr>
        <w:tc>
          <w:tcPr>
            <w:tcW w:w="376" w:type="pct"/>
            <w:tcMar>
              <w:left w:w="105" w:type="dxa"/>
              <w:right w:w="105" w:type="dxa"/>
            </w:tcMar>
          </w:tcPr>
          <w:p w14:paraId="79FB4473" w14:textId="77777777" w:rsidR="002B6683" w:rsidRPr="00DA2128" w:rsidRDefault="002B6683"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color w:val="000000" w:themeColor="text1"/>
                <w:sz w:val="18"/>
                <w:szCs w:val="18"/>
              </w:rPr>
              <w:t>73</w:t>
            </w:r>
          </w:p>
        </w:tc>
        <w:tc>
          <w:tcPr>
            <w:tcW w:w="275" w:type="pct"/>
            <w:shd w:val="clear" w:color="auto" w:fill="DADADA" w:themeFill="background2" w:themeFillShade="E6"/>
            <w:tcMar>
              <w:left w:w="105" w:type="dxa"/>
              <w:right w:w="105" w:type="dxa"/>
            </w:tcMar>
          </w:tcPr>
          <w:p w14:paraId="377DDC46" w14:textId="77777777" w:rsidR="002B6683" w:rsidRPr="00DA2128" w:rsidRDefault="002B6683"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color w:val="000000" w:themeColor="text1"/>
                <w:sz w:val="18"/>
                <w:szCs w:val="18"/>
              </w:rPr>
              <w:t>3.08</w:t>
            </w:r>
          </w:p>
        </w:tc>
        <w:tc>
          <w:tcPr>
            <w:tcW w:w="276" w:type="pct"/>
            <w:shd w:val="clear" w:color="auto" w:fill="DADADA" w:themeFill="background2" w:themeFillShade="E6"/>
            <w:tcMar>
              <w:left w:w="105" w:type="dxa"/>
              <w:right w:w="105" w:type="dxa"/>
            </w:tcMar>
          </w:tcPr>
          <w:p w14:paraId="727843DE" w14:textId="77777777" w:rsidR="002B6683" w:rsidRPr="00DA2128" w:rsidRDefault="002B6683"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color w:val="000000" w:themeColor="text1"/>
                <w:sz w:val="18"/>
                <w:szCs w:val="18"/>
              </w:rPr>
              <w:t>2.79</w:t>
            </w:r>
          </w:p>
        </w:tc>
        <w:tc>
          <w:tcPr>
            <w:tcW w:w="254" w:type="pct"/>
            <w:tcMar>
              <w:left w:w="105" w:type="dxa"/>
              <w:right w:w="105" w:type="dxa"/>
            </w:tcMar>
          </w:tcPr>
          <w:p w14:paraId="0AD07EB5"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2.88</w:t>
            </w:r>
          </w:p>
        </w:tc>
        <w:tc>
          <w:tcPr>
            <w:tcW w:w="254" w:type="pct"/>
            <w:tcMar>
              <w:left w:w="105" w:type="dxa"/>
              <w:right w:w="105" w:type="dxa"/>
            </w:tcMar>
          </w:tcPr>
          <w:p w14:paraId="7B999E52"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2.71</w:t>
            </w:r>
          </w:p>
        </w:tc>
        <w:tc>
          <w:tcPr>
            <w:tcW w:w="254" w:type="pct"/>
            <w:shd w:val="clear" w:color="auto" w:fill="DADADA" w:themeFill="background2" w:themeFillShade="E6"/>
            <w:tcMar>
              <w:left w:w="105" w:type="dxa"/>
              <w:right w:w="105" w:type="dxa"/>
            </w:tcMar>
          </w:tcPr>
          <w:p w14:paraId="4F5BB550"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3.35</w:t>
            </w:r>
          </w:p>
        </w:tc>
        <w:tc>
          <w:tcPr>
            <w:tcW w:w="254" w:type="pct"/>
            <w:shd w:val="clear" w:color="auto" w:fill="DADADA" w:themeFill="background2" w:themeFillShade="E6"/>
            <w:tcMar>
              <w:left w:w="105" w:type="dxa"/>
              <w:right w:w="105" w:type="dxa"/>
            </w:tcMar>
          </w:tcPr>
          <w:p w14:paraId="0C478BEB"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2.51</w:t>
            </w:r>
          </w:p>
        </w:tc>
        <w:tc>
          <w:tcPr>
            <w:tcW w:w="254" w:type="pct"/>
            <w:tcMar>
              <w:left w:w="105" w:type="dxa"/>
              <w:right w:w="105" w:type="dxa"/>
            </w:tcMar>
          </w:tcPr>
          <w:p w14:paraId="2FCF5F49"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3.1</w:t>
            </w:r>
          </w:p>
        </w:tc>
        <w:tc>
          <w:tcPr>
            <w:tcW w:w="254" w:type="pct"/>
            <w:tcMar>
              <w:left w:w="105" w:type="dxa"/>
              <w:right w:w="105" w:type="dxa"/>
            </w:tcMar>
          </w:tcPr>
          <w:p w14:paraId="41872DBD"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2.92</w:t>
            </w:r>
          </w:p>
        </w:tc>
        <w:tc>
          <w:tcPr>
            <w:tcW w:w="254" w:type="pct"/>
            <w:shd w:val="clear" w:color="auto" w:fill="DADADA" w:themeFill="background2" w:themeFillShade="E6"/>
            <w:tcMar>
              <w:left w:w="105" w:type="dxa"/>
              <w:right w:w="105" w:type="dxa"/>
            </w:tcMar>
          </w:tcPr>
          <w:p w14:paraId="79F28AAB"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3.19</w:t>
            </w:r>
          </w:p>
        </w:tc>
        <w:tc>
          <w:tcPr>
            <w:tcW w:w="254" w:type="pct"/>
            <w:shd w:val="clear" w:color="auto" w:fill="DADADA" w:themeFill="background2" w:themeFillShade="E6"/>
            <w:tcMar>
              <w:left w:w="105" w:type="dxa"/>
              <w:right w:w="105" w:type="dxa"/>
            </w:tcMar>
          </w:tcPr>
          <w:p w14:paraId="68BEA83F"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2.95</w:t>
            </w:r>
          </w:p>
        </w:tc>
        <w:tc>
          <w:tcPr>
            <w:tcW w:w="254" w:type="pct"/>
            <w:tcMar>
              <w:left w:w="105" w:type="dxa"/>
              <w:right w:w="105" w:type="dxa"/>
            </w:tcMar>
          </w:tcPr>
          <w:p w14:paraId="754968E7"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3.32</w:t>
            </w:r>
          </w:p>
        </w:tc>
        <w:tc>
          <w:tcPr>
            <w:tcW w:w="254" w:type="pct"/>
            <w:tcMar>
              <w:left w:w="105" w:type="dxa"/>
              <w:right w:w="105" w:type="dxa"/>
            </w:tcMar>
          </w:tcPr>
          <w:p w14:paraId="1C4A54F7"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2.82</w:t>
            </w:r>
          </w:p>
        </w:tc>
        <w:tc>
          <w:tcPr>
            <w:tcW w:w="262" w:type="pct"/>
            <w:shd w:val="clear" w:color="auto" w:fill="DADADA" w:themeFill="background2" w:themeFillShade="E6"/>
            <w:tcMar>
              <w:left w:w="105" w:type="dxa"/>
              <w:right w:w="105" w:type="dxa"/>
            </w:tcMar>
          </w:tcPr>
          <w:p w14:paraId="6AAA42B2"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3.03</w:t>
            </w:r>
          </w:p>
        </w:tc>
        <w:tc>
          <w:tcPr>
            <w:tcW w:w="262" w:type="pct"/>
            <w:shd w:val="clear" w:color="auto" w:fill="DADADA" w:themeFill="background2" w:themeFillShade="E6"/>
            <w:tcMar>
              <w:left w:w="105" w:type="dxa"/>
              <w:right w:w="105" w:type="dxa"/>
            </w:tcMar>
          </w:tcPr>
          <w:p w14:paraId="20CDA4FF"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2.86</w:t>
            </w:r>
          </w:p>
        </w:tc>
        <w:tc>
          <w:tcPr>
            <w:tcW w:w="254" w:type="pct"/>
            <w:tcMar>
              <w:left w:w="105" w:type="dxa"/>
              <w:right w:w="105" w:type="dxa"/>
            </w:tcMar>
          </w:tcPr>
          <w:p w14:paraId="0C3F878F"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3.29</w:t>
            </w:r>
          </w:p>
        </w:tc>
        <w:tc>
          <w:tcPr>
            <w:tcW w:w="254" w:type="pct"/>
            <w:tcMar>
              <w:left w:w="105" w:type="dxa"/>
              <w:right w:w="105" w:type="dxa"/>
            </w:tcMar>
          </w:tcPr>
          <w:p w14:paraId="7C401FE9"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3.04*</w:t>
            </w:r>
          </w:p>
        </w:tc>
        <w:tc>
          <w:tcPr>
            <w:tcW w:w="251" w:type="pct"/>
            <w:shd w:val="clear" w:color="auto" w:fill="DADADA" w:themeFill="background2" w:themeFillShade="E6"/>
            <w:tcMar>
              <w:left w:w="105" w:type="dxa"/>
              <w:right w:w="105" w:type="dxa"/>
            </w:tcMar>
          </w:tcPr>
          <w:p w14:paraId="431518DE"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2.78</w:t>
            </w:r>
          </w:p>
        </w:tc>
        <w:tc>
          <w:tcPr>
            <w:tcW w:w="248" w:type="pct"/>
            <w:shd w:val="clear" w:color="auto" w:fill="DADADA" w:themeFill="background2" w:themeFillShade="E6"/>
            <w:tcMar>
              <w:left w:w="105" w:type="dxa"/>
              <w:right w:w="105" w:type="dxa"/>
            </w:tcMar>
          </w:tcPr>
          <w:p w14:paraId="1B67D3CB"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2.54</w:t>
            </w:r>
          </w:p>
        </w:tc>
      </w:tr>
      <w:tr w:rsidR="002B6683" w:rsidRPr="00DA2128" w14:paraId="1D7DC8A5" w14:textId="77777777" w:rsidTr="00B605CC">
        <w:trPr>
          <w:trHeight w:val="300"/>
        </w:trPr>
        <w:tc>
          <w:tcPr>
            <w:tcW w:w="376" w:type="pct"/>
            <w:tcMar>
              <w:left w:w="105" w:type="dxa"/>
              <w:right w:w="105" w:type="dxa"/>
            </w:tcMar>
          </w:tcPr>
          <w:p w14:paraId="7A1259F4" w14:textId="77777777" w:rsidR="002B6683" w:rsidRPr="00DA2128" w:rsidRDefault="002B6683"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color w:val="000000" w:themeColor="text1"/>
                <w:sz w:val="18"/>
                <w:szCs w:val="18"/>
              </w:rPr>
              <w:t>74</w:t>
            </w:r>
          </w:p>
        </w:tc>
        <w:tc>
          <w:tcPr>
            <w:tcW w:w="275" w:type="pct"/>
            <w:shd w:val="clear" w:color="auto" w:fill="DADADA" w:themeFill="background2" w:themeFillShade="E6"/>
            <w:tcMar>
              <w:left w:w="105" w:type="dxa"/>
              <w:right w:w="105" w:type="dxa"/>
            </w:tcMar>
          </w:tcPr>
          <w:p w14:paraId="2D11CCD2" w14:textId="77777777" w:rsidR="002B6683" w:rsidRPr="00DA2128" w:rsidRDefault="002B6683"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color w:val="000000" w:themeColor="text1"/>
                <w:sz w:val="18"/>
                <w:szCs w:val="18"/>
              </w:rPr>
              <w:t>2.42</w:t>
            </w:r>
          </w:p>
        </w:tc>
        <w:tc>
          <w:tcPr>
            <w:tcW w:w="276" w:type="pct"/>
            <w:shd w:val="clear" w:color="auto" w:fill="DADADA" w:themeFill="background2" w:themeFillShade="E6"/>
            <w:tcMar>
              <w:left w:w="105" w:type="dxa"/>
              <w:right w:w="105" w:type="dxa"/>
            </w:tcMar>
          </w:tcPr>
          <w:p w14:paraId="1EEB4C6A" w14:textId="77777777" w:rsidR="002B6683" w:rsidRPr="00DA2128" w:rsidRDefault="002B6683"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color w:val="000000" w:themeColor="text1"/>
                <w:sz w:val="18"/>
                <w:szCs w:val="18"/>
              </w:rPr>
              <w:t>2.34</w:t>
            </w:r>
          </w:p>
        </w:tc>
        <w:tc>
          <w:tcPr>
            <w:tcW w:w="254" w:type="pct"/>
            <w:tcMar>
              <w:left w:w="105" w:type="dxa"/>
              <w:right w:w="105" w:type="dxa"/>
            </w:tcMar>
          </w:tcPr>
          <w:p w14:paraId="43DF33DB"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2.95</w:t>
            </w:r>
          </w:p>
        </w:tc>
        <w:tc>
          <w:tcPr>
            <w:tcW w:w="254" w:type="pct"/>
            <w:tcMar>
              <w:left w:w="105" w:type="dxa"/>
              <w:right w:w="105" w:type="dxa"/>
            </w:tcMar>
          </w:tcPr>
          <w:p w14:paraId="64D53EFC"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2.83</w:t>
            </w:r>
          </w:p>
        </w:tc>
        <w:tc>
          <w:tcPr>
            <w:tcW w:w="254" w:type="pct"/>
            <w:shd w:val="clear" w:color="auto" w:fill="DADADA" w:themeFill="background2" w:themeFillShade="E6"/>
            <w:tcMar>
              <w:left w:w="105" w:type="dxa"/>
              <w:right w:w="105" w:type="dxa"/>
            </w:tcMar>
          </w:tcPr>
          <w:p w14:paraId="63DE2EFF"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2.89</w:t>
            </w:r>
          </w:p>
        </w:tc>
        <w:tc>
          <w:tcPr>
            <w:tcW w:w="254" w:type="pct"/>
            <w:shd w:val="clear" w:color="auto" w:fill="DADADA" w:themeFill="background2" w:themeFillShade="E6"/>
            <w:tcMar>
              <w:left w:w="105" w:type="dxa"/>
              <w:right w:w="105" w:type="dxa"/>
            </w:tcMar>
          </w:tcPr>
          <w:p w14:paraId="5DBDEA97"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1.94</w:t>
            </w:r>
          </w:p>
        </w:tc>
        <w:tc>
          <w:tcPr>
            <w:tcW w:w="254" w:type="pct"/>
            <w:tcMar>
              <w:left w:w="105" w:type="dxa"/>
              <w:right w:w="105" w:type="dxa"/>
            </w:tcMar>
          </w:tcPr>
          <w:p w14:paraId="59DD89A8"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2.73</w:t>
            </w:r>
          </w:p>
        </w:tc>
        <w:tc>
          <w:tcPr>
            <w:tcW w:w="254" w:type="pct"/>
            <w:tcMar>
              <w:left w:w="105" w:type="dxa"/>
              <w:right w:w="105" w:type="dxa"/>
            </w:tcMar>
          </w:tcPr>
          <w:p w14:paraId="22F6D3F7"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2.16</w:t>
            </w:r>
          </w:p>
        </w:tc>
        <w:tc>
          <w:tcPr>
            <w:tcW w:w="254" w:type="pct"/>
            <w:shd w:val="clear" w:color="auto" w:fill="DADADA" w:themeFill="background2" w:themeFillShade="E6"/>
            <w:tcMar>
              <w:left w:w="105" w:type="dxa"/>
              <w:right w:w="105" w:type="dxa"/>
            </w:tcMar>
          </w:tcPr>
          <w:p w14:paraId="722E6DB7"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2.95</w:t>
            </w:r>
          </w:p>
        </w:tc>
        <w:tc>
          <w:tcPr>
            <w:tcW w:w="254" w:type="pct"/>
            <w:shd w:val="clear" w:color="auto" w:fill="DADADA" w:themeFill="background2" w:themeFillShade="E6"/>
            <w:tcMar>
              <w:left w:w="105" w:type="dxa"/>
              <w:right w:w="105" w:type="dxa"/>
            </w:tcMar>
          </w:tcPr>
          <w:p w14:paraId="7A33EE27"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w:t>
            </w:r>
          </w:p>
        </w:tc>
        <w:tc>
          <w:tcPr>
            <w:tcW w:w="254" w:type="pct"/>
            <w:tcMar>
              <w:left w:w="105" w:type="dxa"/>
              <w:right w:w="105" w:type="dxa"/>
            </w:tcMar>
          </w:tcPr>
          <w:p w14:paraId="354444EE"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3.05</w:t>
            </w:r>
          </w:p>
        </w:tc>
        <w:tc>
          <w:tcPr>
            <w:tcW w:w="254" w:type="pct"/>
            <w:tcMar>
              <w:left w:w="105" w:type="dxa"/>
              <w:right w:w="105" w:type="dxa"/>
            </w:tcMar>
          </w:tcPr>
          <w:p w14:paraId="1715348E"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2.69</w:t>
            </w:r>
          </w:p>
        </w:tc>
        <w:tc>
          <w:tcPr>
            <w:tcW w:w="262" w:type="pct"/>
            <w:shd w:val="clear" w:color="auto" w:fill="DADADA" w:themeFill="background2" w:themeFillShade="E6"/>
            <w:tcMar>
              <w:left w:w="105" w:type="dxa"/>
              <w:right w:w="105" w:type="dxa"/>
            </w:tcMar>
          </w:tcPr>
          <w:p w14:paraId="238DFA1D"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2.83</w:t>
            </w:r>
          </w:p>
        </w:tc>
        <w:tc>
          <w:tcPr>
            <w:tcW w:w="262" w:type="pct"/>
            <w:shd w:val="clear" w:color="auto" w:fill="DADADA" w:themeFill="background2" w:themeFillShade="E6"/>
            <w:tcMar>
              <w:left w:w="105" w:type="dxa"/>
              <w:right w:w="105" w:type="dxa"/>
            </w:tcMar>
          </w:tcPr>
          <w:p w14:paraId="18C0EBCD"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2.63</w:t>
            </w:r>
          </w:p>
        </w:tc>
        <w:tc>
          <w:tcPr>
            <w:tcW w:w="254" w:type="pct"/>
            <w:tcMar>
              <w:left w:w="105" w:type="dxa"/>
              <w:right w:w="105" w:type="dxa"/>
            </w:tcMar>
          </w:tcPr>
          <w:p w14:paraId="3C22D2F7"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2.58</w:t>
            </w:r>
          </w:p>
        </w:tc>
        <w:tc>
          <w:tcPr>
            <w:tcW w:w="254" w:type="pct"/>
            <w:tcMar>
              <w:left w:w="105" w:type="dxa"/>
              <w:right w:w="105" w:type="dxa"/>
            </w:tcMar>
          </w:tcPr>
          <w:p w14:paraId="1F04301D"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2.5</w:t>
            </w:r>
          </w:p>
        </w:tc>
        <w:tc>
          <w:tcPr>
            <w:tcW w:w="251" w:type="pct"/>
            <w:shd w:val="clear" w:color="auto" w:fill="DADADA" w:themeFill="background2" w:themeFillShade="E6"/>
            <w:tcMar>
              <w:left w:w="105" w:type="dxa"/>
              <w:right w:w="105" w:type="dxa"/>
            </w:tcMar>
          </w:tcPr>
          <w:p w14:paraId="7EB68EF7"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2.24</w:t>
            </w:r>
          </w:p>
        </w:tc>
        <w:tc>
          <w:tcPr>
            <w:tcW w:w="248" w:type="pct"/>
            <w:shd w:val="clear" w:color="auto" w:fill="DADADA" w:themeFill="background2" w:themeFillShade="E6"/>
            <w:tcMar>
              <w:left w:w="105" w:type="dxa"/>
              <w:right w:w="105" w:type="dxa"/>
            </w:tcMar>
          </w:tcPr>
          <w:p w14:paraId="3C97900B"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2.31</w:t>
            </w:r>
          </w:p>
        </w:tc>
      </w:tr>
      <w:tr w:rsidR="002B6683" w:rsidRPr="00DA2128" w14:paraId="12E49D81" w14:textId="77777777" w:rsidTr="00B605CC">
        <w:trPr>
          <w:trHeight w:val="300"/>
        </w:trPr>
        <w:tc>
          <w:tcPr>
            <w:tcW w:w="376" w:type="pct"/>
            <w:tcMar>
              <w:left w:w="105" w:type="dxa"/>
              <w:right w:w="105" w:type="dxa"/>
            </w:tcMar>
          </w:tcPr>
          <w:p w14:paraId="7D8722D3" w14:textId="77777777" w:rsidR="002B6683" w:rsidRPr="00DA2128" w:rsidRDefault="002B6683"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color w:val="000000" w:themeColor="text1"/>
                <w:sz w:val="18"/>
                <w:szCs w:val="18"/>
              </w:rPr>
              <w:t>75</w:t>
            </w:r>
          </w:p>
        </w:tc>
        <w:tc>
          <w:tcPr>
            <w:tcW w:w="275" w:type="pct"/>
            <w:shd w:val="clear" w:color="auto" w:fill="DADADA" w:themeFill="background2" w:themeFillShade="E6"/>
            <w:tcMar>
              <w:left w:w="105" w:type="dxa"/>
              <w:right w:w="105" w:type="dxa"/>
            </w:tcMar>
          </w:tcPr>
          <w:p w14:paraId="44500465" w14:textId="77777777" w:rsidR="002B6683" w:rsidRPr="00DA2128" w:rsidRDefault="002B6683"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color w:val="000000" w:themeColor="text1"/>
                <w:sz w:val="18"/>
                <w:szCs w:val="18"/>
              </w:rPr>
              <w:t>2.62</w:t>
            </w:r>
          </w:p>
        </w:tc>
        <w:tc>
          <w:tcPr>
            <w:tcW w:w="276" w:type="pct"/>
            <w:shd w:val="clear" w:color="auto" w:fill="DADADA" w:themeFill="background2" w:themeFillShade="E6"/>
            <w:tcMar>
              <w:left w:w="105" w:type="dxa"/>
              <w:right w:w="105" w:type="dxa"/>
            </w:tcMar>
          </w:tcPr>
          <w:p w14:paraId="4CC56764" w14:textId="77777777" w:rsidR="002B6683" w:rsidRPr="00DA2128" w:rsidRDefault="002B6683"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color w:val="000000" w:themeColor="text1"/>
                <w:sz w:val="18"/>
                <w:szCs w:val="18"/>
              </w:rPr>
              <w:t>2.89</w:t>
            </w:r>
          </w:p>
        </w:tc>
        <w:tc>
          <w:tcPr>
            <w:tcW w:w="254" w:type="pct"/>
            <w:tcMar>
              <w:left w:w="105" w:type="dxa"/>
              <w:right w:w="105" w:type="dxa"/>
            </w:tcMar>
          </w:tcPr>
          <w:p w14:paraId="4C1C32DB"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3.18</w:t>
            </w:r>
          </w:p>
        </w:tc>
        <w:tc>
          <w:tcPr>
            <w:tcW w:w="254" w:type="pct"/>
            <w:tcMar>
              <w:left w:w="105" w:type="dxa"/>
              <w:right w:w="105" w:type="dxa"/>
            </w:tcMar>
          </w:tcPr>
          <w:p w14:paraId="70D7D8FE"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2.89*</w:t>
            </w:r>
          </w:p>
        </w:tc>
        <w:tc>
          <w:tcPr>
            <w:tcW w:w="254" w:type="pct"/>
            <w:shd w:val="clear" w:color="auto" w:fill="DADADA" w:themeFill="background2" w:themeFillShade="E6"/>
            <w:tcMar>
              <w:left w:w="105" w:type="dxa"/>
              <w:right w:w="105" w:type="dxa"/>
            </w:tcMar>
          </w:tcPr>
          <w:p w14:paraId="23AC7585"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3.26</w:t>
            </w:r>
          </w:p>
        </w:tc>
        <w:tc>
          <w:tcPr>
            <w:tcW w:w="254" w:type="pct"/>
            <w:shd w:val="clear" w:color="auto" w:fill="DADADA" w:themeFill="background2" w:themeFillShade="E6"/>
            <w:tcMar>
              <w:left w:w="105" w:type="dxa"/>
              <w:right w:w="105" w:type="dxa"/>
            </w:tcMar>
          </w:tcPr>
          <w:p w14:paraId="2A2542DD"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w:t>
            </w:r>
          </w:p>
        </w:tc>
        <w:tc>
          <w:tcPr>
            <w:tcW w:w="254" w:type="pct"/>
            <w:tcMar>
              <w:left w:w="105" w:type="dxa"/>
              <w:right w:w="105" w:type="dxa"/>
            </w:tcMar>
          </w:tcPr>
          <w:p w14:paraId="7282E010"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2.88</w:t>
            </w:r>
          </w:p>
        </w:tc>
        <w:tc>
          <w:tcPr>
            <w:tcW w:w="254" w:type="pct"/>
            <w:tcMar>
              <w:left w:w="105" w:type="dxa"/>
              <w:right w:w="105" w:type="dxa"/>
            </w:tcMar>
          </w:tcPr>
          <w:p w14:paraId="21DAC677"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2.97</w:t>
            </w:r>
          </w:p>
        </w:tc>
        <w:tc>
          <w:tcPr>
            <w:tcW w:w="254" w:type="pct"/>
            <w:shd w:val="clear" w:color="auto" w:fill="DADADA" w:themeFill="background2" w:themeFillShade="E6"/>
            <w:tcMar>
              <w:left w:w="105" w:type="dxa"/>
              <w:right w:w="105" w:type="dxa"/>
            </w:tcMar>
          </w:tcPr>
          <w:p w14:paraId="60FC986C"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3.13</w:t>
            </w:r>
          </w:p>
        </w:tc>
        <w:tc>
          <w:tcPr>
            <w:tcW w:w="254" w:type="pct"/>
            <w:shd w:val="clear" w:color="auto" w:fill="DADADA" w:themeFill="background2" w:themeFillShade="E6"/>
            <w:tcMar>
              <w:left w:w="105" w:type="dxa"/>
              <w:right w:w="105" w:type="dxa"/>
            </w:tcMar>
          </w:tcPr>
          <w:p w14:paraId="5570553A"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3.27*</w:t>
            </w:r>
          </w:p>
        </w:tc>
        <w:tc>
          <w:tcPr>
            <w:tcW w:w="254" w:type="pct"/>
            <w:tcMar>
              <w:left w:w="105" w:type="dxa"/>
              <w:right w:w="105" w:type="dxa"/>
            </w:tcMar>
          </w:tcPr>
          <w:p w14:paraId="518284C9"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3.03</w:t>
            </w:r>
          </w:p>
        </w:tc>
        <w:tc>
          <w:tcPr>
            <w:tcW w:w="254" w:type="pct"/>
            <w:tcMar>
              <w:left w:w="105" w:type="dxa"/>
              <w:right w:w="105" w:type="dxa"/>
            </w:tcMar>
          </w:tcPr>
          <w:p w14:paraId="172CF062"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3.06</w:t>
            </w:r>
          </w:p>
        </w:tc>
        <w:tc>
          <w:tcPr>
            <w:tcW w:w="262" w:type="pct"/>
            <w:shd w:val="clear" w:color="auto" w:fill="DADADA" w:themeFill="background2" w:themeFillShade="E6"/>
            <w:tcMar>
              <w:left w:w="105" w:type="dxa"/>
              <w:right w:w="105" w:type="dxa"/>
            </w:tcMar>
          </w:tcPr>
          <w:p w14:paraId="320E9F84"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2.97</w:t>
            </w:r>
          </w:p>
        </w:tc>
        <w:tc>
          <w:tcPr>
            <w:tcW w:w="262" w:type="pct"/>
            <w:shd w:val="clear" w:color="auto" w:fill="DADADA" w:themeFill="background2" w:themeFillShade="E6"/>
            <w:tcMar>
              <w:left w:w="105" w:type="dxa"/>
              <w:right w:w="105" w:type="dxa"/>
            </w:tcMar>
          </w:tcPr>
          <w:p w14:paraId="760A6277"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3.06</w:t>
            </w:r>
          </w:p>
        </w:tc>
        <w:tc>
          <w:tcPr>
            <w:tcW w:w="254" w:type="pct"/>
            <w:tcMar>
              <w:left w:w="105" w:type="dxa"/>
              <w:right w:w="105" w:type="dxa"/>
            </w:tcMar>
          </w:tcPr>
          <w:p w14:paraId="0770756E"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2.76</w:t>
            </w:r>
          </w:p>
        </w:tc>
        <w:tc>
          <w:tcPr>
            <w:tcW w:w="254" w:type="pct"/>
            <w:tcMar>
              <w:left w:w="105" w:type="dxa"/>
              <w:right w:w="105" w:type="dxa"/>
            </w:tcMar>
          </w:tcPr>
          <w:p w14:paraId="0055BCBB"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2.92</w:t>
            </w:r>
          </w:p>
        </w:tc>
        <w:tc>
          <w:tcPr>
            <w:tcW w:w="251" w:type="pct"/>
            <w:shd w:val="clear" w:color="auto" w:fill="DADADA" w:themeFill="background2" w:themeFillShade="E6"/>
            <w:tcMar>
              <w:left w:w="105" w:type="dxa"/>
              <w:right w:w="105" w:type="dxa"/>
            </w:tcMar>
          </w:tcPr>
          <w:p w14:paraId="7435F526"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2.84</w:t>
            </w:r>
          </w:p>
        </w:tc>
        <w:tc>
          <w:tcPr>
            <w:tcW w:w="248" w:type="pct"/>
            <w:shd w:val="clear" w:color="auto" w:fill="DADADA" w:themeFill="background2" w:themeFillShade="E6"/>
            <w:tcMar>
              <w:left w:w="105" w:type="dxa"/>
              <w:right w:w="105" w:type="dxa"/>
            </w:tcMar>
          </w:tcPr>
          <w:p w14:paraId="550A9AE1"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2.91</w:t>
            </w:r>
          </w:p>
        </w:tc>
      </w:tr>
      <w:tr w:rsidR="002B6683" w:rsidRPr="00DA2128" w14:paraId="572A083B" w14:textId="77777777" w:rsidTr="00B605CC">
        <w:trPr>
          <w:trHeight w:val="300"/>
        </w:trPr>
        <w:tc>
          <w:tcPr>
            <w:tcW w:w="376" w:type="pct"/>
            <w:tcMar>
              <w:left w:w="105" w:type="dxa"/>
              <w:right w:w="105" w:type="dxa"/>
            </w:tcMar>
          </w:tcPr>
          <w:p w14:paraId="677B29B0" w14:textId="77777777" w:rsidR="002B6683" w:rsidRPr="00DA2128" w:rsidRDefault="002B6683"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color w:val="000000" w:themeColor="text1"/>
                <w:sz w:val="18"/>
                <w:szCs w:val="18"/>
              </w:rPr>
              <w:lastRenderedPageBreak/>
              <w:t>77</w:t>
            </w:r>
          </w:p>
        </w:tc>
        <w:tc>
          <w:tcPr>
            <w:tcW w:w="275" w:type="pct"/>
            <w:shd w:val="clear" w:color="auto" w:fill="DADADA" w:themeFill="background2" w:themeFillShade="E6"/>
            <w:tcMar>
              <w:left w:w="105" w:type="dxa"/>
              <w:right w:w="105" w:type="dxa"/>
            </w:tcMar>
          </w:tcPr>
          <w:p w14:paraId="7AFB3E3E" w14:textId="77777777" w:rsidR="002B6683" w:rsidRPr="00DA2128" w:rsidRDefault="002B6683"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color w:val="000000" w:themeColor="text1"/>
                <w:sz w:val="18"/>
                <w:szCs w:val="18"/>
              </w:rPr>
              <w:t>2.74</w:t>
            </w:r>
          </w:p>
        </w:tc>
        <w:tc>
          <w:tcPr>
            <w:tcW w:w="276" w:type="pct"/>
            <w:shd w:val="clear" w:color="auto" w:fill="DADADA" w:themeFill="background2" w:themeFillShade="E6"/>
            <w:tcMar>
              <w:left w:w="105" w:type="dxa"/>
              <w:right w:w="105" w:type="dxa"/>
            </w:tcMar>
          </w:tcPr>
          <w:p w14:paraId="138FD3A7" w14:textId="77777777" w:rsidR="002B6683" w:rsidRPr="00DA2128" w:rsidRDefault="002B6683"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color w:val="000000" w:themeColor="text1"/>
                <w:sz w:val="18"/>
                <w:szCs w:val="18"/>
              </w:rPr>
              <w:t>2.41</w:t>
            </w:r>
          </w:p>
        </w:tc>
        <w:tc>
          <w:tcPr>
            <w:tcW w:w="254" w:type="pct"/>
            <w:tcMar>
              <w:left w:w="105" w:type="dxa"/>
              <w:right w:w="105" w:type="dxa"/>
            </w:tcMar>
          </w:tcPr>
          <w:p w14:paraId="0FB75C5A"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3.03</w:t>
            </w:r>
          </w:p>
        </w:tc>
        <w:tc>
          <w:tcPr>
            <w:tcW w:w="254" w:type="pct"/>
            <w:tcMar>
              <w:left w:w="105" w:type="dxa"/>
              <w:right w:w="105" w:type="dxa"/>
            </w:tcMar>
          </w:tcPr>
          <w:p w14:paraId="085EA265"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2.69</w:t>
            </w:r>
          </w:p>
        </w:tc>
        <w:tc>
          <w:tcPr>
            <w:tcW w:w="254" w:type="pct"/>
            <w:shd w:val="clear" w:color="auto" w:fill="DADADA" w:themeFill="background2" w:themeFillShade="E6"/>
            <w:tcMar>
              <w:left w:w="105" w:type="dxa"/>
              <w:right w:w="105" w:type="dxa"/>
            </w:tcMar>
          </w:tcPr>
          <w:p w14:paraId="3188AAEC"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3.18</w:t>
            </w:r>
          </w:p>
        </w:tc>
        <w:tc>
          <w:tcPr>
            <w:tcW w:w="254" w:type="pct"/>
            <w:shd w:val="clear" w:color="auto" w:fill="DADADA" w:themeFill="background2" w:themeFillShade="E6"/>
            <w:tcMar>
              <w:left w:w="105" w:type="dxa"/>
              <w:right w:w="105" w:type="dxa"/>
            </w:tcMar>
          </w:tcPr>
          <w:p w14:paraId="6311FC58"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2.76</w:t>
            </w:r>
          </w:p>
        </w:tc>
        <w:tc>
          <w:tcPr>
            <w:tcW w:w="254" w:type="pct"/>
            <w:tcMar>
              <w:left w:w="105" w:type="dxa"/>
              <w:right w:w="105" w:type="dxa"/>
            </w:tcMar>
          </w:tcPr>
          <w:p w14:paraId="440AA94A"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2.95</w:t>
            </w:r>
          </w:p>
        </w:tc>
        <w:tc>
          <w:tcPr>
            <w:tcW w:w="254" w:type="pct"/>
            <w:tcMar>
              <w:left w:w="105" w:type="dxa"/>
              <w:right w:w="105" w:type="dxa"/>
            </w:tcMar>
          </w:tcPr>
          <w:p w14:paraId="680D563F"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2.67</w:t>
            </w:r>
          </w:p>
        </w:tc>
        <w:tc>
          <w:tcPr>
            <w:tcW w:w="254" w:type="pct"/>
            <w:shd w:val="clear" w:color="auto" w:fill="DADADA" w:themeFill="background2" w:themeFillShade="E6"/>
            <w:tcMar>
              <w:left w:w="105" w:type="dxa"/>
              <w:right w:w="105" w:type="dxa"/>
            </w:tcMar>
          </w:tcPr>
          <w:p w14:paraId="62B28AF9"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2.97</w:t>
            </w:r>
          </w:p>
        </w:tc>
        <w:tc>
          <w:tcPr>
            <w:tcW w:w="254" w:type="pct"/>
            <w:shd w:val="clear" w:color="auto" w:fill="DADADA" w:themeFill="background2" w:themeFillShade="E6"/>
            <w:tcMar>
              <w:left w:w="105" w:type="dxa"/>
              <w:right w:w="105" w:type="dxa"/>
            </w:tcMar>
          </w:tcPr>
          <w:p w14:paraId="768A555C"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w:t>
            </w:r>
          </w:p>
        </w:tc>
        <w:tc>
          <w:tcPr>
            <w:tcW w:w="254" w:type="pct"/>
            <w:tcMar>
              <w:left w:w="105" w:type="dxa"/>
              <w:right w:w="105" w:type="dxa"/>
            </w:tcMar>
          </w:tcPr>
          <w:p w14:paraId="33F9A1A2"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2.95</w:t>
            </w:r>
          </w:p>
        </w:tc>
        <w:tc>
          <w:tcPr>
            <w:tcW w:w="254" w:type="pct"/>
            <w:tcMar>
              <w:left w:w="105" w:type="dxa"/>
              <w:right w:w="105" w:type="dxa"/>
            </w:tcMar>
          </w:tcPr>
          <w:p w14:paraId="0ABA9D65"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2.62</w:t>
            </w:r>
          </w:p>
        </w:tc>
        <w:tc>
          <w:tcPr>
            <w:tcW w:w="262" w:type="pct"/>
            <w:shd w:val="clear" w:color="auto" w:fill="DADADA" w:themeFill="background2" w:themeFillShade="E6"/>
            <w:tcMar>
              <w:left w:w="105" w:type="dxa"/>
              <w:right w:w="105" w:type="dxa"/>
            </w:tcMar>
          </w:tcPr>
          <w:p w14:paraId="3434E17E"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2.89</w:t>
            </w:r>
          </w:p>
        </w:tc>
        <w:tc>
          <w:tcPr>
            <w:tcW w:w="262" w:type="pct"/>
            <w:shd w:val="clear" w:color="auto" w:fill="DADADA" w:themeFill="background2" w:themeFillShade="E6"/>
            <w:tcMar>
              <w:left w:w="105" w:type="dxa"/>
              <w:right w:w="105" w:type="dxa"/>
            </w:tcMar>
          </w:tcPr>
          <w:p w14:paraId="6BBB6248"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2.71</w:t>
            </w:r>
          </w:p>
        </w:tc>
        <w:tc>
          <w:tcPr>
            <w:tcW w:w="254" w:type="pct"/>
            <w:tcMar>
              <w:left w:w="105" w:type="dxa"/>
              <w:right w:w="105" w:type="dxa"/>
            </w:tcMar>
          </w:tcPr>
          <w:p w14:paraId="0EB65740"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3.18</w:t>
            </w:r>
          </w:p>
        </w:tc>
        <w:tc>
          <w:tcPr>
            <w:tcW w:w="254" w:type="pct"/>
            <w:tcMar>
              <w:left w:w="105" w:type="dxa"/>
              <w:right w:w="105" w:type="dxa"/>
            </w:tcMar>
          </w:tcPr>
          <w:p w14:paraId="043DE5BB"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2.66</w:t>
            </w:r>
          </w:p>
        </w:tc>
        <w:tc>
          <w:tcPr>
            <w:tcW w:w="251" w:type="pct"/>
            <w:shd w:val="clear" w:color="auto" w:fill="DADADA" w:themeFill="background2" w:themeFillShade="E6"/>
            <w:tcMar>
              <w:left w:w="105" w:type="dxa"/>
              <w:right w:w="105" w:type="dxa"/>
            </w:tcMar>
          </w:tcPr>
          <w:p w14:paraId="55A2E23E"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2.7</w:t>
            </w:r>
          </w:p>
        </w:tc>
        <w:tc>
          <w:tcPr>
            <w:tcW w:w="248" w:type="pct"/>
            <w:shd w:val="clear" w:color="auto" w:fill="DADADA" w:themeFill="background2" w:themeFillShade="E6"/>
            <w:tcMar>
              <w:left w:w="105" w:type="dxa"/>
              <w:right w:w="105" w:type="dxa"/>
            </w:tcMar>
          </w:tcPr>
          <w:p w14:paraId="64CE3DE9"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2.34</w:t>
            </w:r>
          </w:p>
        </w:tc>
      </w:tr>
      <w:tr w:rsidR="002B6683" w:rsidRPr="00DA2128" w14:paraId="3BE0623D" w14:textId="77777777" w:rsidTr="00B605CC">
        <w:trPr>
          <w:trHeight w:val="300"/>
        </w:trPr>
        <w:tc>
          <w:tcPr>
            <w:tcW w:w="376" w:type="pct"/>
            <w:tcMar>
              <w:left w:w="105" w:type="dxa"/>
              <w:right w:w="105" w:type="dxa"/>
            </w:tcMar>
          </w:tcPr>
          <w:p w14:paraId="028AB18E" w14:textId="77777777" w:rsidR="002B6683" w:rsidRPr="00DA2128" w:rsidRDefault="002B6683"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b/>
                <w:bCs/>
                <w:color w:val="000000" w:themeColor="text1"/>
                <w:sz w:val="18"/>
                <w:szCs w:val="18"/>
              </w:rPr>
              <w:t>Cluster 2</w:t>
            </w:r>
          </w:p>
        </w:tc>
        <w:tc>
          <w:tcPr>
            <w:tcW w:w="275" w:type="pct"/>
            <w:shd w:val="clear" w:color="auto" w:fill="DADADA" w:themeFill="background2" w:themeFillShade="E6"/>
            <w:tcMar>
              <w:left w:w="105" w:type="dxa"/>
              <w:right w:w="105" w:type="dxa"/>
            </w:tcMar>
          </w:tcPr>
          <w:p w14:paraId="1DCA3A34"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b/>
                <w:bCs/>
                <w:sz w:val="18"/>
                <w:szCs w:val="18"/>
              </w:rPr>
              <w:t>2.57</w:t>
            </w:r>
          </w:p>
        </w:tc>
        <w:tc>
          <w:tcPr>
            <w:tcW w:w="276" w:type="pct"/>
            <w:shd w:val="clear" w:color="auto" w:fill="DADADA" w:themeFill="background2" w:themeFillShade="E6"/>
            <w:tcMar>
              <w:left w:w="105" w:type="dxa"/>
              <w:right w:w="105" w:type="dxa"/>
            </w:tcMar>
          </w:tcPr>
          <w:p w14:paraId="72279769"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b/>
                <w:bCs/>
                <w:sz w:val="18"/>
                <w:szCs w:val="18"/>
              </w:rPr>
              <w:t>2.68</w:t>
            </w:r>
          </w:p>
        </w:tc>
        <w:tc>
          <w:tcPr>
            <w:tcW w:w="254" w:type="pct"/>
            <w:tcMar>
              <w:left w:w="105" w:type="dxa"/>
              <w:right w:w="105" w:type="dxa"/>
            </w:tcMar>
          </w:tcPr>
          <w:p w14:paraId="73E882AA"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b/>
                <w:bCs/>
                <w:sz w:val="18"/>
                <w:szCs w:val="18"/>
              </w:rPr>
              <w:t>2.84</w:t>
            </w:r>
          </w:p>
        </w:tc>
        <w:tc>
          <w:tcPr>
            <w:tcW w:w="254" w:type="pct"/>
            <w:tcMar>
              <w:left w:w="105" w:type="dxa"/>
              <w:right w:w="105" w:type="dxa"/>
            </w:tcMar>
          </w:tcPr>
          <w:p w14:paraId="39E9A6C6"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b/>
                <w:bCs/>
                <w:sz w:val="18"/>
                <w:szCs w:val="18"/>
              </w:rPr>
              <w:t>2.81</w:t>
            </w:r>
          </w:p>
        </w:tc>
        <w:tc>
          <w:tcPr>
            <w:tcW w:w="254" w:type="pct"/>
            <w:shd w:val="clear" w:color="auto" w:fill="DADADA" w:themeFill="background2" w:themeFillShade="E6"/>
            <w:tcMar>
              <w:left w:w="105" w:type="dxa"/>
              <w:right w:w="105" w:type="dxa"/>
            </w:tcMar>
          </w:tcPr>
          <w:p w14:paraId="53AFCCE0" w14:textId="77777777" w:rsidR="002B6683" w:rsidRPr="00DA2128" w:rsidRDefault="002B6683"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b/>
                <w:bCs/>
                <w:color w:val="000000" w:themeColor="text1"/>
                <w:sz w:val="18"/>
                <w:szCs w:val="18"/>
              </w:rPr>
              <w:t>2.92</w:t>
            </w:r>
          </w:p>
        </w:tc>
        <w:tc>
          <w:tcPr>
            <w:tcW w:w="254" w:type="pct"/>
            <w:shd w:val="clear" w:color="auto" w:fill="DADADA" w:themeFill="background2" w:themeFillShade="E6"/>
            <w:tcMar>
              <w:left w:w="105" w:type="dxa"/>
              <w:right w:w="105" w:type="dxa"/>
            </w:tcMar>
          </w:tcPr>
          <w:p w14:paraId="1A538A24" w14:textId="77777777" w:rsidR="002B6683" w:rsidRPr="00DA2128" w:rsidRDefault="002B6683"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b/>
                <w:bCs/>
                <w:color w:val="000000" w:themeColor="text1"/>
                <w:sz w:val="18"/>
                <w:szCs w:val="18"/>
              </w:rPr>
              <w:t>2.71</w:t>
            </w:r>
          </w:p>
        </w:tc>
        <w:tc>
          <w:tcPr>
            <w:tcW w:w="254" w:type="pct"/>
            <w:tcMar>
              <w:left w:w="105" w:type="dxa"/>
              <w:right w:w="105" w:type="dxa"/>
            </w:tcMar>
          </w:tcPr>
          <w:p w14:paraId="11E7359D"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b/>
                <w:bCs/>
                <w:sz w:val="18"/>
                <w:szCs w:val="18"/>
              </w:rPr>
              <w:t>2.71</w:t>
            </w:r>
          </w:p>
        </w:tc>
        <w:tc>
          <w:tcPr>
            <w:tcW w:w="254" w:type="pct"/>
            <w:tcMar>
              <w:left w:w="105" w:type="dxa"/>
              <w:right w:w="105" w:type="dxa"/>
            </w:tcMar>
          </w:tcPr>
          <w:p w14:paraId="6E0073CA"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b/>
                <w:bCs/>
                <w:sz w:val="18"/>
                <w:szCs w:val="18"/>
              </w:rPr>
              <w:t>2.76</w:t>
            </w:r>
          </w:p>
        </w:tc>
        <w:tc>
          <w:tcPr>
            <w:tcW w:w="254" w:type="pct"/>
            <w:shd w:val="clear" w:color="auto" w:fill="DADADA" w:themeFill="background2" w:themeFillShade="E6"/>
            <w:tcMar>
              <w:left w:w="105" w:type="dxa"/>
              <w:right w:w="105" w:type="dxa"/>
            </w:tcMar>
          </w:tcPr>
          <w:p w14:paraId="22670F96"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b/>
                <w:bCs/>
                <w:sz w:val="18"/>
                <w:szCs w:val="18"/>
              </w:rPr>
              <w:t>3.14</w:t>
            </w:r>
          </w:p>
        </w:tc>
        <w:tc>
          <w:tcPr>
            <w:tcW w:w="254" w:type="pct"/>
            <w:shd w:val="clear" w:color="auto" w:fill="DADADA" w:themeFill="background2" w:themeFillShade="E6"/>
            <w:tcMar>
              <w:left w:w="105" w:type="dxa"/>
              <w:right w:w="105" w:type="dxa"/>
            </w:tcMar>
          </w:tcPr>
          <w:p w14:paraId="66CDA310"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b/>
                <w:bCs/>
                <w:sz w:val="18"/>
                <w:szCs w:val="18"/>
              </w:rPr>
              <w:t>3.1</w:t>
            </w:r>
          </w:p>
        </w:tc>
        <w:tc>
          <w:tcPr>
            <w:tcW w:w="254" w:type="pct"/>
            <w:tcMar>
              <w:left w:w="105" w:type="dxa"/>
              <w:right w:w="105" w:type="dxa"/>
            </w:tcMar>
          </w:tcPr>
          <w:p w14:paraId="79F59824" w14:textId="77777777" w:rsidR="002B6683" w:rsidRPr="00DA2128" w:rsidRDefault="002B6683" w:rsidP="00A937C6">
            <w:pPr>
              <w:spacing w:after="200" w:line="240" w:lineRule="auto"/>
              <w:jc w:val="center"/>
              <w:rPr>
                <w:rFonts w:eastAsia="Aptos" w:cs="Times New Roman"/>
                <w:color w:val="1B2232"/>
                <w:sz w:val="18"/>
                <w:szCs w:val="18"/>
              </w:rPr>
            </w:pPr>
            <w:r w:rsidRPr="00DA2128">
              <w:rPr>
                <w:rStyle w:val="oneUserDefinedStyle"/>
                <w:rFonts w:eastAsia="Aptos" w:cs="Times New Roman"/>
                <w:b/>
                <w:bCs/>
                <w:sz w:val="18"/>
                <w:szCs w:val="18"/>
              </w:rPr>
              <w:t>2.98</w:t>
            </w:r>
          </w:p>
        </w:tc>
        <w:tc>
          <w:tcPr>
            <w:tcW w:w="254" w:type="pct"/>
            <w:tcMar>
              <w:left w:w="105" w:type="dxa"/>
              <w:right w:w="105" w:type="dxa"/>
            </w:tcMar>
          </w:tcPr>
          <w:p w14:paraId="5DDA9C88" w14:textId="77777777" w:rsidR="002B6683" w:rsidRPr="00DA2128" w:rsidRDefault="002B6683"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b/>
                <w:bCs/>
                <w:color w:val="000000" w:themeColor="text1"/>
                <w:sz w:val="18"/>
                <w:szCs w:val="18"/>
              </w:rPr>
              <w:t>2.88</w:t>
            </w:r>
          </w:p>
        </w:tc>
        <w:tc>
          <w:tcPr>
            <w:tcW w:w="262" w:type="pct"/>
            <w:shd w:val="clear" w:color="auto" w:fill="DADADA" w:themeFill="background2" w:themeFillShade="E6"/>
            <w:tcMar>
              <w:left w:w="105" w:type="dxa"/>
              <w:right w:w="105" w:type="dxa"/>
            </w:tcMar>
          </w:tcPr>
          <w:p w14:paraId="26B3E633" w14:textId="77777777" w:rsidR="002B6683" w:rsidRPr="00DA2128" w:rsidRDefault="002B6683"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b/>
                <w:bCs/>
                <w:color w:val="000000" w:themeColor="text1"/>
                <w:sz w:val="18"/>
                <w:szCs w:val="18"/>
              </w:rPr>
              <w:t>2.82</w:t>
            </w:r>
          </w:p>
        </w:tc>
        <w:tc>
          <w:tcPr>
            <w:tcW w:w="262" w:type="pct"/>
            <w:shd w:val="clear" w:color="auto" w:fill="DADADA" w:themeFill="background2" w:themeFillShade="E6"/>
            <w:tcMar>
              <w:left w:w="105" w:type="dxa"/>
              <w:right w:w="105" w:type="dxa"/>
            </w:tcMar>
          </w:tcPr>
          <w:p w14:paraId="5E92EF5E" w14:textId="77777777" w:rsidR="002B6683" w:rsidRPr="00DA2128" w:rsidRDefault="002B6683"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b/>
                <w:bCs/>
                <w:color w:val="000000" w:themeColor="text1"/>
                <w:sz w:val="18"/>
                <w:szCs w:val="18"/>
              </w:rPr>
              <w:t>2.82</w:t>
            </w:r>
          </w:p>
        </w:tc>
        <w:tc>
          <w:tcPr>
            <w:tcW w:w="254" w:type="pct"/>
            <w:tcMar>
              <w:left w:w="105" w:type="dxa"/>
              <w:right w:w="105" w:type="dxa"/>
            </w:tcMar>
          </w:tcPr>
          <w:p w14:paraId="45F5D5DF" w14:textId="77777777" w:rsidR="002B6683" w:rsidRPr="00DA2128" w:rsidRDefault="002B6683"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b/>
                <w:bCs/>
                <w:color w:val="000000" w:themeColor="text1"/>
                <w:sz w:val="18"/>
                <w:szCs w:val="18"/>
              </w:rPr>
              <w:t>2.97</w:t>
            </w:r>
          </w:p>
        </w:tc>
        <w:tc>
          <w:tcPr>
            <w:tcW w:w="254" w:type="pct"/>
            <w:tcMar>
              <w:left w:w="105" w:type="dxa"/>
              <w:right w:w="105" w:type="dxa"/>
            </w:tcMar>
          </w:tcPr>
          <w:p w14:paraId="031A94FF" w14:textId="77777777" w:rsidR="002B6683" w:rsidRPr="00DA2128" w:rsidRDefault="002B6683"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b/>
                <w:bCs/>
                <w:color w:val="000000" w:themeColor="text1"/>
                <w:sz w:val="18"/>
                <w:szCs w:val="18"/>
              </w:rPr>
              <w:t>3</w:t>
            </w:r>
          </w:p>
        </w:tc>
        <w:tc>
          <w:tcPr>
            <w:tcW w:w="251" w:type="pct"/>
            <w:shd w:val="clear" w:color="auto" w:fill="DADADA" w:themeFill="background2" w:themeFillShade="E6"/>
            <w:tcMar>
              <w:left w:w="105" w:type="dxa"/>
              <w:right w:w="105" w:type="dxa"/>
            </w:tcMar>
          </w:tcPr>
          <w:p w14:paraId="2DD2AAF8" w14:textId="77777777" w:rsidR="002B6683" w:rsidRPr="00DA2128" w:rsidRDefault="002B6683"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b/>
                <w:bCs/>
                <w:color w:val="000000" w:themeColor="text1"/>
                <w:sz w:val="18"/>
                <w:szCs w:val="18"/>
              </w:rPr>
              <w:t>2.63</w:t>
            </w:r>
          </w:p>
        </w:tc>
        <w:tc>
          <w:tcPr>
            <w:tcW w:w="248" w:type="pct"/>
            <w:shd w:val="clear" w:color="auto" w:fill="DADADA" w:themeFill="background2" w:themeFillShade="E6"/>
            <w:tcMar>
              <w:left w:w="105" w:type="dxa"/>
              <w:right w:w="105" w:type="dxa"/>
            </w:tcMar>
          </w:tcPr>
          <w:p w14:paraId="05F5A5A5" w14:textId="77777777" w:rsidR="002B6683" w:rsidRPr="00DA2128" w:rsidRDefault="002B6683"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b/>
                <w:bCs/>
                <w:color w:val="000000" w:themeColor="text1"/>
                <w:sz w:val="18"/>
                <w:szCs w:val="18"/>
              </w:rPr>
              <w:t>2.54</w:t>
            </w:r>
          </w:p>
        </w:tc>
      </w:tr>
      <w:tr w:rsidR="002B6683" w:rsidRPr="00DA2128" w14:paraId="171B98CE" w14:textId="77777777" w:rsidTr="00B605CC">
        <w:trPr>
          <w:trHeight w:val="300"/>
        </w:trPr>
        <w:tc>
          <w:tcPr>
            <w:tcW w:w="376" w:type="pct"/>
            <w:tcMar>
              <w:left w:w="105" w:type="dxa"/>
              <w:right w:w="105" w:type="dxa"/>
            </w:tcMar>
          </w:tcPr>
          <w:p w14:paraId="2A2599F3" w14:textId="77777777" w:rsidR="002B6683" w:rsidRPr="00DA2128" w:rsidRDefault="002B6683"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color w:val="000000" w:themeColor="text1"/>
                <w:sz w:val="18"/>
                <w:szCs w:val="18"/>
              </w:rPr>
              <w:t>2</w:t>
            </w:r>
          </w:p>
        </w:tc>
        <w:tc>
          <w:tcPr>
            <w:tcW w:w="275" w:type="pct"/>
            <w:shd w:val="clear" w:color="auto" w:fill="DADADA" w:themeFill="background2" w:themeFillShade="E6"/>
            <w:tcMar>
              <w:left w:w="105" w:type="dxa"/>
              <w:right w:w="105" w:type="dxa"/>
            </w:tcMar>
          </w:tcPr>
          <w:p w14:paraId="7F8FC64E"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2.26</w:t>
            </w:r>
          </w:p>
        </w:tc>
        <w:tc>
          <w:tcPr>
            <w:tcW w:w="276" w:type="pct"/>
            <w:shd w:val="clear" w:color="auto" w:fill="DADADA" w:themeFill="background2" w:themeFillShade="E6"/>
            <w:tcMar>
              <w:left w:w="105" w:type="dxa"/>
              <w:right w:w="105" w:type="dxa"/>
            </w:tcMar>
          </w:tcPr>
          <w:p w14:paraId="49B7A608"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2.62</w:t>
            </w:r>
          </w:p>
        </w:tc>
        <w:tc>
          <w:tcPr>
            <w:tcW w:w="254" w:type="pct"/>
            <w:tcMar>
              <w:left w:w="105" w:type="dxa"/>
              <w:right w:w="105" w:type="dxa"/>
            </w:tcMar>
          </w:tcPr>
          <w:p w14:paraId="256958F3"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2.89</w:t>
            </w:r>
          </w:p>
        </w:tc>
        <w:tc>
          <w:tcPr>
            <w:tcW w:w="254" w:type="pct"/>
            <w:tcMar>
              <w:left w:w="105" w:type="dxa"/>
              <w:right w:w="105" w:type="dxa"/>
            </w:tcMar>
          </w:tcPr>
          <w:p w14:paraId="55862629"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3*</w:t>
            </w:r>
          </w:p>
        </w:tc>
        <w:tc>
          <w:tcPr>
            <w:tcW w:w="254" w:type="pct"/>
            <w:shd w:val="clear" w:color="auto" w:fill="DADADA" w:themeFill="background2" w:themeFillShade="E6"/>
            <w:tcMar>
              <w:left w:w="105" w:type="dxa"/>
              <w:right w:w="105" w:type="dxa"/>
            </w:tcMar>
          </w:tcPr>
          <w:p w14:paraId="1672E277"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2.86</w:t>
            </w:r>
          </w:p>
        </w:tc>
        <w:tc>
          <w:tcPr>
            <w:tcW w:w="254" w:type="pct"/>
            <w:shd w:val="clear" w:color="auto" w:fill="DADADA" w:themeFill="background2" w:themeFillShade="E6"/>
            <w:tcMar>
              <w:left w:w="105" w:type="dxa"/>
              <w:right w:w="105" w:type="dxa"/>
            </w:tcMar>
          </w:tcPr>
          <w:p w14:paraId="5066B477"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2.88</w:t>
            </w:r>
          </w:p>
        </w:tc>
        <w:tc>
          <w:tcPr>
            <w:tcW w:w="254" w:type="pct"/>
            <w:tcMar>
              <w:left w:w="105" w:type="dxa"/>
              <w:right w:w="105" w:type="dxa"/>
            </w:tcMar>
          </w:tcPr>
          <w:p w14:paraId="0F260CC7"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2.5</w:t>
            </w:r>
          </w:p>
        </w:tc>
        <w:tc>
          <w:tcPr>
            <w:tcW w:w="254" w:type="pct"/>
            <w:tcMar>
              <w:left w:w="105" w:type="dxa"/>
              <w:right w:w="105" w:type="dxa"/>
            </w:tcMar>
          </w:tcPr>
          <w:p w14:paraId="41C4F613"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2.72</w:t>
            </w:r>
          </w:p>
        </w:tc>
        <w:tc>
          <w:tcPr>
            <w:tcW w:w="254" w:type="pct"/>
            <w:shd w:val="clear" w:color="auto" w:fill="DADADA" w:themeFill="background2" w:themeFillShade="E6"/>
            <w:tcMar>
              <w:left w:w="105" w:type="dxa"/>
              <w:right w:w="105" w:type="dxa"/>
            </w:tcMar>
          </w:tcPr>
          <w:p w14:paraId="3C211131"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2.92</w:t>
            </w:r>
          </w:p>
        </w:tc>
        <w:tc>
          <w:tcPr>
            <w:tcW w:w="254" w:type="pct"/>
            <w:shd w:val="clear" w:color="auto" w:fill="DADADA" w:themeFill="background2" w:themeFillShade="E6"/>
            <w:tcMar>
              <w:left w:w="105" w:type="dxa"/>
              <w:right w:w="105" w:type="dxa"/>
            </w:tcMar>
          </w:tcPr>
          <w:p w14:paraId="5B9D59EB"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3.06</w:t>
            </w:r>
          </w:p>
        </w:tc>
        <w:tc>
          <w:tcPr>
            <w:tcW w:w="254" w:type="pct"/>
            <w:tcMar>
              <w:left w:w="105" w:type="dxa"/>
              <w:right w:w="105" w:type="dxa"/>
            </w:tcMar>
          </w:tcPr>
          <w:p w14:paraId="3E8F7366"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2.7</w:t>
            </w:r>
          </w:p>
        </w:tc>
        <w:tc>
          <w:tcPr>
            <w:tcW w:w="254" w:type="pct"/>
            <w:tcMar>
              <w:left w:w="105" w:type="dxa"/>
              <w:right w:w="105" w:type="dxa"/>
            </w:tcMar>
          </w:tcPr>
          <w:p w14:paraId="204AE088"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2.85</w:t>
            </w:r>
          </w:p>
        </w:tc>
        <w:tc>
          <w:tcPr>
            <w:tcW w:w="262" w:type="pct"/>
            <w:shd w:val="clear" w:color="auto" w:fill="DADADA" w:themeFill="background2" w:themeFillShade="E6"/>
            <w:tcMar>
              <w:left w:w="105" w:type="dxa"/>
              <w:right w:w="105" w:type="dxa"/>
            </w:tcMar>
          </w:tcPr>
          <w:p w14:paraId="73947807"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2.58</w:t>
            </w:r>
          </w:p>
        </w:tc>
        <w:tc>
          <w:tcPr>
            <w:tcW w:w="262" w:type="pct"/>
            <w:shd w:val="clear" w:color="auto" w:fill="DADADA" w:themeFill="background2" w:themeFillShade="E6"/>
            <w:tcMar>
              <w:left w:w="105" w:type="dxa"/>
              <w:right w:w="105" w:type="dxa"/>
            </w:tcMar>
          </w:tcPr>
          <w:p w14:paraId="21CD8E58"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2.71</w:t>
            </w:r>
          </w:p>
        </w:tc>
        <w:tc>
          <w:tcPr>
            <w:tcW w:w="254" w:type="pct"/>
            <w:tcMar>
              <w:left w:w="105" w:type="dxa"/>
              <w:right w:w="105" w:type="dxa"/>
            </w:tcMar>
          </w:tcPr>
          <w:p w14:paraId="65DA8BBA"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2.86</w:t>
            </w:r>
          </w:p>
        </w:tc>
        <w:tc>
          <w:tcPr>
            <w:tcW w:w="254" w:type="pct"/>
            <w:tcMar>
              <w:left w:w="105" w:type="dxa"/>
              <w:right w:w="105" w:type="dxa"/>
            </w:tcMar>
          </w:tcPr>
          <w:p w14:paraId="0C2F3C89"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3.04</w:t>
            </w:r>
          </w:p>
        </w:tc>
        <w:tc>
          <w:tcPr>
            <w:tcW w:w="251" w:type="pct"/>
            <w:shd w:val="clear" w:color="auto" w:fill="DADADA" w:themeFill="background2" w:themeFillShade="E6"/>
            <w:tcMar>
              <w:left w:w="105" w:type="dxa"/>
              <w:right w:w="105" w:type="dxa"/>
            </w:tcMar>
          </w:tcPr>
          <w:p w14:paraId="0B31FEB5"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2.41</w:t>
            </w:r>
          </w:p>
        </w:tc>
        <w:tc>
          <w:tcPr>
            <w:tcW w:w="248" w:type="pct"/>
            <w:shd w:val="clear" w:color="auto" w:fill="DADADA" w:themeFill="background2" w:themeFillShade="E6"/>
            <w:tcMar>
              <w:left w:w="105" w:type="dxa"/>
              <w:right w:w="105" w:type="dxa"/>
            </w:tcMar>
          </w:tcPr>
          <w:p w14:paraId="18051C4E"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2.51</w:t>
            </w:r>
          </w:p>
        </w:tc>
      </w:tr>
      <w:tr w:rsidR="002B6683" w:rsidRPr="00DA2128" w14:paraId="192E64EE" w14:textId="77777777" w:rsidTr="00B605CC">
        <w:trPr>
          <w:trHeight w:val="300"/>
        </w:trPr>
        <w:tc>
          <w:tcPr>
            <w:tcW w:w="376" w:type="pct"/>
            <w:tcMar>
              <w:left w:w="105" w:type="dxa"/>
              <w:right w:w="105" w:type="dxa"/>
            </w:tcMar>
          </w:tcPr>
          <w:p w14:paraId="18C1E0B8" w14:textId="77777777" w:rsidR="002B6683" w:rsidRPr="00DA2128" w:rsidRDefault="002B6683"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color w:val="000000" w:themeColor="text1"/>
                <w:sz w:val="18"/>
                <w:szCs w:val="18"/>
              </w:rPr>
              <w:t>3</w:t>
            </w:r>
          </w:p>
        </w:tc>
        <w:tc>
          <w:tcPr>
            <w:tcW w:w="275" w:type="pct"/>
            <w:shd w:val="clear" w:color="auto" w:fill="DADADA" w:themeFill="background2" w:themeFillShade="E6"/>
            <w:tcMar>
              <w:left w:w="105" w:type="dxa"/>
              <w:right w:w="105" w:type="dxa"/>
            </w:tcMar>
          </w:tcPr>
          <w:p w14:paraId="60D6AA10"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2.74</w:t>
            </w:r>
          </w:p>
        </w:tc>
        <w:tc>
          <w:tcPr>
            <w:tcW w:w="276" w:type="pct"/>
            <w:shd w:val="clear" w:color="auto" w:fill="DADADA" w:themeFill="background2" w:themeFillShade="E6"/>
            <w:tcMar>
              <w:left w:w="105" w:type="dxa"/>
              <w:right w:w="105" w:type="dxa"/>
            </w:tcMar>
          </w:tcPr>
          <w:p w14:paraId="264722FF"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2.73</w:t>
            </w:r>
          </w:p>
        </w:tc>
        <w:tc>
          <w:tcPr>
            <w:tcW w:w="254" w:type="pct"/>
            <w:tcMar>
              <w:left w:w="105" w:type="dxa"/>
              <w:right w:w="105" w:type="dxa"/>
            </w:tcMar>
          </w:tcPr>
          <w:p w14:paraId="12165BCB"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2.9</w:t>
            </w:r>
          </w:p>
        </w:tc>
        <w:tc>
          <w:tcPr>
            <w:tcW w:w="254" w:type="pct"/>
            <w:tcMar>
              <w:left w:w="105" w:type="dxa"/>
              <w:right w:w="105" w:type="dxa"/>
            </w:tcMar>
          </w:tcPr>
          <w:p w14:paraId="7ECC3556"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2.89</w:t>
            </w:r>
          </w:p>
        </w:tc>
        <w:tc>
          <w:tcPr>
            <w:tcW w:w="254" w:type="pct"/>
            <w:shd w:val="clear" w:color="auto" w:fill="DADADA" w:themeFill="background2" w:themeFillShade="E6"/>
            <w:tcMar>
              <w:left w:w="105" w:type="dxa"/>
              <w:right w:w="105" w:type="dxa"/>
            </w:tcMar>
          </w:tcPr>
          <w:p w14:paraId="7B272617"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3.09</w:t>
            </w:r>
          </w:p>
        </w:tc>
        <w:tc>
          <w:tcPr>
            <w:tcW w:w="254" w:type="pct"/>
            <w:shd w:val="clear" w:color="auto" w:fill="DADADA" w:themeFill="background2" w:themeFillShade="E6"/>
            <w:tcMar>
              <w:left w:w="105" w:type="dxa"/>
              <w:right w:w="105" w:type="dxa"/>
            </w:tcMar>
          </w:tcPr>
          <w:p w14:paraId="27ED3851"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3.09</w:t>
            </w:r>
          </w:p>
        </w:tc>
        <w:tc>
          <w:tcPr>
            <w:tcW w:w="254" w:type="pct"/>
            <w:tcMar>
              <w:left w:w="105" w:type="dxa"/>
              <w:right w:w="105" w:type="dxa"/>
            </w:tcMar>
          </w:tcPr>
          <w:p w14:paraId="52964DEC"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2.78</w:t>
            </w:r>
          </w:p>
        </w:tc>
        <w:tc>
          <w:tcPr>
            <w:tcW w:w="254" w:type="pct"/>
            <w:tcMar>
              <w:left w:w="105" w:type="dxa"/>
              <w:right w:w="105" w:type="dxa"/>
            </w:tcMar>
          </w:tcPr>
          <w:p w14:paraId="6B38300C"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2.92</w:t>
            </w:r>
          </w:p>
        </w:tc>
        <w:tc>
          <w:tcPr>
            <w:tcW w:w="254" w:type="pct"/>
            <w:shd w:val="clear" w:color="auto" w:fill="DADADA" w:themeFill="background2" w:themeFillShade="E6"/>
            <w:tcMar>
              <w:left w:w="105" w:type="dxa"/>
              <w:right w:w="105" w:type="dxa"/>
            </w:tcMar>
          </w:tcPr>
          <w:p w14:paraId="659829FA"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3.21</w:t>
            </w:r>
          </w:p>
        </w:tc>
        <w:tc>
          <w:tcPr>
            <w:tcW w:w="254" w:type="pct"/>
            <w:shd w:val="clear" w:color="auto" w:fill="DADADA" w:themeFill="background2" w:themeFillShade="E6"/>
            <w:tcMar>
              <w:left w:w="105" w:type="dxa"/>
              <w:right w:w="105" w:type="dxa"/>
            </w:tcMar>
          </w:tcPr>
          <w:p w14:paraId="198F5222"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3.14</w:t>
            </w:r>
          </w:p>
        </w:tc>
        <w:tc>
          <w:tcPr>
            <w:tcW w:w="254" w:type="pct"/>
            <w:tcMar>
              <w:left w:w="105" w:type="dxa"/>
              <w:right w:w="105" w:type="dxa"/>
            </w:tcMar>
          </w:tcPr>
          <w:p w14:paraId="2A4EB4ED"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w:t>
            </w:r>
          </w:p>
        </w:tc>
        <w:tc>
          <w:tcPr>
            <w:tcW w:w="254" w:type="pct"/>
            <w:tcMar>
              <w:left w:w="105" w:type="dxa"/>
              <w:right w:w="105" w:type="dxa"/>
            </w:tcMar>
          </w:tcPr>
          <w:p w14:paraId="287FA205"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3.11*</w:t>
            </w:r>
          </w:p>
        </w:tc>
        <w:tc>
          <w:tcPr>
            <w:tcW w:w="262" w:type="pct"/>
            <w:shd w:val="clear" w:color="auto" w:fill="DADADA" w:themeFill="background2" w:themeFillShade="E6"/>
            <w:tcMar>
              <w:left w:w="105" w:type="dxa"/>
              <w:right w:w="105" w:type="dxa"/>
            </w:tcMar>
          </w:tcPr>
          <w:p w14:paraId="43775CF4"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2.71</w:t>
            </w:r>
          </w:p>
        </w:tc>
        <w:tc>
          <w:tcPr>
            <w:tcW w:w="262" w:type="pct"/>
            <w:shd w:val="clear" w:color="auto" w:fill="DADADA" w:themeFill="background2" w:themeFillShade="E6"/>
            <w:tcMar>
              <w:left w:w="105" w:type="dxa"/>
              <w:right w:w="105" w:type="dxa"/>
            </w:tcMar>
          </w:tcPr>
          <w:p w14:paraId="5535CCE3"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2.86</w:t>
            </w:r>
          </w:p>
        </w:tc>
        <w:tc>
          <w:tcPr>
            <w:tcW w:w="254" w:type="pct"/>
            <w:tcMar>
              <w:left w:w="105" w:type="dxa"/>
              <w:right w:w="105" w:type="dxa"/>
            </w:tcMar>
          </w:tcPr>
          <w:p w14:paraId="0C020EEA"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3.14</w:t>
            </w:r>
          </w:p>
        </w:tc>
        <w:tc>
          <w:tcPr>
            <w:tcW w:w="254" w:type="pct"/>
            <w:tcMar>
              <w:left w:w="105" w:type="dxa"/>
              <w:right w:w="105" w:type="dxa"/>
            </w:tcMar>
          </w:tcPr>
          <w:p w14:paraId="4602D071"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2.96</w:t>
            </w:r>
          </w:p>
        </w:tc>
        <w:tc>
          <w:tcPr>
            <w:tcW w:w="251" w:type="pct"/>
            <w:shd w:val="clear" w:color="auto" w:fill="DADADA" w:themeFill="background2" w:themeFillShade="E6"/>
            <w:tcMar>
              <w:left w:w="105" w:type="dxa"/>
              <w:right w:w="105" w:type="dxa"/>
            </w:tcMar>
          </w:tcPr>
          <w:p w14:paraId="75036A0C"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2.58</w:t>
            </w:r>
          </w:p>
        </w:tc>
        <w:tc>
          <w:tcPr>
            <w:tcW w:w="248" w:type="pct"/>
            <w:shd w:val="clear" w:color="auto" w:fill="DADADA" w:themeFill="background2" w:themeFillShade="E6"/>
            <w:tcMar>
              <w:left w:w="105" w:type="dxa"/>
              <w:right w:w="105" w:type="dxa"/>
            </w:tcMar>
          </w:tcPr>
          <w:p w14:paraId="1F0836E3"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2.41</w:t>
            </w:r>
          </w:p>
        </w:tc>
      </w:tr>
      <w:tr w:rsidR="002B6683" w:rsidRPr="00DA2128" w14:paraId="7C0C115E" w14:textId="77777777" w:rsidTr="00B605CC">
        <w:trPr>
          <w:trHeight w:val="300"/>
        </w:trPr>
        <w:tc>
          <w:tcPr>
            <w:tcW w:w="376" w:type="pct"/>
            <w:tcMar>
              <w:left w:w="105" w:type="dxa"/>
              <w:right w:w="105" w:type="dxa"/>
            </w:tcMar>
          </w:tcPr>
          <w:p w14:paraId="23E2B65C" w14:textId="77777777" w:rsidR="002B6683" w:rsidRPr="00DA2128" w:rsidRDefault="002B6683"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color w:val="000000" w:themeColor="text1"/>
                <w:sz w:val="18"/>
                <w:szCs w:val="18"/>
              </w:rPr>
              <w:t>7</w:t>
            </w:r>
          </w:p>
        </w:tc>
        <w:tc>
          <w:tcPr>
            <w:tcW w:w="275" w:type="pct"/>
            <w:shd w:val="clear" w:color="auto" w:fill="DADADA" w:themeFill="background2" w:themeFillShade="E6"/>
            <w:tcMar>
              <w:left w:w="105" w:type="dxa"/>
              <w:right w:w="105" w:type="dxa"/>
            </w:tcMar>
          </w:tcPr>
          <w:p w14:paraId="4B7AAE3B"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2.47</w:t>
            </w:r>
          </w:p>
        </w:tc>
        <w:tc>
          <w:tcPr>
            <w:tcW w:w="276" w:type="pct"/>
            <w:shd w:val="clear" w:color="auto" w:fill="DADADA" w:themeFill="background2" w:themeFillShade="E6"/>
            <w:tcMar>
              <w:left w:w="105" w:type="dxa"/>
              <w:right w:w="105" w:type="dxa"/>
            </w:tcMar>
          </w:tcPr>
          <w:p w14:paraId="3C7AD9DC"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2.49</w:t>
            </w:r>
          </w:p>
        </w:tc>
        <w:tc>
          <w:tcPr>
            <w:tcW w:w="254" w:type="pct"/>
            <w:tcMar>
              <w:left w:w="105" w:type="dxa"/>
              <w:right w:w="105" w:type="dxa"/>
            </w:tcMar>
          </w:tcPr>
          <w:p w14:paraId="5004B140"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2.72</w:t>
            </w:r>
          </w:p>
        </w:tc>
        <w:tc>
          <w:tcPr>
            <w:tcW w:w="254" w:type="pct"/>
            <w:tcMar>
              <w:left w:w="105" w:type="dxa"/>
              <w:right w:w="105" w:type="dxa"/>
            </w:tcMar>
          </w:tcPr>
          <w:p w14:paraId="5F10C668"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2.6</w:t>
            </w:r>
          </w:p>
        </w:tc>
        <w:tc>
          <w:tcPr>
            <w:tcW w:w="254" w:type="pct"/>
            <w:shd w:val="clear" w:color="auto" w:fill="DADADA" w:themeFill="background2" w:themeFillShade="E6"/>
            <w:tcMar>
              <w:left w:w="105" w:type="dxa"/>
              <w:right w:w="105" w:type="dxa"/>
            </w:tcMar>
          </w:tcPr>
          <w:p w14:paraId="21985BAD"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2.77</w:t>
            </w:r>
          </w:p>
        </w:tc>
        <w:tc>
          <w:tcPr>
            <w:tcW w:w="254" w:type="pct"/>
            <w:shd w:val="clear" w:color="auto" w:fill="DADADA" w:themeFill="background2" w:themeFillShade="E6"/>
            <w:tcMar>
              <w:left w:w="105" w:type="dxa"/>
              <w:right w:w="105" w:type="dxa"/>
            </w:tcMar>
          </w:tcPr>
          <w:p w14:paraId="6D01B1CB"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2.47</w:t>
            </w:r>
          </w:p>
        </w:tc>
        <w:tc>
          <w:tcPr>
            <w:tcW w:w="254" w:type="pct"/>
            <w:tcMar>
              <w:left w:w="105" w:type="dxa"/>
              <w:right w:w="105" w:type="dxa"/>
            </w:tcMar>
          </w:tcPr>
          <w:p w14:paraId="750EB08E"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2.85</w:t>
            </w:r>
          </w:p>
        </w:tc>
        <w:tc>
          <w:tcPr>
            <w:tcW w:w="254" w:type="pct"/>
            <w:tcMar>
              <w:left w:w="105" w:type="dxa"/>
              <w:right w:w="105" w:type="dxa"/>
            </w:tcMar>
          </w:tcPr>
          <w:p w14:paraId="4F982282"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2.49</w:t>
            </w:r>
          </w:p>
        </w:tc>
        <w:tc>
          <w:tcPr>
            <w:tcW w:w="254" w:type="pct"/>
            <w:shd w:val="clear" w:color="auto" w:fill="DADADA" w:themeFill="background2" w:themeFillShade="E6"/>
            <w:tcMar>
              <w:left w:w="105" w:type="dxa"/>
              <w:right w:w="105" w:type="dxa"/>
            </w:tcMar>
          </w:tcPr>
          <w:p w14:paraId="1A70B6DC"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3.13</w:t>
            </w:r>
          </w:p>
        </w:tc>
        <w:tc>
          <w:tcPr>
            <w:tcW w:w="254" w:type="pct"/>
            <w:shd w:val="clear" w:color="auto" w:fill="DADADA" w:themeFill="background2" w:themeFillShade="E6"/>
            <w:tcMar>
              <w:left w:w="105" w:type="dxa"/>
              <w:right w:w="105" w:type="dxa"/>
            </w:tcMar>
          </w:tcPr>
          <w:p w14:paraId="7123E365"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2.97</w:t>
            </w:r>
          </w:p>
        </w:tc>
        <w:tc>
          <w:tcPr>
            <w:tcW w:w="254" w:type="pct"/>
            <w:tcMar>
              <w:left w:w="105" w:type="dxa"/>
              <w:right w:w="105" w:type="dxa"/>
            </w:tcMar>
          </w:tcPr>
          <w:p w14:paraId="08D792DB"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2.97</w:t>
            </w:r>
          </w:p>
        </w:tc>
        <w:tc>
          <w:tcPr>
            <w:tcW w:w="254" w:type="pct"/>
            <w:tcMar>
              <w:left w:w="105" w:type="dxa"/>
              <w:right w:w="105" w:type="dxa"/>
            </w:tcMar>
          </w:tcPr>
          <w:p w14:paraId="51298418"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2.82</w:t>
            </w:r>
          </w:p>
        </w:tc>
        <w:tc>
          <w:tcPr>
            <w:tcW w:w="262" w:type="pct"/>
            <w:shd w:val="clear" w:color="auto" w:fill="DADADA" w:themeFill="background2" w:themeFillShade="E6"/>
            <w:tcMar>
              <w:left w:w="105" w:type="dxa"/>
              <w:right w:w="105" w:type="dxa"/>
            </w:tcMar>
          </w:tcPr>
          <w:p w14:paraId="40BD70D3"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2.94</w:t>
            </w:r>
          </w:p>
        </w:tc>
        <w:tc>
          <w:tcPr>
            <w:tcW w:w="262" w:type="pct"/>
            <w:shd w:val="clear" w:color="auto" w:fill="DADADA" w:themeFill="background2" w:themeFillShade="E6"/>
            <w:tcMar>
              <w:left w:w="105" w:type="dxa"/>
              <w:right w:w="105" w:type="dxa"/>
            </w:tcMar>
          </w:tcPr>
          <w:p w14:paraId="3E9E1BE7"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2.69</w:t>
            </w:r>
          </w:p>
        </w:tc>
        <w:tc>
          <w:tcPr>
            <w:tcW w:w="254" w:type="pct"/>
            <w:tcMar>
              <w:left w:w="105" w:type="dxa"/>
              <w:right w:w="105" w:type="dxa"/>
            </w:tcMar>
          </w:tcPr>
          <w:p w14:paraId="52A1512C"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2.84</w:t>
            </w:r>
          </w:p>
        </w:tc>
        <w:tc>
          <w:tcPr>
            <w:tcW w:w="254" w:type="pct"/>
            <w:tcMar>
              <w:left w:w="105" w:type="dxa"/>
              <w:right w:w="105" w:type="dxa"/>
            </w:tcMar>
          </w:tcPr>
          <w:p w14:paraId="11B3E02D"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2.83</w:t>
            </w:r>
          </w:p>
        </w:tc>
        <w:tc>
          <w:tcPr>
            <w:tcW w:w="251" w:type="pct"/>
            <w:shd w:val="clear" w:color="auto" w:fill="DADADA" w:themeFill="background2" w:themeFillShade="E6"/>
            <w:tcMar>
              <w:left w:w="105" w:type="dxa"/>
              <w:right w:w="105" w:type="dxa"/>
            </w:tcMar>
          </w:tcPr>
          <w:p w14:paraId="3CABD3FF"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2.69</w:t>
            </w:r>
          </w:p>
        </w:tc>
        <w:tc>
          <w:tcPr>
            <w:tcW w:w="248" w:type="pct"/>
            <w:shd w:val="clear" w:color="auto" w:fill="DADADA" w:themeFill="background2" w:themeFillShade="E6"/>
            <w:tcMar>
              <w:left w:w="105" w:type="dxa"/>
              <w:right w:w="105" w:type="dxa"/>
            </w:tcMar>
          </w:tcPr>
          <w:p w14:paraId="26F0B993"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2.37</w:t>
            </w:r>
          </w:p>
        </w:tc>
      </w:tr>
      <w:tr w:rsidR="002B6683" w:rsidRPr="00DA2128" w14:paraId="36ACD251" w14:textId="77777777" w:rsidTr="00B605CC">
        <w:trPr>
          <w:trHeight w:val="300"/>
        </w:trPr>
        <w:tc>
          <w:tcPr>
            <w:tcW w:w="376" w:type="pct"/>
            <w:tcMar>
              <w:left w:w="105" w:type="dxa"/>
              <w:right w:w="105" w:type="dxa"/>
            </w:tcMar>
          </w:tcPr>
          <w:p w14:paraId="76034299" w14:textId="77777777" w:rsidR="002B6683" w:rsidRPr="00DA2128" w:rsidRDefault="002B6683"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color w:val="000000" w:themeColor="text1"/>
                <w:sz w:val="18"/>
                <w:szCs w:val="18"/>
              </w:rPr>
              <w:t>8</w:t>
            </w:r>
          </w:p>
        </w:tc>
        <w:tc>
          <w:tcPr>
            <w:tcW w:w="275" w:type="pct"/>
            <w:shd w:val="clear" w:color="auto" w:fill="DADADA" w:themeFill="background2" w:themeFillShade="E6"/>
            <w:tcMar>
              <w:left w:w="105" w:type="dxa"/>
              <w:right w:w="105" w:type="dxa"/>
            </w:tcMar>
          </w:tcPr>
          <w:p w14:paraId="761EE6BB"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2.3</w:t>
            </w:r>
          </w:p>
        </w:tc>
        <w:tc>
          <w:tcPr>
            <w:tcW w:w="276" w:type="pct"/>
            <w:shd w:val="clear" w:color="auto" w:fill="DADADA" w:themeFill="background2" w:themeFillShade="E6"/>
            <w:tcMar>
              <w:left w:w="105" w:type="dxa"/>
              <w:right w:w="105" w:type="dxa"/>
            </w:tcMar>
          </w:tcPr>
          <w:p w14:paraId="1A869D94"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2.63</w:t>
            </w:r>
          </w:p>
        </w:tc>
        <w:tc>
          <w:tcPr>
            <w:tcW w:w="254" w:type="pct"/>
            <w:tcMar>
              <w:left w:w="105" w:type="dxa"/>
              <w:right w:w="105" w:type="dxa"/>
            </w:tcMar>
          </w:tcPr>
          <w:p w14:paraId="3958042B"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2.65</w:t>
            </w:r>
          </w:p>
        </w:tc>
        <w:tc>
          <w:tcPr>
            <w:tcW w:w="254" w:type="pct"/>
            <w:tcMar>
              <w:left w:w="105" w:type="dxa"/>
              <w:right w:w="105" w:type="dxa"/>
            </w:tcMar>
          </w:tcPr>
          <w:p w14:paraId="00A4B174"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2.94</w:t>
            </w:r>
          </w:p>
        </w:tc>
        <w:tc>
          <w:tcPr>
            <w:tcW w:w="254" w:type="pct"/>
            <w:shd w:val="clear" w:color="auto" w:fill="DADADA" w:themeFill="background2" w:themeFillShade="E6"/>
            <w:tcMar>
              <w:left w:w="105" w:type="dxa"/>
              <w:right w:w="105" w:type="dxa"/>
            </w:tcMar>
          </w:tcPr>
          <w:p w14:paraId="49385BB9"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2.97</w:t>
            </w:r>
          </w:p>
        </w:tc>
        <w:tc>
          <w:tcPr>
            <w:tcW w:w="254" w:type="pct"/>
            <w:shd w:val="clear" w:color="auto" w:fill="DADADA" w:themeFill="background2" w:themeFillShade="E6"/>
            <w:tcMar>
              <w:left w:w="105" w:type="dxa"/>
              <w:right w:w="105" w:type="dxa"/>
            </w:tcMar>
          </w:tcPr>
          <w:p w14:paraId="1223A4F9"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3.03</w:t>
            </w:r>
          </w:p>
        </w:tc>
        <w:tc>
          <w:tcPr>
            <w:tcW w:w="254" w:type="pct"/>
            <w:tcMar>
              <w:left w:w="105" w:type="dxa"/>
              <w:right w:w="105" w:type="dxa"/>
            </w:tcMar>
          </w:tcPr>
          <w:p w14:paraId="7C7C9E73"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2.49</w:t>
            </w:r>
          </w:p>
        </w:tc>
        <w:tc>
          <w:tcPr>
            <w:tcW w:w="254" w:type="pct"/>
            <w:tcMar>
              <w:left w:w="105" w:type="dxa"/>
              <w:right w:w="105" w:type="dxa"/>
            </w:tcMar>
          </w:tcPr>
          <w:p w14:paraId="53D7923E"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3.03</w:t>
            </w:r>
          </w:p>
        </w:tc>
        <w:tc>
          <w:tcPr>
            <w:tcW w:w="254" w:type="pct"/>
            <w:shd w:val="clear" w:color="auto" w:fill="DADADA" w:themeFill="background2" w:themeFillShade="E6"/>
            <w:tcMar>
              <w:left w:w="105" w:type="dxa"/>
              <w:right w:w="105" w:type="dxa"/>
            </w:tcMar>
          </w:tcPr>
          <w:p w14:paraId="10124718"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2.95</w:t>
            </w:r>
          </w:p>
        </w:tc>
        <w:tc>
          <w:tcPr>
            <w:tcW w:w="254" w:type="pct"/>
            <w:shd w:val="clear" w:color="auto" w:fill="DADADA" w:themeFill="background2" w:themeFillShade="E6"/>
            <w:tcMar>
              <w:left w:w="105" w:type="dxa"/>
              <w:right w:w="105" w:type="dxa"/>
            </w:tcMar>
          </w:tcPr>
          <w:p w14:paraId="283E0CC8"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w:t>
            </w:r>
          </w:p>
        </w:tc>
        <w:tc>
          <w:tcPr>
            <w:tcW w:w="254" w:type="pct"/>
            <w:tcMar>
              <w:left w:w="105" w:type="dxa"/>
              <w:right w:w="105" w:type="dxa"/>
            </w:tcMar>
          </w:tcPr>
          <w:p w14:paraId="6F7D1CCF"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2.68</w:t>
            </w:r>
          </w:p>
        </w:tc>
        <w:tc>
          <w:tcPr>
            <w:tcW w:w="254" w:type="pct"/>
            <w:tcMar>
              <w:left w:w="105" w:type="dxa"/>
              <w:right w:w="105" w:type="dxa"/>
            </w:tcMar>
          </w:tcPr>
          <w:p w14:paraId="2DC72E55"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2.85</w:t>
            </w:r>
          </w:p>
        </w:tc>
        <w:tc>
          <w:tcPr>
            <w:tcW w:w="262" w:type="pct"/>
            <w:shd w:val="clear" w:color="auto" w:fill="DADADA" w:themeFill="background2" w:themeFillShade="E6"/>
            <w:tcMar>
              <w:left w:w="105" w:type="dxa"/>
              <w:right w:w="105" w:type="dxa"/>
            </w:tcMar>
          </w:tcPr>
          <w:p w14:paraId="4D49338B"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2.78</w:t>
            </w:r>
          </w:p>
        </w:tc>
        <w:tc>
          <w:tcPr>
            <w:tcW w:w="262" w:type="pct"/>
            <w:shd w:val="clear" w:color="auto" w:fill="DADADA" w:themeFill="background2" w:themeFillShade="E6"/>
            <w:tcMar>
              <w:left w:w="105" w:type="dxa"/>
              <w:right w:w="105" w:type="dxa"/>
            </w:tcMar>
          </w:tcPr>
          <w:p w14:paraId="0C4B2BF9"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2.69</w:t>
            </w:r>
          </w:p>
        </w:tc>
        <w:tc>
          <w:tcPr>
            <w:tcW w:w="254" w:type="pct"/>
            <w:tcMar>
              <w:left w:w="105" w:type="dxa"/>
              <w:right w:w="105" w:type="dxa"/>
            </w:tcMar>
          </w:tcPr>
          <w:p w14:paraId="3AE2A615"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2.7</w:t>
            </w:r>
          </w:p>
        </w:tc>
        <w:tc>
          <w:tcPr>
            <w:tcW w:w="254" w:type="pct"/>
            <w:tcMar>
              <w:left w:w="105" w:type="dxa"/>
              <w:right w:w="105" w:type="dxa"/>
            </w:tcMar>
          </w:tcPr>
          <w:p w14:paraId="240A3711"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3.17</w:t>
            </w:r>
          </w:p>
        </w:tc>
        <w:tc>
          <w:tcPr>
            <w:tcW w:w="251" w:type="pct"/>
            <w:shd w:val="clear" w:color="auto" w:fill="DADADA" w:themeFill="background2" w:themeFillShade="E6"/>
            <w:tcMar>
              <w:left w:w="105" w:type="dxa"/>
              <w:right w:w="105" w:type="dxa"/>
            </w:tcMar>
          </w:tcPr>
          <w:p w14:paraId="36EF4CEF"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2.43</w:t>
            </w:r>
          </w:p>
        </w:tc>
        <w:tc>
          <w:tcPr>
            <w:tcW w:w="248" w:type="pct"/>
            <w:shd w:val="clear" w:color="auto" w:fill="DADADA" w:themeFill="background2" w:themeFillShade="E6"/>
            <w:tcMar>
              <w:left w:w="105" w:type="dxa"/>
              <w:right w:w="105" w:type="dxa"/>
            </w:tcMar>
          </w:tcPr>
          <w:p w14:paraId="15674ACA"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2.57</w:t>
            </w:r>
          </w:p>
        </w:tc>
      </w:tr>
      <w:tr w:rsidR="002B6683" w:rsidRPr="00DA2128" w14:paraId="6B4CFD3A" w14:textId="77777777" w:rsidTr="00B605CC">
        <w:trPr>
          <w:trHeight w:val="300"/>
        </w:trPr>
        <w:tc>
          <w:tcPr>
            <w:tcW w:w="376" w:type="pct"/>
            <w:tcMar>
              <w:left w:w="105" w:type="dxa"/>
              <w:right w:w="105" w:type="dxa"/>
            </w:tcMar>
          </w:tcPr>
          <w:p w14:paraId="1F0D4A57" w14:textId="77777777" w:rsidR="002B6683" w:rsidRPr="00DA2128" w:rsidRDefault="002B6683"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color w:val="000000" w:themeColor="text1"/>
                <w:sz w:val="18"/>
                <w:szCs w:val="18"/>
              </w:rPr>
              <w:t>15</w:t>
            </w:r>
          </w:p>
        </w:tc>
        <w:tc>
          <w:tcPr>
            <w:tcW w:w="275" w:type="pct"/>
            <w:shd w:val="clear" w:color="auto" w:fill="DADADA" w:themeFill="background2" w:themeFillShade="E6"/>
            <w:tcMar>
              <w:left w:w="105" w:type="dxa"/>
              <w:right w:w="105" w:type="dxa"/>
            </w:tcMar>
          </w:tcPr>
          <w:p w14:paraId="5BE9A812"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2.74</w:t>
            </w:r>
          </w:p>
        </w:tc>
        <w:tc>
          <w:tcPr>
            <w:tcW w:w="276" w:type="pct"/>
            <w:shd w:val="clear" w:color="auto" w:fill="DADADA" w:themeFill="background2" w:themeFillShade="E6"/>
            <w:tcMar>
              <w:left w:w="105" w:type="dxa"/>
              <w:right w:w="105" w:type="dxa"/>
            </w:tcMar>
          </w:tcPr>
          <w:p w14:paraId="2DE1AAC8"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2.62</w:t>
            </w:r>
          </w:p>
        </w:tc>
        <w:tc>
          <w:tcPr>
            <w:tcW w:w="254" w:type="pct"/>
            <w:tcMar>
              <w:left w:w="105" w:type="dxa"/>
              <w:right w:w="105" w:type="dxa"/>
            </w:tcMar>
          </w:tcPr>
          <w:p w14:paraId="4561983E"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2.85</w:t>
            </w:r>
          </w:p>
        </w:tc>
        <w:tc>
          <w:tcPr>
            <w:tcW w:w="254" w:type="pct"/>
            <w:tcMar>
              <w:left w:w="105" w:type="dxa"/>
              <w:right w:w="105" w:type="dxa"/>
            </w:tcMar>
          </w:tcPr>
          <w:p w14:paraId="4C1A5758"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2.76</w:t>
            </w:r>
          </w:p>
        </w:tc>
        <w:tc>
          <w:tcPr>
            <w:tcW w:w="254" w:type="pct"/>
            <w:shd w:val="clear" w:color="auto" w:fill="DADADA" w:themeFill="background2" w:themeFillShade="E6"/>
            <w:tcMar>
              <w:left w:w="105" w:type="dxa"/>
              <w:right w:w="105" w:type="dxa"/>
            </w:tcMar>
          </w:tcPr>
          <w:p w14:paraId="29959620"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2.88</w:t>
            </w:r>
          </w:p>
        </w:tc>
        <w:tc>
          <w:tcPr>
            <w:tcW w:w="254" w:type="pct"/>
            <w:shd w:val="clear" w:color="auto" w:fill="DADADA" w:themeFill="background2" w:themeFillShade="E6"/>
            <w:tcMar>
              <w:left w:w="105" w:type="dxa"/>
              <w:right w:w="105" w:type="dxa"/>
            </w:tcMar>
          </w:tcPr>
          <w:p w14:paraId="6AAD0437"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2.44</w:t>
            </w:r>
          </w:p>
        </w:tc>
        <w:tc>
          <w:tcPr>
            <w:tcW w:w="254" w:type="pct"/>
            <w:tcMar>
              <w:left w:w="105" w:type="dxa"/>
              <w:right w:w="105" w:type="dxa"/>
            </w:tcMar>
          </w:tcPr>
          <w:p w14:paraId="0A87B3D6"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2.67</w:t>
            </w:r>
          </w:p>
        </w:tc>
        <w:tc>
          <w:tcPr>
            <w:tcW w:w="254" w:type="pct"/>
            <w:tcMar>
              <w:left w:w="105" w:type="dxa"/>
              <w:right w:w="105" w:type="dxa"/>
            </w:tcMar>
          </w:tcPr>
          <w:p w14:paraId="130AC3E7"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2.57</w:t>
            </w:r>
          </w:p>
        </w:tc>
        <w:tc>
          <w:tcPr>
            <w:tcW w:w="254" w:type="pct"/>
            <w:shd w:val="clear" w:color="auto" w:fill="DADADA" w:themeFill="background2" w:themeFillShade="E6"/>
            <w:tcMar>
              <w:left w:w="105" w:type="dxa"/>
              <w:right w:w="105" w:type="dxa"/>
            </w:tcMar>
          </w:tcPr>
          <w:p w14:paraId="1F0A4060"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3.13</w:t>
            </w:r>
          </w:p>
        </w:tc>
        <w:tc>
          <w:tcPr>
            <w:tcW w:w="254" w:type="pct"/>
            <w:shd w:val="clear" w:color="auto" w:fill="DADADA" w:themeFill="background2" w:themeFillShade="E6"/>
            <w:tcMar>
              <w:left w:w="105" w:type="dxa"/>
              <w:right w:w="105" w:type="dxa"/>
            </w:tcMar>
          </w:tcPr>
          <w:p w14:paraId="675452FA"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2.94</w:t>
            </w:r>
          </w:p>
        </w:tc>
        <w:tc>
          <w:tcPr>
            <w:tcW w:w="254" w:type="pct"/>
            <w:tcMar>
              <w:left w:w="105" w:type="dxa"/>
              <w:right w:w="105" w:type="dxa"/>
            </w:tcMar>
          </w:tcPr>
          <w:p w14:paraId="29003230"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3.11</w:t>
            </w:r>
          </w:p>
        </w:tc>
        <w:tc>
          <w:tcPr>
            <w:tcW w:w="254" w:type="pct"/>
            <w:tcMar>
              <w:left w:w="105" w:type="dxa"/>
              <w:right w:w="105" w:type="dxa"/>
            </w:tcMar>
          </w:tcPr>
          <w:p w14:paraId="07922E76"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2.94</w:t>
            </w:r>
          </w:p>
        </w:tc>
        <w:tc>
          <w:tcPr>
            <w:tcW w:w="262" w:type="pct"/>
            <w:shd w:val="clear" w:color="auto" w:fill="DADADA" w:themeFill="background2" w:themeFillShade="E6"/>
            <w:tcMar>
              <w:left w:w="105" w:type="dxa"/>
              <w:right w:w="105" w:type="dxa"/>
            </w:tcMar>
          </w:tcPr>
          <w:p w14:paraId="0E0D223D"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2.81</w:t>
            </w:r>
          </w:p>
        </w:tc>
        <w:tc>
          <w:tcPr>
            <w:tcW w:w="262" w:type="pct"/>
            <w:shd w:val="clear" w:color="auto" w:fill="DADADA" w:themeFill="background2" w:themeFillShade="E6"/>
            <w:tcMar>
              <w:left w:w="105" w:type="dxa"/>
              <w:right w:w="105" w:type="dxa"/>
            </w:tcMar>
          </w:tcPr>
          <w:p w14:paraId="28E72892"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2.89</w:t>
            </w:r>
          </w:p>
        </w:tc>
        <w:tc>
          <w:tcPr>
            <w:tcW w:w="254" w:type="pct"/>
            <w:tcMar>
              <w:left w:w="105" w:type="dxa"/>
              <w:right w:w="105" w:type="dxa"/>
            </w:tcMar>
          </w:tcPr>
          <w:p w14:paraId="470C3B89"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w:t>
            </w:r>
          </w:p>
        </w:tc>
        <w:tc>
          <w:tcPr>
            <w:tcW w:w="254" w:type="pct"/>
            <w:tcMar>
              <w:left w:w="105" w:type="dxa"/>
              <w:right w:w="105" w:type="dxa"/>
            </w:tcMar>
          </w:tcPr>
          <w:p w14:paraId="3B54D016"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2.83</w:t>
            </w:r>
          </w:p>
        </w:tc>
        <w:tc>
          <w:tcPr>
            <w:tcW w:w="251" w:type="pct"/>
            <w:shd w:val="clear" w:color="auto" w:fill="DADADA" w:themeFill="background2" w:themeFillShade="E6"/>
            <w:tcMar>
              <w:left w:w="105" w:type="dxa"/>
              <w:right w:w="105" w:type="dxa"/>
            </w:tcMar>
          </w:tcPr>
          <w:p w14:paraId="3FBFA340"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2.46</w:t>
            </w:r>
          </w:p>
        </w:tc>
        <w:tc>
          <w:tcPr>
            <w:tcW w:w="248" w:type="pct"/>
            <w:shd w:val="clear" w:color="auto" w:fill="DADADA" w:themeFill="background2" w:themeFillShade="E6"/>
            <w:tcMar>
              <w:left w:w="105" w:type="dxa"/>
              <w:right w:w="105" w:type="dxa"/>
            </w:tcMar>
          </w:tcPr>
          <w:p w14:paraId="35E69E20"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2.49</w:t>
            </w:r>
          </w:p>
        </w:tc>
      </w:tr>
      <w:tr w:rsidR="002B6683" w:rsidRPr="00DA2128" w14:paraId="4B4500AA" w14:textId="77777777" w:rsidTr="00B605CC">
        <w:trPr>
          <w:trHeight w:val="300"/>
        </w:trPr>
        <w:tc>
          <w:tcPr>
            <w:tcW w:w="376" w:type="pct"/>
            <w:tcMar>
              <w:left w:w="105" w:type="dxa"/>
              <w:right w:w="105" w:type="dxa"/>
            </w:tcMar>
          </w:tcPr>
          <w:p w14:paraId="039B7E7A" w14:textId="77777777" w:rsidR="002B6683" w:rsidRPr="00DA2128" w:rsidRDefault="002B6683"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color w:val="000000" w:themeColor="text1"/>
                <w:sz w:val="18"/>
                <w:szCs w:val="18"/>
              </w:rPr>
              <w:t>24</w:t>
            </w:r>
          </w:p>
        </w:tc>
        <w:tc>
          <w:tcPr>
            <w:tcW w:w="275" w:type="pct"/>
            <w:shd w:val="clear" w:color="auto" w:fill="DADADA" w:themeFill="background2" w:themeFillShade="E6"/>
            <w:tcMar>
              <w:left w:w="105" w:type="dxa"/>
              <w:right w:w="105" w:type="dxa"/>
            </w:tcMar>
          </w:tcPr>
          <w:p w14:paraId="7F4FD114"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2.51</w:t>
            </w:r>
          </w:p>
        </w:tc>
        <w:tc>
          <w:tcPr>
            <w:tcW w:w="276" w:type="pct"/>
            <w:shd w:val="clear" w:color="auto" w:fill="DADADA" w:themeFill="background2" w:themeFillShade="E6"/>
            <w:tcMar>
              <w:left w:w="105" w:type="dxa"/>
              <w:right w:w="105" w:type="dxa"/>
            </w:tcMar>
          </w:tcPr>
          <w:p w14:paraId="3414E666"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2.66</w:t>
            </w:r>
          </w:p>
        </w:tc>
        <w:tc>
          <w:tcPr>
            <w:tcW w:w="254" w:type="pct"/>
            <w:tcMar>
              <w:left w:w="105" w:type="dxa"/>
              <w:right w:w="105" w:type="dxa"/>
            </w:tcMar>
          </w:tcPr>
          <w:p w14:paraId="20D7B3E5"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2.92</w:t>
            </w:r>
          </w:p>
        </w:tc>
        <w:tc>
          <w:tcPr>
            <w:tcW w:w="254" w:type="pct"/>
            <w:tcMar>
              <w:left w:w="105" w:type="dxa"/>
              <w:right w:w="105" w:type="dxa"/>
            </w:tcMar>
          </w:tcPr>
          <w:p w14:paraId="0E1D0DB2"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2.86</w:t>
            </w:r>
          </w:p>
        </w:tc>
        <w:tc>
          <w:tcPr>
            <w:tcW w:w="254" w:type="pct"/>
            <w:shd w:val="clear" w:color="auto" w:fill="DADADA" w:themeFill="background2" w:themeFillShade="E6"/>
            <w:tcMar>
              <w:left w:w="105" w:type="dxa"/>
              <w:right w:w="105" w:type="dxa"/>
            </w:tcMar>
          </w:tcPr>
          <w:p w14:paraId="0BA30D4E"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3.09</w:t>
            </w:r>
          </w:p>
        </w:tc>
        <w:tc>
          <w:tcPr>
            <w:tcW w:w="254" w:type="pct"/>
            <w:shd w:val="clear" w:color="auto" w:fill="DADADA" w:themeFill="background2" w:themeFillShade="E6"/>
            <w:tcMar>
              <w:left w:w="105" w:type="dxa"/>
              <w:right w:w="105" w:type="dxa"/>
            </w:tcMar>
          </w:tcPr>
          <w:p w14:paraId="09422030"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3.11*</w:t>
            </w:r>
          </w:p>
        </w:tc>
        <w:tc>
          <w:tcPr>
            <w:tcW w:w="254" w:type="pct"/>
            <w:tcMar>
              <w:left w:w="105" w:type="dxa"/>
              <w:right w:w="105" w:type="dxa"/>
            </w:tcMar>
          </w:tcPr>
          <w:p w14:paraId="48D9836A"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2.79</w:t>
            </w:r>
          </w:p>
        </w:tc>
        <w:tc>
          <w:tcPr>
            <w:tcW w:w="254" w:type="pct"/>
            <w:tcMar>
              <w:left w:w="105" w:type="dxa"/>
              <w:right w:w="105" w:type="dxa"/>
            </w:tcMar>
          </w:tcPr>
          <w:p w14:paraId="5B935944"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2.84</w:t>
            </w:r>
          </w:p>
        </w:tc>
        <w:tc>
          <w:tcPr>
            <w:tcW w:w="254" w:type="pct"/>
            <w:shd w:val="clear" w:color="auto" w:fill="DADADA" w:themeFill="background2" w:themeFillShade="E6"/>
            <w:tcMar>
              <w:left w:w="105" w:type="dxa"/>
              <w:right w:w="105" w:type="dxa"/>
            </w:tcMar>
          </w:tcPr>
          <w:p w14:paraId="3ED464CA"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3.22</w:t>
            </w:r>
          </w:p>
        </w:tc>
        <w:tc>
          <w:tcPr>
            <w:tcW w:w="254" w:type="pct"/>
            <w:shd w:val="clear" w:color="auto" w:fill="DADADA" w:themeFill="background2" w:themeFillShade="E6"/>
            <w:tcMar>
              <w:left w:w="105" w:type="dxa"/>
              <w:right w:w="105" w:type="dxa"/>
            </w:tcMar>
          </w:tcPr>
          <w:p w14:paraId="752B601D"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3.03</w:t>
            </w:r>
          </w:p>
        </w:tc>
        <w:tc>
          <w:tcPr>
            <w:tcW w:w="254" w:type="pct"/>
            <w:tcMar>
              <w:left w:w="105" w:type="dxa"/>
              <w:right w:w="105" w:type="dxa"/>
            </w:tcMar>
          </w:tcPr>
          <w:p w14:paraId="1C13245C"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w:t>
            </w:r>
          </w:p>
        </w:tc>
        <w:tc>
          <w:tcPr>
            <w:tcW w:w="254" w:type="pct"/>
            <w:tcMar>
              <w:left w:w="105" w:type="dxa"/>
              <w:right w:w="105" w:type="dxa"/>
            </w:tcMar>
          </w:tcPr>
          <w:p w14:paraId="25669F96"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2.91</w:t>
            </w:r>
          </w:p>
        </w:tc>
        <w:tc>
          <w:tcPr>
            <w:tcW w:w="262" w:type="pct"/>
            <w:shd w:val="clear" w:color="auto" w:fill="DADADA" w:themeFill="background2" w:themeFillShade="E6"/>
            <w:tcMar>
              <w:left w:w="105" w:type="dxa"/>
              <w:right w:w="105" w:type="dxa"/>
            </w:tcMar>
          </w:tcPr>
          <w:p w14:paraId="6D04FFE0"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2.72</w:t>
            </w:r>
          </w:p>
        </w:tc>
        <w:tc>
          <w:tcPr>
            <w:tcW w:w="262" w:type="pct"/>
            <w:shd w:val="clear" w:color="auto" w:fill="DADADA" w:themeFill="background2" w:themeFillShade="E6"/>
            <w:tcMar>
              <w:left w:w="105" w:type="dxa"/>
              <w:right w:w="105" w:type="dxa"/>
            </w:tcMar>
          </w:tcPr>
          <w:p w14:paraId="73D93207"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w:t>
            </w:r>
          </w:p>
        </w:tc>
        <w:tc>
          <w:tcPr>
            <w:tcW w:w="254" w:type="pct"/>
            <w:tcMar>
              <w:left w:w="105" w:type="dxa"/>
              <w:right w:w="105" w:type="dxa"/>
            </w:tcMar>
          </w:tcPr>
          <w:p w14:paraId="6E6127E8"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3.1</w:t>
            </w:r>
          </w:p>
        </w:tc>
        <w:tc>
          <w:tcPr>
            <w:tcW w:w="254" w:type="pct"/>
            <w:tcMar>
              <w:left w:w="105" w:type="dxa"/>
              <w:right w:w="105" w:type="dxa"/>
            </w:tcMar>
          </w:tcPr>
          <w:p w14:paraId="2044E8BE"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3.21</w:t>
            </w:r>
          </w:p>
        </w:tc>
        <w:tc>
          <w:tcPr>
            <w:tcW w:w="251" w:type="pct"/>
            <w:shd w:val="clear" w:color="auto" w:fill="DADADA" w:themeFill="background2" w:themeFillShade="E6"/>
            <w:tcMar>
              <w:left w:w="105" w:type="dxa"/>
              <w:right w:w="105" w:type="dxa"/>
            </w:tcMar>
          </w:tcPr>
          <w:p w14:paraId="0EA18570"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2.78</w:t>
            </w:r>
          </w:p>
        </w:tc>
        <w:tc>
          <w:tcPr>
            <w:tcW w:w="248" w:type="pct"/>
            <w:shd w:val="clear" w:color="auto" w:fill="DADADA" w:themeFill="background2" w:themeFillShade="E6"/>
            <w:tcMar>
              <w:left w:w="105" w:type="dxa"/>
              <w:right w:w="105" w:type="dxa"/>
            </w:tcMar>
          </w:tcPr>
          <w:p w14:paraId="6588C6F1"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2.66</w:t>
            </w:r>
          </w:p>
        </w:tc>
      </w:tr>
      <w:tr w:rsidR="002B6683" w:rsidRPr="00DA2128" w14:paraId="3418EBE8" w14:textId="77777777" w:rsidTr="00B605CC">
        <w:trPr>
          <w:trHeight w:val="300"/>
        </w:trPr>
        <w:tc>
          <w:tcPr>
            <w:tcW w:w="376" w:type="pct"/>
            <w:tcMar>
              <w:left w:w="105" w:type="dxa"/>
              <w:right w:w="105" w:type="dxa"/>
            </w:tcMar>
          </w:tcPr>
          <w:p w14:paraId="31374FED" w14:textId="77777777" w:rsidR="002B6683" w:rsidRPr="00DA2128" w:rsidRDefault="002B6683"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color w:val="000000" w:themeColor="text1"/>
                <w:sz w:val="18"/>
                <w:szCs w:val="18"/>
              </w:rPr>
              <w:t>25</w:t>
            </w:r>
          </w:p>
        </w:tc>
        <w:tc>
          <w:tcPr>
            <w:tcW w:w="275" w:type="pct"/>
            <w:shd w:val="clear" w:color="auto" w:fill="DADADA" w:themeFill="background2" w:themeFillShade="E6"/>
            <w:tcMar>
              <w:left w:w="105" w:type="dxa"/>
              <w:right w:w="105" w:type="dxa"/>
            </w:tcMar>
          </w:tcPr>
          <w:p w14:paraId="32020C98"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2.95*</w:t>
            </w:r>
          </w:p>
        </w:tc>
        <w:tc>
          <w:tcPr>
            <w:tcW w:w="276" w:type="pct"/>
            <w:shd w:val="clear" w:color="auto" w:fill="DADADA" w:themeFill="background2" w:themeFillShade="E6"/>
            <w:tcMar>
              <w:left w:w="105" w:type="dxa"/>
              <w:right w:w="105" w:type="dxa"/>
            </w:tcMar>
          </w:tcPr>
          <w:p w14:paraId="13A9E05D"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2.92</w:t>
            </w:r>
          </w:p>
        </w:tc>
        <w:tc>
          <w:tcPr>
            <w:tcW w:w="254" w:type="pct"/>
            <w:tcMar>
              <w:left w:w="105" w:type="dxa"/>
              <w:right w:w="105" w:type="dxa"/>
            </w:tcMar>
          </w:tcPr>
          <w:p w14:paraId="77110BA6"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3.05*</w:t>
            </w:r>
          </w:p>
        </w:tc>
        <w:tc>
          <w:tcPr>
            <w:tcW w:w="254" w:type="pct"/>
            <w:tcMar>
              <w:left w:w="105" w:type="dxa"/>
              <w:right w:w="105" w:type="dxa"/>
            </w:tcMar>
          </w:tcPr>
          <w:p w14:paraId="63F8E486"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2.97</w:t>
            </w:r>
          </w:p>
        </w:tc>
        <w:tc>
          <w:tcPr>
            <w:tcW w:w="254" w:type="pct"/>
            <w:shd w:val="clear" w:color="auto" w:fill="DADADA" w:themeFill="background2" w:themeFillShade="E6"/>
            <w:tcMar>
              <w:left w:w="105" w:type="dxa"/>
              <w:right w:w="105" w:type="dxa"/>
            </w:tcMar>
          </w:tcPr>
          <w:p w14:paraId="5E63E762"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3.23*</w:t>
            </w:r>
          </w:p>
        </w:tc>
        <w:tc>
          <w:tcPr>
            <w:tcW w:w="254" w:type="pct"/>
            <w:shd w:val="clear" w:color="auto" w:fill="DADADA" w:themeFill="background2" w:themeFillShade="E6"/>
            <w:tcMar>
              <w:left w:w="105" w:type="dxa"/>
              <w:right w:w="105" w:type="dxa"/>
            </w:tcMar>
          </w:tcPr>
          <w:p w14:paraId="39B07A5C"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2.97</w:t>
            </w:r>
          </w:p>
        </w:tc>
        <w:tc>
          <w:tcPr>
            <w:tcW w:w="254" w:type="pct"/>
            <w:tcMar>
              <w:left w:w="105" w:type="dxa"/>
              <w:right w:w="105" w:type="dxa"/>
            </w:tcMar>
          </w:tcPr>
          <w:p w14:paraId="4252FA82"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2.89</w:t>
            </w:r>
          </w:p>
        </w:tc>
        <w:tc>
          <w:tcPr>
            <w:tcW w:w="254" w:type="pct"/>
            <w:tcMar>
              <w:left w:w="105" w:type="dxa"/>
              <w:right w:w="105" w:type="dxa"/>
            </w:tcMar>
          </w:tcPr>
          <w:p w14:paraId="046113F6"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2.89</w:t>
            </w:r>
          </w:p>
        </w:tc>
        <w:tc>
          <w:tcPr>
            <w:tcW w:w="254" w:type="pct"/>
            <w:shd w:val="clear" w:color="auto" w:fill="DADADA" w:themeFill="background2" w:themeFillShade="E6"/>
            <w:tcMar>
              <w:left w:w="105" w:type="dxa"/>
              <w:right w:w="105" w:type="dxa"/>
            </w:tcMar>
          </w:tcPr>
          <w:p w14:paraId="1B4789D4"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3.29*</w:t>
            </w:r>
          </w:p>
        </w:tc>
        <w:tc>
          <w:tcPr>
            <w:tcW w:w="254" w:type="pct"/>
            <w:shd w:val="clear" w:color="auto" w:fill="DADADA" w:themeFill="background2" w:themeFillShade="E6"/>
            <w:tcMar>
              <w:left w:w="105" w:type="dxa"/>
              <w:right w:w="105" w:type="dxa"/>
            </w:tcMar>
          </w:tcPr>
          <w:p w14:paraId="227F4C1B"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3.28*</w:t>
            </w:r>
          </w:p>
        </w:tc>
        <w:tc>
          <w:tcPr>
            <w:tcW w:w="254" w:type="pct"/>
            <w:tcMar>
              <w:left w:w="105" w:type="dxa"/>
              <w:right w:w="105" w:type="dxa"/>
            </w:tcMar>
          </w:tcPr>
          <w:p w14:paraId="0897633B"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3.21*</w:t>
            </w:r>
          </w:p>
        </w:tc>
        <w:tc>
          <w:tcPr>
            <w:tcW w:w="254" w:type="pct"/>
            <w:tcMar>
              <w:left w:w="105" w:type="dxa"/>
              <w:right w:w="105" w:type="dxa"/>
            </w:tcMar>
          </w:tcPr>
          <w:p w14:paraId="32C6837C"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2.97</w:t>
            </w:r>
          </w:p>
        </w:tc>
        <w:tc>
          <w:tcPr>
            <w:tcW w:w="262" w:type="pct"/>
            <w:shd w:val="clear" w:color="auto" w:fill="DADADA" w:themeFill="background2" w:themeFillShade="E6"/>
            <w:tcMar>
              <w:left w:w="105" w:type="dxa"/>
              <w:right w:w="105" w:type="dxa"/>
            </w:tcMar>
          </w:tcPr>
          <w:p w14:paraId="04AEF69B"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w:t>
            </w:r>
          </w:p>
        </w:tc>
        <w:tc>
          <w:tcPr>
            <w:tcW w:w="262" w:type="pct"/>
            <w:shd w:val="clear" w:color="auto" w:fill="DADADA" w:themeFill="background2" w:themeFillShade="E6"/>
            <w:tcMar>
              <w:left w:w="105" w:type="dxa"/>
              <w:right w:w="105" w:type="dxa"/>
            </w:tcMar>
          </w:tcPr>
          <w:p w14:paraId="47374185"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3.14*</w:t>
            </w:r>
          </w:p>
        </w:tc>
        <w:tc>
          <w:tcPr>
            <w:tcW w:w="254" w:type="pct"/>
            <w:tcMar>
              <w:left w:w="105" w:type="dxa"/>
              <w:right w:w="105" w:type="dxa"/>
            </w:tcMar>
          </w:tcPr>
          <w:p w14:paraId="2DD96169"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3.47*</w:t>
            </w:r>
          </w:p>
        </w:tc>
        <w:tc>
          <w:tcPr>
            <w:tcW w:w="254" w:type="pct"/>
            <w:tcMar>
              <w:left w:w="105" w:type="dxa"/>
              <w:right w:w="105" w:type="dxa"/>
            </w:tcMar>
          </w:tcPr>
          <w:p w14:paraId="077AC7AC"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3.42*</w:t>
            </w:r>
          </w:p>
        </w:tc>
        <w:tc>
          <w:tcPr>
            <w:tcW w:w="251" w:type="pct"/>
            <w:shd w:val="clear" w:color="auto" w:fill="DADADA" w:themeFill="background2" w:themeFillShade="E6"/>
            <w:tcMar>
              <w:left w:w="105" w:type="dxa"/>
              <w:right w:w="105" w:type="dxa"/>
            </w:tcMar>
          </w:tcPr>
          <w:p w14:paraId="0C4AD2C0"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3.3*</w:t>
            </w:r>
          </w:p>
        </w:tc>
        <w:tc>
          <w:tcPr>
            <w:tcW w:w="248" w:type="pct"/>
            <w:shd w:val="clear" w:color="auto" w:fill="DADADA" w:themeFill="background2" w:themeFillShade="E6"/>
            <w:tcMar>
              <w:left w:w="105" w:type="dxa"/>
              <w:right w:w="105" w:type="dxa"/>
            </w:tcMar>
          </w:tcPr>
          <w:p w14:paraId="2D83CB3F"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3.31*</w:t>
            </w:r>
          </w:p>
        </w:tc>
      </w:tr>
      <w:tr w:rsidR="002B6683" w:rsidRPr="00DA2128" w14:paraId="3EA0BBA1" w14:textId="77777777" w:rsidTr="00B605CC">
        <w:trPr>
          <w:trHeight w:val="300"/>
        </w:trPr>
        <w:tc>
          <w:tcPr>
            <w:tcW w:w="376" w:type="pct"/>
            <w:tcMar>
              <w:left w:w="105" w:type="dxa"/>
              <w:right w:w="105" w:type="dxa"/>
            </w:tcMar>
          </w:tcPr>
          <w:p w14:paraId="3B1EE9B7" w14:textId="77777777" w:rsidR="002B6683" w:rsidRPr="00DA2128" w:rsidRDefault="002B6683"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color w:val="000000" w:themeColor="text1"/>
                <w:sz w:val="18"/>
                <w:szCs w:val="18"/>
              </w:rPr>
              <w:t>26</w:t>
            </w:r>
          </w:p>
        </w:tc>
        <w:tc>
          <w:tcPr>
            <w:tcW w:w="275" w:type="pct"/>
            <w:shd w:val="clear" w:color="auto" w:fill="DADADA" w:themeFill="background2" w:themeFillShade="E6"/>
            <w:tcMar>
              <w:left w:w="105" w:type="dxa"/>
              <w:right w:w="105" w:type="dxa"/>
            </w:tcMar>
          </w:tcPr>
          <w:p w14:paraId="2BF8E16E"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2.68</w:t>
            </w:r>
          </w:p>
        </w:tc>
        <w:tc>
          <w:tcPr>
            <w:tcW w:w="276" w:type="pct"/>
            <w:shd w:val="clear" w:color="auto" w:fill="DADADA" w:themeFill="background2" w:themeFillShade="E6"/>
            <w:tcMar>
              <w:left w:w="105" w:type="dxa"/>
              <w:right w:w="105" w:type="dxa"/>
            </w:tcMar>
          </w:tcPr>
          <w:p w14:paraId="05ED0B89"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2.82</w:t>
            </w:r>
          </w:p>
        </w:tc>
        <w:tc>
          <w:tcPr>
            <w:tcW w:w="254" w:type="pct"/>
            <w:tcMar>
              <w:left w:w="105" w:type="dxa"/>
              <w:right w:w="105" w:type="dxa"/>
            </w:tcMar>
          </w:tcPr>
          <w:p w14:paraId="71E040B0"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2.95</w:t>
            </w:r>
          </w:p>
        </w:tc>
        <w:tc>
          <w:tcPr>
            <w:tcW w:w="254" w:type="pct"/>
            <w:tcMar>
              <w:left w:w="105" w:type="dxa"/>
              <w:right w:w="105" w:type="dxa"/>
            </w:tcMar>
          </w:tcPr>
          <w:p w14:paraId="431E8970"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2.91</w:t>
            </w:r>
          </w:p>
        </w:tc>
        <w:tc>
          <w:tcPr>
            <w:tcW w:w="254" w:type="pct"/>
            <w:shd w:val="clear" w:color="auto" w:fill="DADADA" w:themeFill="background2" w:themeFillShade="E6"/>
            <w:tcMar>
              <w:left w:w="105" w:type="dxa"/>
              <w:right w:w="105" w:type="dxa"/>
            </w:tcMar>
          </w:tcPr>
          <w:p w14:paraId="058B5DF1"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w:t>
            </w:r>
          </w:p>
        </w:tc>
        <w:tc>
          <w:tcPr>
            <w:tcW w:w="254" w:type="pct"/>
            <w:shd w:val="clear" w:color="auto" w:fill="DADADA" w:themeFill="background2" w:themeFillShade="E6"/>
            <w:tcMar>
              <w:left w:w="105" w:type="dxa"/>
              <w:right w:w="105" w:type="dxa"/>
            </w:tcMar>
          </w:tcPr>
          <w:p w14:paraId="4E9F8845"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3.03</w:t>
            </w:r>
          </w:p>
        </w:tc>
        <w:tc>
          <w:tcPr>
            <w:tcW w:w="254" w:type="pct"/>
            <w:tcMar>
              <w:left w:w="105" w:type="dxa"/>
              <w:right w:w="105" w:type="dxa"/>
            </w:tcMar>
          </w:tcPr>
          <w:p w14:paraId="593B8EDD"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2.73</w:t>
            </w:r>
          </w:p>
        </w:tc>
        <w:tc>
          <w:tcPr>
            <w:tcW w:w="254" w:type="pct"/>
            <w:tcMar>
              <w:left w:w="105" w:type="dxa"/>
              <w:right w:w="105" w:type="dxa"/>
            </w:tcMar>
          </w:tcPr>
          <w:p w14:paraId="5CE49F48"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2.61</w:t>
            </w:r>
          </w:p>
        </w:tc>
        <w:tc>
          <w:tcPr>
            <w:tcW w:w="254" w:type="pct"/>
            <w:shd w:val="clear" w:color="auto" w:fill="DADADA" w:themeFill="background2" w:themeFillShade="E6"/>
            <w:tcMar>
              <w:left w:w="105" w:type="dxa"/>
              <w:right w:w="105" w:type="dxa"/>
            </w:tcMar>
          </w:tcPr>
          <w:p w14:paraId="49BF75AE"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3.26</w:t>
            </w:r>
          </w:p>
        </w:tc>
        <w:tc>
          <w:tcPr>
            <w:tcW w:w="254" w:type="pct"/>
            <w:shd w:val="clear" w:color="auto" w:fill="DADADA" w:themeFill="background2" w:themeFillShade="E6"/>
            <w:tcMar>
              <w:left w:w="105" w:type="dxa"/>
              <w:right w:w="105" w:type="dxa"/>
            </w:tcMar>
          </w:tcPr>
          <w:p w14:paraId="51127CF6"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3.16</w:t>
            </w:r>
          </w:p>
        </w:tc>
        <w:tc>
          <w:tcPr>
            <w:tcW w:w="254" w:type="pct"/>
            <w:tcMar>
              <w:left w:w="105" w:type="dxa"/>
              <w:right w:w="105" w:type="dxa"/>
            </w:tcMar>
          </w:tcPr>
          <w:p w14:paraId="4D50C0A8"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3.16</w:t>
            </w:r>
          </w:p>
        </w:tc>
        <w:tc>
          <w:tcPr>
            <w:tcW w:w="254" w:type="pct"/>
            <w:tcMar>
              <w:left w:w="105" w:type="dxa"/>
              <w:right w:w="105" w:type="dxa"/>
            </w:tcMar>
          </w:tcPr>
          <w:p w14:paraId="2DFBDE53"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2.94</w:t>
            </w:r>
          </w:p>
        </w:tc>
        <w:tc>
          <w:tcPr>
            <w:tcW w:w="262" w:type="pct"/>
            <w:shd w:val="clear" w:color="auto" w:fill="DADADA" w:themeFill="background2" w:themeFillShade="E6"/>
            <w:tcMar>
              <w:left w:w="105" w:type="dxa"/>
              <w:right w:w="105" w:type="dxa"/>
            </w:tcMar>
          </w:tcPr>
          <w:p w14:paraId="328CE235"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2.97</w:t>
            </w:r>
          </w:p>
        </w:tc>
        <w:tc>
          <w:tcPr>
            <w:tcW w:w="262" w:type="pct"/>
            <w:shd w:val="clear" w:color="auto" w:fill="DADADA" w:themeFill="background2" w:themeFillShade="E6"/>
            <w:tcMar>
              <w:left w:w="105" w:type="dxa"/>
              <w:right w:w="105" w:type="dxa"/>
            </w:tcMar>
          </w:tcPr>
          <w:p w14:paraId="61CECCBD"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3.06</w:t>
            </w:r>
          </w:p>
        </w:tc>
        <w:tc>
          <w:tcPr>
            <w:tcW w:w="254" w:type="pct"/>
            <w:tcMar>
              <w:left w:w="105" w:type="dxa"/>
              <w:right w:w="105" w:type="dxa"/>
            </w:tcMar>
          </w:tcPr>
          <w:p w14:paraId="5591656C"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w:t>
            </w:r>
          </w:p>
        </w:tc>
        <w:tc>
          <w:tcPr>
            <w:tcW w:w="254" w:type="pct"/>
            <w:tcMar>
              <w:left w:w="105" w:type="dxa"/>
              <w:right w:w="105" w:type="dxa"/>
            </w:tcMar>
          </w:tcPr>
          <w:p w14:paraId="45ECB641"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3.08</w:t>
            </w:r>
          </w:p>
        </w:tc>
        <w:tc>
          <w:tcPr>
            <w:tcW w:w="251" w:type="pct"/>
            <w:shd w:val="clear" w:color="auto" w:fill="DADADA" w:themeFill="background2" w:themeFillShade="E6"/>
            <w:tcMar>
              <w:left w:w="105" w:type="dxa"/>
              <w:right w:w="105" w:type="dxa"/>
            </w:tcMar>
          </w:tcPr>
          <w:p w14:paraId="2518A32C"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2.62</w:t>
            </w:r>
          </w:p>
        </w:tc>
        <w:tc>
          <w:tcPr>
            <w:tcW w:w="248" w:type="pct"/>
            <w:shd w:val="clear" w:color="auto" w:fill="DADADA" w:themeFill="background2" w:themeFillShade="E6"/>
            <w:tcMar>
              <w:left w:w="105" w:type="dxa"/>
              <w:right w:w="105" w:type="dxa"/>
            </w:tcMar>
          </w:tcPr>
          <w:p w14:paraId="3D38945E"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2.57</w:t>
            </w:r>
          </w:p>
        </w:tc>
      </w:tr>
      <w:tr w:rsidR="002B6683" w:rsidRPr="00DA2128" w14:paraId="12E0610C" w14:textId="77777777" w:rsidTr="00B605CC">
        <w:trPr>
          <w:trHeight w:val="300"/>
        </w:trPr>
        <w:tc>
          <w:tcPr>
            <w:tcW w:w="376" w:type="pct"/>
            <w:tcMar>
              <w:left w:w="105" w:type="dxa"/>
              <w:right w:w="105" w:type="dxa"/>
            </w:tcMar>
          </w:tcPr>
          <w:p w14:paraId="374AF564" w14:textId="77777777" w:rsidR="002B6683" w:rsidRPr="00DA2128" w:rsidRDefault="002B6683"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color w:val="000000" w:themeColor="text1"/>
                <w:sz w:val="18"/>
                <w:szCs w:val="18"/>
              </w:rPr>
              <w:t>27</w:t>
            </w:r>
          </w:p>
        </w:tc>
        <w:tc>
          <w:tcPr>
            <w:tcW w:w="275" w:type="pct"/>
            <w:shd w:val="clear" w:color="auto" w:fill="DADADA" w:themeFill="background2" w:themeFillShade="E6"/>
            <w:tcMar>
              <w:left w:w="105" w:type="dxa"/>
              <w:right w:w="105" w:type="dxa"/>
            </w:tcMar>
          </w:tcPr>
          <w:p w14:paraId="51B4D85E"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2.63</w:t>
            </w:r>
          </w:p>
        </w:tc>
        <w:tc>
          <w:tcPr>
            <w:tcW w:w="276" w:type="pct"/>
            <w:shd w:val="clear" w:color="auto" w:fill="DADADA" w:themeFill="background2" w:themeFillShade="E6"/>
            <w:tcMar>
              <w:left w:w="105" w:type="dxa"/>
              <w:right w:w="105" w:type="dxa"/>
            </w:tcMar>
          </w:tcPr>
          <w:p w14:paraId="21DD5C3A"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2.59</w:t>
            </w:r>
          </w:p>
        </w:tc>
        <w:tc>
          <w:tcPr>
            <w:tcW w:w="254" w:type="pct"/>
            <w:tcMar>
              <w:left w:w="105" w:type="dxa"/>
              <w:right w:w="105" w:type="dxa"/>
            </w:tcMar>
          </w:tcPr>
          <w:p w14:paraId="4427DAE3"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2.8</w:t>
            </w:r>
          </w:p>
        </w:tc>
        <w:tc>
          <w:tcPr>
            <w:tcW w:w="254" w:type="pct"/>
            <w:tcMar>
              <w:left w:w="105" w:type="dxa"/>
              <w:right w:w="105" w:type="dxa"/>
            </w:tcMar>
          </w:tcPr>
          <w:p w14:paraId="48050AAF"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2.69</w:t>
            </w:r>
          </w:p>
        </w:tc>
        <w:tc>
          <w:tcPr>
            <w:tcW w:w="254" w:type="pct"/>
            <w:shd w:val="clear" w:color="auto" w:fill="DADADA" w:themeFill="background2" w:themeFillShade="E6"/>
            <w:tcMar>
              <w:left w:w="105" w:type="dxa"/>
              <w:right w:w="105" w:type="dxa"/>
            </w:tcMar>
          </w:tcPr>
          <w:p w14:paraId="0477BBB6"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3.17</w:t>
            </w:r>
          </w:p>
        </w:tc>
        <w:tc>
          <w:tcPr>
            <w:tcW w:w="254" w:type="pct"/>
            <w:shd w:val="clear" w:color="auto" w:fill="DADADA" w:themeFill="background2" w:themeFillShade="E6"/>
            <w:tcMar>
              <w:left w:w="105" w:type="dxa"/>
              <w:right w:w="105" w:type="dxa"/>
            </w:tcMar>
          </w:tcPr>
          <w:p w14:paraId="0068EA52"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2.53</w:t>
            </w:r>
          </w:p>
        </w:tc>
        <w:tc>
          <w:tcPr>
            <w:tcW w:w="254" w:type="pct"/>
            <w:tcMar>
              <w:left w:w="105" w:type="dxa"/>
              <w:right w:w="105" w:type="dxa"/>
            </w:tcMar>
          </w:tcPr>
          <w:p w14:paraId="53F1FDEA"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w:t>
            </w:r>
          </w:p>
        </w:tc>
        <w:tc>
          <w:tcPr>
            <w:tcW w:w="254" w:type="pct"/>
            <w:tcMar>
              <w:left w:w="105" w:type="dxa"/>
              <w:right w:w="105" w:type="dxa"/>
            </w:tcMar>
          </w:tcPr>
          <w:p w14:paraId="05A6E7B5"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2.68</w:t>
            </w:r>
          </w:p>
        </w:tc>
        <w:tc>
          <w:tcPr>
            <w:tcW w:w="254" w:type="pct"/>
            <w:shd w:val="clear" w:color="auto" w:fill="DADADA" w:themeFill="background2" w:themeFillShade="E6"/>
            <w:tcMar>
              <w:left w:w="105" w:type="dxa"/>
              <w:right w:w="105" w:type="dxa"/>
            </w:tcMar>
          </w:tcPr>
          <w:p w14:paraId="6F13C99E"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3.16</w:t>
            </w:r>
          </w:p>
        </w:tc>
        <w:tc>
          <w:tcPr>
            <w:tcW w:w="254" w:type="pct"/>
            <w:shd w:val="clear" w:color="auto" w:fill="DADADA" w:themeFill="background2" w:themeFillShade="E6"/>
            <w:tcMar>
              <w:left w:w="105" w:type="dxa"/>
              <w:right w:w="105" w:type="dxa"/>
            </w:tcMar>
          </w:tcPr>
          <w:p w14:paraId="652A9B72"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3.16</w:t>
            </w:r>
          </w:p>
        </w:tc>
        <w:tc>
          <w:tcPr>
            <w:tcW w:w="254" w:type="pct"/>
            <w:tcMar>
              <w:left w:w="105" w:type="dxa"/>
              <w:right w:w="105" w:type="dxa"/>
            </w:tcMar>
          </w:tcPr>
          <w:p w14:paraId="2E9A57BB"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w:t>
            </w:r>
          </w:p>
        </w:tc>
        <w:tc>
          <w:tcPr>
            <w:tcW w:w="254" w:type="pct"/>
            <w:tcMar>
              <w:left w:w="105" w:type="dxa"/>
              <w:right w:w="105" w:type="dxa"/>
            </w:tcMar>
          </w:tcPr>
          <w:p w14:paraId="72246950"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2.91</w:t>
            </w:r>
          </w:p>
        </w:tc>
        <w:tc>
          <w:tcPr>
            <w:tcW w:w="262" w:type="pct"/>
            <w:shd w:val="clear" w:color="auto" w:fill="DADADA" w:themeFill="background2" w:themeFillShade="E6"/>
            <w:tcMar>
              <w:left w:w="105" w:type="dxa"/>
              <w:right w:w="105" w:type="dxa"/>
            </w:tcMar>
          </w:tcPr>
          <w:p w14:paraId="79E90DBB"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2.72</w:t>
            </w:r>
          </w:p>
        </w:tc>
        <w:tc>
          <w:tcPr>
            <w:tcW w:w="262" w:type="pct"/>
            <w:shd w:val="clear" w:color="auto" w:fill="DADADA" w:themeFill="background2" w:themeFillShade="E6"/>
            <w:tcMar>
              <w:left w:w="105" w:type="dxa"/>
              <w:right w:w="105" w:type="dxa"/>
            </w:tcMar>
          </w:tcPr>
          <w:p w14:paraId="7CC0BFE2"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2.83</w:t>
            </w:r>
          </w:p>
        </w:tc>
        <w:tc>
          <w:tcPr>
            <w:tcW w:w="254" w:type="pct"/>
            <w:tcMar>
              <w:left w:w="105" w:type="dxa"/>
              <w:right w:w="105" w:type="dxa"/>
            </w:tcMar>
          </w:tcPr>
          <w:p w14:paraId="098E322C"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2.94</w:t>
            </w:r>
          </w:p>
        </w:tc>
        <w:tc>
          <w:tcPr>
            <w:tcW w:w="254" w:type="pct"/>
            <w:tcMar>
              <w:left w:w="105" w:type="dxa"/>
              <w:right w:w="105" w:type="dxa"/>
            </w:tcMar>
          </w:tcPr>
          <w:p w14:paraId="2F277935"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2.85</w:t>
            </w:r>
          </w:p>
        </w:tc>
        <w:tc>
          <w:tcPr>
            <w:tcW w:w="251" w:type="pct"/>
            <w:shd w:val="clear" w:color="auto" w:fill="DADADA" w:themeFill="background2" w:themeFillShade="E6"/>
            <w:tcMar>
              <w:left w:w="105" w:type="dxa"/>
              <w:right w:w="105" w:type="dxa"/>
            </w:tcMar>
          </w:tcPr>
          <w:p w14:paraId="1861BB13"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2.62</w:t>
            </w:r>
          </w:p>
        </w:tc>
        <w:tc>
          <w:tcPr>
            <w:tcW w:w="248" w:type="pct"/>
            <w:shd w:val="clear" w:color="auto" w:fill="DADADA" w:themeFill="background2" w:themeFillShade="E6"/>
            <w:tcMar>
              <w:left w:w="105" w:type="dxa"/>
              <w:right w:w="105" w:type="dxa"/>
            </w:tcMar>
          </w:tcPr>
          <w:p w14:paraId="7852930D"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2.6</w:t>
            </w:r>
          </w:p>
        </w:tc>
      </w:tr>
      <w:tr w:rsidR="002B6683" w:rsidRPr="00DA2128" w14:paraId="370AFE74" w14:textId="77777777" w:rsidTr="00B605CC">
        <w:trPr>
          <w:trHeight w:val="300"/>
        </w:trPr>
        <w:tc>
          <w:tcPr>
            <w:tcW w:w="376" w:type="pct"/>
            <w:tcMar>
              <w:left w:w="105" w:type="dxa"/>
              <w:right w:w="105" w:type="dxa"/>
            </w:tcMar>
          </w:tcPr>
          <w:p w14:paraId="44F7BEA2" w14:textId="77777777" w:rsidR="002B6683" w:rsidRPr="00DA2128" w:rsidRDefault="002B6683"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color w:val="000000" w:themeColor="text1"/>
                <w:sz w:val="18"/>
                <w:szCs w:val="18"/>
              </w:rPr>
              <w:t>43</w:t>
            </w:r>
          </w:p>
        </w:tc>
        <w:tc>
          <w:tcPr>
            <w:tcW w:w="275" w:type="pct"/>
            <w:shd w:val="clear" w:color="auto" w:fill="DADADA" w:themeFill="background2" w:themeFillShade="E6"/>
            <w:tcMar>
              <w:left w:w="105" w:type="dxa"/>
              <w:right w:w="105" w:type="dxa"/>
            </w:tcMar>
          </w:tcPr>
          <w:p w14:paraId="6F592C4F"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2.67</w:t>
            </w:r>
          </w:p>
        </w:tc>
        <w:tc>
          <w:tcPr>
            <w:tcW w:w="276" w:type="pct"/>
            <w:shd w:val="clear" w:color="auto" w:fill="DADADA" w:themeFill="background2" w:themeFillShade="E6"/>
            <w:tcMar>
              <w:left w:w="105" w:type="dxa"/>
              <w:right w:w="105" w:type="dxa"/>
            </w:tcMar>
          </w:tcPr>
          <w:p w14:paraId="4B05BC46"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2.57</w:t>
            </w:r>
          </w:p>
        </w:tc>
        <w:tc>
          <w:tcPr>
            <w:tcW w:w="254" w:type="pct"/>
            <w:tcMar>
              <w:left w:w="105" w:type="dxa"/>
              <w:right w:w="105" w:type="dxa"/>
            </w:tcMar>
          </w:tcPr>
          <w:p w14:paraId="3614A0B9"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2.97</w:t>
            </w:r>
          </w:p>
        </w:tc>
        <w:tc>
          <w:tcPr>
            <w:tcW w:w="254" w:type="pct"/>
            <w:tcMar>
              <w:left w:w="105" w:type="dxa"/>
              <w:right w:w="105" w:type="dxa"/>
            </w:tcMar>
          </w:tcPr>
          <w:p w14:paraId="5066A422"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2.74</w:t>
            </w:r>
          </w:p>
        </w:tc>
        <w:tc>
          <w:tcPr>
            <w:tcW w:w="254" w:type="pct"/>
            <w:shd w:val="clear" w:color="auto" w:fill="DADADA" w:themeFill="background2" w:themeFillShade="E6"/>
            <w:tcMar>
              <w:left w:w="105" w:type="dxa"/>
              <w:right w:w="105" w:type="dxa"/>
            </w:tcMar>
          </w:tcPr>
          <w:p w14:paraId="0CB39EC5"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2.82</w:t>
            </w:r>
          </w:p>
        </w:tc>
        <w:tc>
          <w:tcPr>
            <w:tcW w:w="254" w:type="pct"/>
            <w:shd w:val="clear" w:color="auto" w:fill="DADADA" w:themeFill="background2" w:themeFillShade="E6"/>
            <w:tcMar>
              <w:left w:w="105" w:type="dxa"/>
              <w:right w:w="105" w:type="dxa"/>
            </w:tcMar>
          </w:tcPr>
          <w:p w14:paraId="61DEAD0D"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2.32</w:t>
            </w:r>
          </w:p>
        </w:tc>
        <w:tc>
          <w:tcPr>
            <w:tcW w:w="254" w:type="pct"/>
            <w:tcMar>
              <w:left w:w="105" w:type="dxa"/>
              <w:right w:w="105" w:type="dxa"/>
            </w:tcMar>
          </w:tcPr>
          <w:p w14:paraId="36A1C27C"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2.62</w:t>
            </w:r>
          </w:p>
        </w:tc>
        <w:tc>
          <w:tcPr>
            <w:tcW w:w="254" w:type="pct"/>
            <w:tcMar>
              <w:left w:w="105" w:type="dxa"/>
              <w:right w:w="105" w:type="dxa"/>
            </w:tcMar>
          </w:tcPr>
          <w:p w14:paraId="76AEE510"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2.7</w:t>
            </w:r>
          </w:p>
        </w:tc>
        <w:tc>
          <w:tcPr>
            <w:tcW w:w="254" w:type="pct"/>
            <w:shd w:val="clear" w:color="auto" w:fill="DADADA" w:themeFill="background2" w:themeFillShade="E6"/>
            <w:tcMar>
              <w:left w:w="105" w:type="dxa"/>
              <w:right w:w="105" w:type="dxa"/>
            </w:tcMar>
          </w:tcPr>
          <w:p w14:paraId="2E9684BC"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3.18</w:t>
            </w:r>
          </w:p>
        </w:tc>
        <w:tc>
          <w:tcPr>
            <w:tcW w:w="254" w:type="pct"/>
            <w:shd w:val="clear" w:color="auto" w:fill="DADADA" w:themeFill="background2" w:themeFillShade="E6"/>
            <w:tcMar>
              <w:left w:w="105" w:type="dxa"/>
              <w:right w:w="105" w:type="dxa"/>
            </w:tcMar>
          </w:tcPr>
          <w:p w14:paraId="5F6EE5C1"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3.14</w:t>
            </w:r>
          </w:p>
        </w:tc>
        <w:tc>
          <w:tcPr>
            <w:tcW w:w="254" w:type="pct"/>
            <w:tcMar>
              <w:left w:w="105" w:type="dxa"/>
              <w:right w:w="105" w:type="dxa"/>
            </w:tcMar>
          </w:tcPr>
          <w:p w14:paraId="3C710590"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3.08</w:t>
            </w:r>
          </w:p>
        </w:tc>
        <w:tc>
          <w:tcPr>
            <w:tcW w:w="254" w:type="pct"/>
            <w:tcMar>
              <w:left w:w="105" w:type="dxa"/>
              <w:right w:w="105" w:type="dxa"/>
            </w:tcMar>
          </w:tcPr>
          <w:p w14:paraId="56EF4718"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2.59</w:t>
            </w:r>
          </w:p>
        </w:tc>
        <w:tc>
          <w:tcPr>
            <w:tcW w:w="262" w:type="pct"/>
            <w:shd w:val="clear" w:color="auto" w:fill="DADADA" w:themeFill="background2" w:themeFillShade="E6"/>
            <w:tcMar>
              <w:left w:w="105" w:type="dxa"/>
              <w:right w:w="105" w:type="dxa"/>
            </w:tcMar>
          </w:tcPr>
          <w:p w14:paraId="34873F22"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2.92</w:t>
            </w:r>
          </w:p>
        </w:tc>
        <w:tc>
          <w:tcPr>
            <w:tcW w:w="262" w:type="pct"/>
            <w:shd w:val="clear" w:color="auto" w:fill="DADADA" w:themeFill="background2" w:themeFillShade="E6"/>
            <w:tcMar>
              <w:left w:w="105" w:type="dxa"/>
              <w:right w:w="105" w:type="dxa"/>
            </w:tcMar>
          </w:tcPr>
          <w:p w14:paraId="438DC5E8"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2.69</w:t>
            </w:r>
          </w:p>
        </w:tc>
        <w:tc>
          <w:tcPr>
            <w:tcW w:w="254" w:type="pct"/>
            <w:tcMar>
              <w:left w:w="105" w:type="dxa"/>
              <w:right w:w="105" w:type="dxa"/>
            </w:tcMar>
          </w:tcPr>
          <w:p w14:paraId="30EE24DB"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3.06</w:t>
            </w:r>
          </w:p>
        </w:tc>
        <w:tc>
          <w:tcPr>
            <w:tcW w:w="254" w:type="pct"/>
            <w:tcMar>
              <w:left w:w="105" w:type="dxa"/>
              <w:right w:w="105" w:type="dxa"/>
            </w:tcMar>
          </w:tcPr>
          <w:p w14:paraId="3B08BBA7"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w:t>
            </w:r>
          </w:p>
        </w:tc>
        <w:tc>
          <w:tcPr>
            <w:tcW w:w="251" w:type="pct"/>
            <w:shd w:val="clear" w:color="auto" w:fill="DADADA" w:themeFill="background2" w:themeFillShade="E6"/>
            <w:tcMar>
              <w:left w:w="105" w:type="dxa"/>
              <w:right w:w="105" w:type="dxa"/>
            </w:tcMar>
          </w:tcPr>
          <w:p w14:paraId="5913C431"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2.68</w:t>
            </w:r>
          </w:p>
        </w:tc>
        <w:tc>
          <w:tcPr>
            <w:tcW w:w="248" w:type="pct"/>
            <w:shd w:val="clear" w:color="auto" w:fill="DADADA" w:themeFill="background2" w:themeFillShade="E6"/>
            <w:tcMar>
              <w:left w:w="105" w:type="dxa"/>
              <w:right w:w="105" w:type="dxa"/>
            </w:tcMar>
          </w:tcPr>
          <w:p w14:paraId="665A736D"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2.34</w:t>
            </w:r>
          </w:p>
        </w:tc>
      </w:tr>
      <w:tr w:rsidR="002B6683" w:rsidRPr="00DA2128" w14:paraId="32C130F4" w14:textId="77777777" w:rsidTr="00B605CC">
        <w:trPr>
          <w:trHeight w:val="300"/>
        </w:trPr>
        <w:tc>
          <w:tcPr>
            <w:tcW w:w="376" w:type="pct"/>
            <w:tcMar>
              <w:left w:w="105" w:type="dxa"/>
              <w:right w:w="105" w:type="dxa"/>
            </w:tcMar>
          </w:tcPr>
          <w:p w14:paraId="3BD08A86" w14:textId="77777777" w:rsidR="002B6683" w:rsidRPr="00DA2128" w:rsidRDefault="002B6683"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color w:val="000000" w:themeColor="text1"/>
                <w:sz w:val="18"/>
                <w:szCs w:val="18"/>
              </w:rPr>
              <w:t>46</w:t>
            </w:r>
          </w:p>
        </w:tc>
        <w:tc>
          <w:tcPr>
            <w:tcW w:w="275" w:type="pct"/>
            <w:shd w:val="clear" w:color="auto" w:fill="DADADA" w:themeFill="background2" w:themeFillShade="E6"/>
            <w:tcMar>
              <w:left w:w="105" w:type="dxa"/>
              <w:right w:w="105" w:type="dxa"/>
            </w:tcMar>
          </w:tcPr>
          <w:p w14:paraId="4A5EFD1D"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2.49</w:t>
            </w:r>
          </w:p>
        </w:tc>
        <w:tc>
          <w:tcPr>
            <w:tcW w:w="276" w:type="pct"/>
            <w:shd w:val="clear" w:color="auto" w:fill="DADADA" w:themeFill="background2" w:themeFillShade="E6"/>
            <w:tcMar>
              <w:left w:w="105" w:type="dxa"/>
              <w:right w:w="105" w:type="dxa"/>
            </w:tcMar>
          </w:tcPr>
          <w:p w14:paraId="3921117C"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2.72</w:t>
            </w:r>
          </w:p>
        </w:tc>
        <w:tc>
          <w:tcPr>
            <w:tcW w:w="254" w:type="pct"/>
            <w:tcMar>
              <w:left w:w="105" w:type="dxa"/>
              <w:right w:w="105" w:type="dxa"/>
            </w:tcMar>
          </w:tcPr>
          <w:p w14:paraId="44A8949E"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2.87</w:t>
            </w:r>
          </w:p>
        </w:tc>
        <w:tc>
          <w:tcPr>
            <w:tcW w:w="254" w:type="pct"/>
            <w:tcMar>
              <w:left w:w="105" w:type="dxa"/>
              <w:right w:w="105" w:type="dxa"/>
            </w:tcMar>
          </w:tcPr>
          <w:p w14:paraId="125A51AF"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2.8</w:t>
            </w:r>
          </w:p>
        </w:tc>
        <w:tc>
          <w:tcPr>
            <w:tcW w:w="254" w:type="pct"/>
            <w:shd w:val="clear" w:color="auto" w:fill="DADADA" w:themeFill="background2" w:themeFillShade="E6"/>
            <w:tcMar>
              <w:left w:w="105" w:type="dxa"/>
              <w:right w:w="105" w:type="dxa"/>
            </w:tcMar>
          </w:tcPr>
          <w:p w14:paraId="2DFC69B6"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2.91</w:t>
            </w:r>
          </w:p>
        </w:tc>
        <w:tc>
          <w:tcPr>
            <w:tcW w:w="254" w:type="pct"/>
            <w:shd w:val="clear" w:color="auto" w:fill="DADADA" w:themeFill="background2" w:themeFillShade="E6"/>
            <w:tcMar>
              <w:left w:w="105" w:type="dxa"/>
              <w:right w:w="105" w:type="dxa"/>
            </w:tcMar>
          </w:tcPr>
          <w:p w14:paraId="47703B5E"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2.44</w:t>
            </w:r>
          </w:p>
        </w:tc>
        <w:tc>
          <w:tcPr>
            <w:tcW w:w="254" w:type="pct"/>
            <w:tcMar>
              <w:left w:w="105" w:type="dxa"/>
              <w:right w:w="105" w:type="dxa"/>
            </w:tcMar>
          </w:tcPr>
          <w:p w14:paraId="37A24D3B"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2.68</w:t>
            </w:r>
          </w:p>
        </w:tc>
        <w:tc>
          <w:tcPr>
            <w:tcW w:w="254" w:type="pct"/>
            <w:tcMar>
              <w:left w:w="105" w:type="dxa"/>
              <w:right w:w="105" w:type="dxa"/>
            </w:tcMar>
          </w:tcPr>
          <w:p w14:paraId="6879A03B"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2.78</w:t>
            </w:r>
          </w:p>
        </w:tc>
        <w:tc>
          <w:tcPr>
            <w:tcW w:w="254" w:type="pct"/>
            <w:shd w:val="clear" w:color="auto" w:fill="DADADA" w:themeFill="background2" w:themeFillShade="E6"/>
            <w:tcMar>
              <w:left w:w="105" w:type="dxa"/>
              <w:right w:w="105" w:type="dxa"/>
            </w:tcMar>
          </w:tcPr>
          <w:p w14:paraId="1D04E26F"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3.24</w:t>
            </w:r>
          </w:p>
        </w:tc>
        <w:tc>
          <w:tcPr>
            <w:tcW w:w="254" w:type="pct"/>
            <w:shd w:val="clear" w:color="auto" w:fill="DADADA" w:themeFill="background2" w:themeFillShade="E6"/>
            <w:tcMar>
              <w:left w:w="105" w:type="dxa"/>
              <w:right w:w="105" w:type="dxa"/>
            </w:tcMar>
          </w:tcPr>
          <w:p w14:paraId="5F6F7E7C"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2.95</w:t>
            </w:r>
          </w:p>
        </w:tc>
        <w:tc>
          <w:tcPr>
            <w:tcW w:w="254" w:type="pct"/>
            <w:tcMar>
              <w:left w:w="105" w:type="dxa"/>
              <w:right w:w="105" w:type="dxa"/>
            </w:tcMar>
          </w:tcPr>
          <w:p w14:paraId="535443CC"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2.89</w:t>
            </w:r>
          </w:p>
        </w:tc>
        <w:tc>
          <w:tcPr>
            <w:tcW w:w="254" w:type="pct"/>
            <w:tcMar>
              <w:left w:w="105" w:type="dxa"/>
              <w:right w:w="105" w:type="dxa"/>
            </w:tcMar>
          </w:tcPr>
          <w:p w14:paraId="62B9C066"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2.68</w:t>
            </w:r>
          </w:p>
        </w:tc>
        <w:tc>
          <w:tcPr>
            <w:tcW w:w="262" w:type="pct"/>
            <w:shd w:val="clear" w:color="auto" w:fill="DADADA" w:themeFill="background2" w:themeFillShade="E6"/>
            <w:tcMar>
              <w:left w:w="105" w:type="dxa"/>
              <w:right w:w="105" w:type="dxa"/>
            </w:tcMar>
          </w:tcPr>
          <w:p w14:paraId="0B16FA5A"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2.86</w:t>
            </w:r>
          </w:p>
        </w:tc>
        <w:tc>
          <w:tcPr>
            <w:tcW w:w="262" w:type="pct"/>
            <w:shd w:val="clear" w:color="auto" w:fill="DADADA" w:themeFill="background2" w:themeFillShade="E6"/>
            <w:tcMar>
              <w:left w:w="105" w:type="dxa"/>
              <w:right w:w="105" w:type="dxa"/>
            </w:tcMar>
          </w:tcPr>
          <w:p w14:paraId="0B8EF463"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2.69</w:t>
            </w:r>
          </w:p>
        </w:tc>
        <w:tc>
          <w:tcPr>
            <w:tcW w:w="254" w:type="pct"/>
            <w:tcMar>
              <w:left w:w="105" w:type="dxa"/>
              <w:right w:w="105" w:type="dxa"/>
            </w:tcMar>
          </w:tcPr>
          <w:p w14:paraId="06423B75"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2.92</w:t>
            </w:r>
          </w:p>
        </w:tc>
        <w:tc>
          <w:tcPr>
            <w:tcW w:w="254" w:type="pct"/>
            <w:tcMar>
              <w:left w:w="105" w:type="dxa"/>
              <w:right w:w="105" w:type="dxa"/>
            </w:tcMar>
          </w:tcPr>
          <w:p w14:paraId="35EFA18A"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2.77</w:t>
            </w:r>
          </w:p>
        </w:tc>
        <w:tc>
          <w:tcPr>
            <w:tcW w:w="251" w:type="pct"/>
            <w:shd w:val="clear" w:color="auto" w:fill="DADADA" w:themeFill="background2" w:themeFillShade="E6"/>
            <w:tcMar>
              <w:left w:w="105" w:type="dxa"/>
              <w:right w:w="105" w:type="dxa"/>
            </w:tcMar>
          </w:tcPr>
          <w:p w14:paraId="45150127"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2.59</w:t>
            </w:r>
          </w:p>
        </w:tc>
        <w:tc>
          <w:tcPr>
            <w:tcW w:w="248" w:type="pct"/>
            <w:shd w:val="clear" w:color="auto" w:fill="DADADA" w:themeFill="background2" w:themeFillShade="E6"/>
            <w:tcMar>
              <w:left w:w="105" w:type="dxa"/>
              <w:right w:w="105" w:type="dxa"/>
            </w:tcMar>
          </w:tcPr>
          <w:p w14:paraId="51D9FCB9"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2.37</w:t>
            </w:r>
          </w:p>
        </w:tc>
      </w:tr>
      <w:tr w:rsidR="002B6683" w:rsidRPr="00DA2128" w14:paraId="79C5F821" w14:textId="77777777" w:rsidTr="00B605CC">
        <w:trPr>
          <w:trHeight w:val="300"/>
        </w:trPr>
        <w:tc>
          <w:tcPr>
            <w:tcW w:w="376" w:type="pct"/>
            <w:tcMar>
              <w:left w:w="105" w:type="dxa"/>
              <w:right w:w="105" w:type="dxa"/>
            </w:tcMar>
          </w:tcPr>
          <w:p w14:paraId="387FE220" w14:textId="77777777" w:rsidR="002B6683" w:rsidRPr="00DA2128" w:rsidRDefault="002B6683"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color w:val="000000" w:themeColor="text1"/>
                <w:sz w:val="18"/>
                <w:szCs w:val="18"/>
              </w:rPr>
              <w:t>68</w:t>
            </w:r>
          </w:p>
        </w:tc>
        <w:tc>
          <w:tcPr>
            <w:tcW w:w="275" w:type="pct"/>
            <w:shd w:val="clear" w:color="auto" w:fill="DADADA" w:themeFill="background2" w:themeFillShade="E6"/>
            <w:tcMar>
              <w:left w:w="105" w:type="dxa"/>
              <w:right w:w="105" w:type="dxa"/>
            </w:tcMar>
          </w:tcPr>
          <w:p w14:paraId="1D12A52B"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2.5</w:t>
            </w:r>
          </w:p>
        </w:tc>
        <w:tc>
          <w:tcPr>
            <w:tcW w:w="276" w:type="pct"/>
            <w:shd w:val="clear" w:color="auto" w:fill="DADADA" w:themeFill="background2" w:themeFillShade="E6"/>
            <w:tcMar>
              <w:left w:w="105" w:type="dxa"/>
              <w:right w:w="105" w:type="dxa"/>
            </w:tcMar>
          </w:tcPr>
          <w:p w14:paraId="6F57174B"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3*</w:t>
            </w:r>
          </w:p>
        </w:tc>
        <w:tc>
          <w:tcPr>
            <w:tcW w:w="254" w:type="pct"/>
            <w:tcMar>
              <w:left w:w="105" w:type="dxa"/>
              <w:right w:w="105" w:type="dxa"/>
            </w:tcMar>
          </w:tcPr>
          <w:p w14:paraId="7B258CAE"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2.72</w:t>
            </w:r>
          </w:p>
        </w:tc>
        <w:tc>
          <w:tcPr>
            <w:tcW w:w="254" w:type="pct"/>
            <w:tcMar>
              <w:left w:w="105" w:type="dxa"/>
              <w:right w:w="105" w:type="dxa"/>
            </w:tcMar>
          </w:tcPr>
          <w:p w14:paraId="6A92F9E7"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2.86</w:t>
            </w:r>
          </w:p>
        </w:tc>
        <w:tc>
          <w:tcPr>
            <w:tcW w:w="254" w:type="pct"/>
            <w:shd w:val="clear" w:color="auto" w:fill="DADADA" w:themeFill="background2" w:themeFillShade="E6"/>
            <w:tcMar>
              <w:left w:w="105" w:type="dxa"/>
              <w:right w:w="105" w:type="dxa"/>
            </w:tcMar>
          </w:tcPr>
          <w:p w14:paraId="2389F527"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2.65</w:t>
            </w:r>
          </w:p>
        </w:tc>
        <w:tc>
          <w:tcPr>
            <w:tcW w:w="254" w:type="pct"/>
            <w:shd w:val="clear" w:color="auto" w:fill="DADADA" w:themeFill="background2" w:themeFillShade="E6"/>
            <w:tcMar>
              <w:left w:w="105" w:type="dxa"/>
              <w:right w:w="105" w:type="dxa"/>
            </w:tcMar>
          </w:tcPr>
          <w:p w14:paraId="7E8E91A9"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2.85</w:t>
            </w:r>
          </w:p>
        </w:tc>
        <w:tc>
          <w:tcPr>
            <w:tcW w:w="254" w:type="pct"/>
            <w:tcMar>
              <w:left w:w="105" w:type="dxa"/>
              <w:right w:w="105" w:type="dxa"/>
            </w:tcMar>
          </w:tcPr>
          <w:p w14:paraId="3E76FEF3"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2.59</w:t>
            </w:r>
          </w:p>
        </w:tc>
        <w:tc>
          <w:tcPr>
            <w:tcW w:w="254" w:type="pct"/>
            <w:tcMar>
              <w:left w:w="105" w:type="dxa"/>
              <w:right w:w="105" w:type="dxa"/>
            </w:tcMar>
          </w:tcPr>
          <w:p w14:paraId="761F822C"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3.05*</w:t>
            </w:r>
          </w:p>
        </w:tc>
        <w:tc>
          <w:tcPr>
            <w:tcW w:w="254" w:type="pct"/>
            <w:shd w:val="clear" w:color="auto" w:fill="DADADA" w:themeFill="background2" w:themeFillShade="E6"/>
            <w:tcMar>
              <w:left w:w="105" w:type="dxa"/>
              <w:right w:w="105" w:type="dxa"/>
            </w:tcMar>
          </w:tcPr>
          <w:p w14:paraId="31D1C048"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3.13</w:t>
            </w:r>
          </w:p>
        </w:tc>
        <w:tc>
          <w:tcPr>
            <w:tcW w:w="254" w:type="pct"/>
            <w:shd w:val="clear" w:color="auto" w:fill="DADADA" w:themeFill="background2" w:themeFillShade="E6"/>
            <w:tcMar>
              <w:left w:w="105" w:type="dxa"/>
              <w:right w:w="105" w:type="dxa"/>
            </w:tcMar>
          </w:tcPr>
          <w:p w14:paraId="56CA4C04"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3.3</w:t>
            </w:r>
          </w:p>
        </w:tc>
        <w:tc>
          <w:tcPr>
            <w:tcW w:w="254" w:type="pct"/>
            <w:tcMar>
              <w:left w:w="105" w:type="dxa"/>
              <w:right w:w="105" w:type="dxa"/>
            </w:tcMar>
          </w:tcPr>
          <w:p w14:paraId="29D328B2"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2.92</w:t>
            </w:r>
          </w:p>
        </w:tc>
        <w:tc>
          <w:tcPr>
            <w:tcW w:w="254" w:type="pct"/>
            <w:tcMar>
              <w:left w:w="105" w:type="dxa"/>
              <w:right w:w="105" w:type="dxa"/>
            </w:tcMar>
          </w:tcPr>
          <w:p w14:paraId="24CCF614"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3.09</w:t>
            </w:r>
          </w:p>
        </w:tc>
        <w:tc>
          <w:tcPr>
            <w:tcW w:w="262" w:type="pct"/>
            <w:shd w:val="clear" w:color="auto" w:fill="DADADA" w:themeFill="background2" w:themeFillShade="E6"/>
            <w:tcMar>
              <w:left w:w="105" w:type="dxa"/>
              <w:right w:w="105" w:type="dxa"/>
            </w:tcMar>
          </w:tcPr>
          <w:p w14:paraId="660926B1"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2.86</w:t>
            </w:r>
          </w:p>
        </w:tc>
        <w:tc>
          <w:tcPr>
            <w:tcW w:w="262" w:type="pct"/>
            <w:shd w:val="clear" w:color="auto" w:fill="DADADA" w:themeFill="background2" w:themeFillShade="E6"/>
            <w:tcMar>
              <w:left w:w="105" w:type="dxa"/>
              <w:right w:w="105" w:type="dxa"/>
            </w:tcMar>
          </w:tcPr>
          <w:p w14:paraId="081E54CE"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2.8</w:t>
            </w:r>
          </w:p>
        </w:tc>
        <w:tc>
          <w:tcPr>
            <w:tcW w:w="254" w:type="pct"/>
            <w:tcMar>
              <w:left w:w="105" w:type="dxa"/>
              <w:right w:w="105" w:type="dxa"/>
            </w:tcMar>
          </w:tcPr>
          <w:p w14:paraId="0EA82A05"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2.88</w:t>
            </w:r>
          </w:p>
        </w:tc>
        <w:tc>
          <w:tcPr>
            <w:tcW w:w="254" w:type="pct"/>
            <w:tcMar>
              <w:left w:w="105" w:type="dxa"/>
              <w:right w:w="105" w:type="dxa"/>
            </w:tcMar>
          </w:tcPr>
          <w:p w14:paraId="6460CAB8"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3.17</w:t>
            </w:r>
          </w:p>
        </w:tc>
        <w:tc>
          <w:tcPr>
            <w:tcW w:w="251" w:type="pct"/>
            <w:shd w:val="clear" w:color="auto" w:fill="DADADA" w:themeFill="background2" w:themeFillShade="E6"/>
            <w:tcMar>
              <w:left w:w="105" w:type="dxa"/>
              <w:right w:w="105" w:type="dxa"/>
            </w:tcMar>
          </w:tcPr>
          <w:p w14:paraId="704DEAEE"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2.65</w:t>
            </w:r>
          </w:p>
        </w:tc>
        <w:tc>
          <w:tcPr>
            <w:tcW w:w="248" w:type="pct"/>
            <w:shd w:val="clear" w:color="auto" w:fill="DADADA" w:themeFill="background2" w:themeFillShade="E6"/>
            <w:tcMar>
              <w:left w:w="105" w:type="dxa"/>
              <w:right w:w="105" w:type="dxa"/>
            </w:tcMar>
          </w:tcPr>
          <w:p w14:paraId="783A907D"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2.6</w:t>
            </w:r>
          </w:p>
        </w:tc>
      </w:tr>
      <w:tr w:rsidR="002B6683" w:rsidRPr="00DA2128" w14:paraId="64BA081E" w14:textId="77777777" w:rsidTr="00B605CC">
        <w:trPr>
          <w:trHeight w:val="300"/>
        </w:trPr>
        <w:tc>
          <w:tcPr>
            <w:tcW w:w="376" w:type="pct"/>
            <w:tcMar>
              <w:left w:w="105" w:type="dxa"/>
              <w:right w:w="105" w:type="dxa"/>
            </w:tcMar>
          </w:tcPr>
          <w:p w14:paraId="3ACCF968" w14:textId="77777777" w:rsidR="002B6683" w:rsidRPr="00DA2128" w:rsidRDefault="002B6683"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color w:val="000000" w:themeColor="text1"/>
                <w:sz w:val="18"/>
                <w:szCs w:val="18"/>
              </w:rPr>
              <w:t>76</w:t>
            </w:r>
          </w:p>
        </w:tc>
        <w:tc>
          <w:tcPr>
            <w:tcW w:w="275" w:type="pct"/>
            <w:shd w:val="clear" w:color="auto" w:fill="DADADA" w:themeFill="background2" w:themeFillShade="E6"/>
            <w:tcMar>
              <w:left w:w="105" w:type="dxa"/>
              <w:right w:w="105" w:type="dxa"/>
            </w:tcMar>
          </w:tcPr>
          <w:p w14:paraId="6488E884"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2.49</w:t>
            </w:r>
          </w:p>
        </w:tc>
        <w:tc>
          <w:tcPr>
            <w:tcW w:w="276" w:type="pct"/>
            <w:shd w:val="clear" w:color="auto" w:fill="DADADA" w:themeFill="background2" w:themeFillShade="E6"/>
            <w:tcMar>
              <w:left w:w="105" w:type="dxa"/>
              <w:right w:w="105" w:type="dxa"/>
            </w:tcMar>
          </w:tcPr>
          <w:p w14:paraId="734CF2B5"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2.53</w:t>
            </w:r>
          </w:p>
        </w:tc>
        <w:tc>
          <w:tcPr>
            <w:tcW w:w="254" w:type="pct"/>
            <w:tcMar>
              <w:left w:w="105" w:type="dxa"/>
              <w:right w:w="105" w:type="dxa"/>
            </w:tcMar>
          </w:tcPr>
          <w:p w14:paraId="6A07F307"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2.68</w:t>
            </w:r>
          </w:p>
        </w:tc>
        <w:tc>
          <w:tcPr>
            <w:tcW w:w="254" w:type="pct"/>
            <w:tcMar>
              <w:left w:w="105" w:type="dxa"/>
              <w:right w:w="105" w:type="dxa"/>
            </w:tcMar>
          </w:tcPr>
          <w:p w14:paraId="4E033553"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2.57</w:t>
            </w:r>
          </w:p>
        </w:tc>
        <w:tc>
          <w:tcPr>
            <w:tcW w:w="254" w:type="pct"/>
            <w:shd w:val="clear" w:color="auto" w:fill="DADADA" w:themeFill="background2" w:themeFillShade="E6"/>
            <w:tcMar>
              <w:left w:w="105" w:type="dxa"/>
              <w:right w:w="105" w:type="dxa"/>
            </w:tcMar>
          </w:tcPr>
          <w:p w14:paraId="6C218C90"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2.57</w:t>
            </w:r>
          </w:p>
        </w:tc>
        <w:tc>
          <w:tcPr>
            <w:tcW w:w="254" w:type="pct"/>
            <w:shd w:val="clear" w:color="auto" w:fill="DADADA" w:themeFill="background2" w:themeFillShade="E6"/>
            <w:tcMar>
              <w:left w:w="105" w:type="dxa"/>
              <w:right w:w="105" w:type="dxa"/>
            </w:tcMar>
          </w:tcPr>
          <w:p w14:paraId="5E1A613A"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2.12</w:t>
            </w:r>
          </w:p>
        </w:tc>
        <w:tc>
          <w:tcPr>
            <w:tcW w:w="254" w:type="pct"/>
            <w:tcMar>
              <w:left w:w="105" w:type="dxa"/>
              <w:right w:w="105" w:type="dxa"/>
            </w:tcMar>
          </w:tcPr>
          <w:p w14:paraId="3510E415"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2.71</w:t>
            </w:r>
          </w:p>
        </w:tc>
        <w:tc>
          <w:tcPr>
            <w:tcW w:w="254" w:type="pct"/>
            <w:tcMar>
              <w:left w:w="105" w:type="dxa"/>
              <w:right w:w="105" w:type="dxa"/>
            </w:tcMar>
          </w:tcPr>
          <w:p w14:paraId="640AD6B0"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2.54</w:t>
            </w:r>
          </w:p>
        </w:tc>
        <w:tc>
          <w:tcPr>
            <w:tcW w:w="254" w:type="pct"/>
            <w:shd w:val="clear" w:color="auto" w:fill="DADADA" w:themeFill="background2" w:themeFillShade="E6"/>
            <w:tcMar>
              <w:left w:w="105" w:type="dxa"/>
              <w:right w:w="105" w:type="dxa"/>
            </w:tcMar>
          </w:tcPr>
          <w:p w14:paraId="0EDB0EB5"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3.05</w:t>
            </w:r>
          </w:p>
        </w:tc>
        <w:tc>
          <w:tcPr>
            <w:tcW w:w="254" w:type="pct"/>
            <w:shd w:val="clear" w:color="auto" w:fill="DADADA" w:themeFill="background2" w:themeFillShade="E6"/>
            <w:tcMar>
              <w:left w:w="105" w:type="dxa"/>
              <w:right w:w="105" w:type="dxa"/>
            </w:tcMar>
          </w:tcPr>
          <w:p w14:paraId="04CFF765"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3.14</w:t>
            </w:r>
          </w:p>
        </w:tc>
        <w:tc>
          <w:tcPr>
            <w:tcW w:w="254" w:type="pct"/>
            <w:tcMar>
              <w:left w:w="105" w:type="dxa"/>
              <w:right w:w="105" w:type="dxa"/>
            </w:tcMar>
          </w:tcPr>
          <w:p w14:paraId="395295AA"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3.03</w:t>
            </w:r>
          </w:p>
        </w:tc>
        <w:tc>
          <w:tcPr>
            <w:tcW w:w="254" w:type="pct"/>
            <w:tcMar>
              <w:left w:w="105" w:type="dxa"/>
              <w:right w:w="105" w:type="dxa"/>
            </w:tcMar>
          </w:tcPr>
          <w:p w14:paraId="30446889"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2.76</w:t>
            </w:r>
          </w:p>
        </w:tc>
        <w:tc>
          <w:tcPr>
            <w:tcW w:w="262" w:type="pct"/>
            <w:shd w:val="clear" w:color="auto" w:fill="DADADA" w:themeFill="background2" w:themeFillShade="E6"/>
            <w:tcMar>
              <w:left w:w="105" w:type="dxa"/>
              <w:right w:w="105" w:type="dxa"/>
            </w:tcMar>
          </w:tcPr>
          <w:p w14:paraId="4B6B1813"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2.78</w:t>
            </w:r>
          </w:p>
        </w:tc>
        <w:tc>
          <w:tcPr>
            <w:tcW w:w="262" w:type="pct"/>
            <w:shd w:val="clear" w:color="auto" w:fill="DADADA" w:themeFill="background2" w:themeFillShade="E6"/>
            <w:tcMar>
              <w:left w:w="105" w:type="dxa"/>
              <w:right w:w="105" w:type="dxa"/>
            </w:tcMar>
          </w:tcPr>
          <w:p w14:paraId="6687759B"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2.63</w:t>
            </w:r>
          </w:p>
        </w:tc>
        <w:tc>
          <w:tcPr>
            <w:tcW w:w="254" w:type="pct"/>
            <w:tcMar>
              <w:left w:w="105" w:type="dxa"/>
              <w:right w:w="105" w:type="dxa"/>
            </w:tcMar>
          </w:tcPr>
          <w:p w14:paraId="75B799F1"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2.82</w:t>
            </w:r>
          </w:p>
        </w:tc>
        <w:tc>
          <w:tcPr>
            <w:tcW w:w="254" w:type="pct"/>
            <w:tcMar>
              <w:left w:w="105" w:type="dxa"/>
              <w:right w:w="105" w:type="dxa"/>
            </w:tcMar>
          </w:tcPr>
          <w:p w14:paraId="1F999C34"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2.63</w:t>
            </w:r>
          </w:p>
        </w:tc>
        <w:tc>
          <w:tcPr>
            <w:tcW w:w="251" w:type="pct"/>
            <w:shd w:val="clear" w:color="auto" w:fill="DADADA" w:themeFill="background2" w:themeFillShade="E6"/>
            <w:tcMar>
              <w:left w:w="105" w:type="dxa"/>
              <w:right w:w="105" w:type="dxa"/>
            </w:tcMar>
          </w:tcPr>
          <w:p w14:paraId="630A2EDC"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2.35</w:t>
            </w:r>
          </w:p>
        </w:tc>
        <w:tc>
          <w:tcPr>
            <w:tcW w:w="248" w:type="pct"/>
            <w:shd w:val="clear" w:color="auto" w:fill="DADADA" w:themeFill="background2" w:themeFillShade="E6"/>
            <w:tcMar>
              <w:left w:w="105" w:type="dxa"/>
              <w:right w:w="105" w:type="dxa"/>
            </w:tcMar>
          </w:tcPr>
          <w:p w14:paraId="18B4A210"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2.2</w:t>
            </w:r>
          </w:p>
        </w:tc>
      </w:tr>
      <w:tr w:rsidR="002B6683" w:rsidRPr="00DA2128" w14:paraId="4E454FDA" w14:textId="77777777" w:rsidTr="00B605CC">
        <w:trPr>
          <w:trHeight w:val="300"/>
        </w:trPr>
        <w:tc>
          <w:tcPr>
            <w:tcW w:w="376" w:type="pct"/>
            <w:tcMar>
              <w:left w:w="105" w:type="dxa"/>
              <w:right w:w="105" w:type="dxa"/>
            </w:tcMar>
          </w:tcPr>
          <w:p w14:paraId="4FD64B9A" w14:textId="77777777" w:rsidR="002B6683" w:rsidRPr="00DA2128" w:rsidRDefault="002B6683"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b/>
                <w:bCs/>
                <w:color w:val="000000" w:themeColor="text1"/>
                <w:sz w:val="18"/>
                <w:szCs w:val="18"/>
              </w:rPr>
              <w:t>Cluster 3</w:t>
            </w:r>
          </w:p>
        </w:tc>
        <w:tc>
          <w:tcPr>
            <w:tcW w:w="275" w:type="pct"/>
            <w:shd w:val="clear" w:color="auto" w:fill="DADADA" w:themeFill="background2" w:themeFillShade="E6"/>
            <w:tcMar>
              <w:left w:w="105" w:type="dxa"/>
              <w:right w:w="105" w:type="dxa"/>
            </w:tcMar>
          </w:tcPr>
          <w:p w14:paraId="6B1F3194" w14:textId="77777777" w:rsidR="002B6683" w:rsidRPr="00DA2128" w:rsidRDefault="002B6683" w:rsidP="00A937C6">
            <w:pPr>
              <w:spacing w:after="200" w:line="240" w:lineRule="auto"/>
              <w:jc w:val="center"/>
              <w:rPr>
                <w:rFonts w:eastAsia="Aptos" w:cs="Times New Roman"/>
                <w:color w:val="1B2232"/>
                <w:sz w:val="18"/>
                <w:szCs w:val="18"/>
              </w:rPr>
            </w:pPr>
            <w:r w:rsidRPr="00DA2128">
              <w:rPr>
                <w:rStyle w:val="oneUserDefinedStyle"/>
                <w:rFonts w:eastAsia="Aptos" w:cs="Times New Roman"/>
                <w:b/>
                <w:bCs/>
                <w:sz w:val="18"/>
                <w:szCs w:val="18"/>
              </w:rPr>
              <w:t>2.93</w:t>
            </w:r>
          </w:p>
        </w:tc>
        <w:tc>
          <w:tcPr>
            <w:tcW w:w="276" w:type="pct"/>
            <w:shd w:val="clear" w:color="auto" w:fill="DADADA" w:themeFill="background2" w:themeFillShade="E6"/>
            <w:tcMar>
              <w:left w:w="105" w:type="dxa"/>
              <w:right w:w="105" w:type="dxa"/>
            </w:tcMar>
          </w:tcPr>
          <w:p w14:paraId="26BDE46B" w14:textId="77777777" w:rsidR="002B6683" w:rsidRPr="00DA2128" w:rsidRDefault="002B6683" w:rsidP="00A937C6">
            <w:pPr>
              <w:spacing w:after="200" w:line="240" w:lineRule="auto"/>
              <w:jc w:val="center"/>
              <w:rPr>
                <w:rFonts w:eastAsia="Aptos" w:cs="Times New Roman"/>
                <w:color w:val="1B2232"/>
                <w:sz w:val="18"/>
                <w:szCs w:val="18"/>
              </w:rPr>
            </w:pPr>
            <w:r w:rsidRPr="00DA2128">
              <w:rPr>
                <w:rStyle w:val="oneUserDefinedStyle"/>
                <w:rFonts w:eastAsia="Aptos" w:cs="Times New Roman"/>
                <w:b/>
                <w:bCs/>
                <w:sz w:val="18"/>
                <w:szCs w:val="18"/>
              </w:rPr>
              <w:t>2.83</w:t>
            </w:r>
          </w:p>
        </w:tc>
        <w:tc>
          <w:tcPr>
            <w:tcW w:w="254" w:type="pct"/>
            <w:tcMar>
              <w:left w:w="105" w:type="dxa"/>
              <w:right w:w="105" w:type="dxa"/>
            </w:tcMar>
          </w:tcPr>
          <w:p w14:paraId="5DF094D7" w14:textId="77777777" w:rsidR="002B6683" w:rsidRPr="00DA2128" w:rsidRDefault="002B6683" w:rsidP="00A937C6">
            <w:pPr>
              <w:spacing w:after="200" w:line="240" w:lineRule="auto"/>
              <w:jc w:val="center"/>
              <w:rPr>
                <w:rFonts w:eastAsia="Aptos" w:cs="Times New Roman"/>
                <w:color w:val="1B2232"/>
                <w:sz w:val="18"/>
                <w:szCs w:val="18"/>
              </w:rPr>
            </w:pPr>
            <w:r w:rsidRPr="00DA2128">
              <w:rPr>
                <w:rStyle w:val="oneUserDefinedStyle"/>
                <w:rFonts w:eastAsia="Aptos" w:cs="Times New Roman"/>
                <w:b/>
                <w:bCs/>
                <w:sz w:val="18"/>
                <w:szCs w:val="18"/>
              </w:rPr>
              <w:t>3.01</w:t>
            </w:r>
          </w:p>
        </w:tc>
        <w:tc>
          <w:tcPr>
            <w:tcW w:w="254" w:type="pct"/>
            <w:tcMar>
              <w:left w:w="105" w:type="dxa"/>
              <w:right w:w="105" w:type="dxa"/>
            </w:tcMar>
          </w:tcPr>
          <w:p w14:paraId="718AF03E" w14:textId="77777777" w:rsidR="002B6683" w:rsidRPr="00DA2128" w:rsidRDefault="002B6683" w:rsidP="00A937C6">
            <w:pPr>
              <w:spacing w:after="200" w:line="240" w:lineRule="auto"/>
              <w:jc w:val="center"/>
              <w:rPr>
                <w:rFonts w:eastAsia="Aptos" w:cs="Times New Roman"/>
                <w:color w:val="1B2232"/>
                <w:sz w:val="18"/>
                <w:szCs w:val="18"/>
              </w:rPr>
            </w:pPr>
            <w:r w:rsidRPr="00DA2128">
              <w:rPr>
                <w:rStyle w:val="oneUserDefinedStyle"/>
                <w:rFonts w:eastAsia="Aptos" w:cs="Times New Roman"/>
                <w:b/>
                <w:bCs/>
                <w:sz w:val="18"/>
                <w:szCs w:val="18"/>
              </w:rPr>
              <w:t>2.78</w:t>
            </w:r>
          </w:p>
        </w:tc>
        <w:tc>
          <w:tcPr>
            <w:tcW w:w="254" w:type="pct"/>
            <w:shd w:val="clear" w:color="auto" w:fill="DADADA" w:themeFill="background2" w:themeFillShade="E6"/>
            <w:tcMar>
              <w:left w:w="105" w:type="dxa"/>
              <w:right w:w="105" w:type="dxa"/>
            </w:tcMar>
          </w:tcPr>
          <w:p w14:paraId="7A2F6930"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b/>
                <w:bCs/>
                <w:sz w:val="18"/>
                <w:szCs w:val="18"/>
              </w:rPr>
              <w:t>3</w:t>
            </w:r>
          </w:p>
        </w:tc>
        <w:tc>
          <w:tcPr>
            <w:tcW w:w="254" w:type="pct"/>
            <w:shd w:val="clear" w:color="auto" w:fill="DADADA" w:themeFill="background2" w:themeFillShade="E6"/>
            <w:tcMar>
              <w:left w:w="105" w:type="dxa"/>
              <w:right w:w="105" w:type="dxa"/>
            </w:tcMar>
          </w:tcPr>
          <w:p w14:paraId="07E36195"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b/>
                <w:bCs/>
                <w:sz w:val="18"/>
                <w:szCs w:val="18"/>
              </w:rPr>
              <w:t>2.6</w:t>
            </w:r>
          </w:p>
        </w:tc>
        <w:tc>
          <w:tcPr>
            <w:tcW w:w="254" w:type="pct"/>
            <w:tcMar>
              <w:left w:w="105" w:type="dxa"/>
              <w:right w:w="105" w:type="dxa"/>
            </w:tcMar>
          </w:tcPr>
          <w:p w14:paraId="39235072" w14:textId="77777777" w:rsidR="002B6683" w:rsidRPr="00DA2128" w:rsidRDefault="002B6683" w:rsidP="00A937C6">
            <w:pPr>
              <w:spacing w:after="200" w:line="240" w:lineRule="auto"/>
              <w:jc w:val="center"/>
              <w:rPr>
                <w:rFonts w:eastAsia="Aptos" w:cs="Times New Roman"/>
                <w:color w:val="1B2232"/>
                <w:sz w:val="18"/>
                <w:szCs w:val="18"/>
              </w:rPr>
            </w:pPr>
            <w:r w:rsidRPr="00DA2128">
              <w:rPr>
                <w:rStyle w:val="oneUserDefinedStyle"/>
                <w:rFonts w:eastAsia="Aptos" w:cs="Times New Roman"/>
                <w:b/>
                <w:bCs/>
                <w:sz w:val="18"/>
                <w:szCs w:val="18"/>
              </w:rPr>
              <w:t>2.93</w:t>
            </w:r>
          </w:p>
        </w:tc>
        <w:tc>
          <w:tcPr>
            <w:tcW w:w="254" w:type="pct"/>
            <w:tcMar>
              <w:left w:w="105" w:type="dxa"/>
              <w:right w:w="105" w:type="dxa"/>
            </w:tcMar>
          </w:tcPr>
          <w:p w14:paraId="1AD1EB8D" w14:textId="77777777" w:rsidR="002B6683" w:rsidRPr="00DA2128" w:rsidRDefault="002B6683" w:rsidP="00A937C6">
            <w:pPr>
              <w:spacing w:after="200" w:line="240" w:lineRule="auto"/>
              <w:jc w:val="center"/>
              <w:rPr>
                <w:rFonts w:eastAsia="Aptos" w:cs="Times New Roman"/>
                <w:color w:val="1B2232"/>
                <w:sz w:val="18"/>
                <w:szCs w:val="18"/>
              </w:rPr>
            </w:pPr>
            <w:r w:rsidRPr="00DA2128">
              <w:rPr>
                <w:rStyle w:val="oneUserDefinedStyle"/>
                <w:rFonts w:eastAsia="Aptos" w:cs="Times New Roman"/>
                <w:b/>
                <w:bCs/>
                <w:sz w:val="18"/>
                <w:szCs w:val="18"/>
              </w:rPr>
              <w:t>2.74</w:t>
            </w:r>
          </w:p>
        </w:tc>
        <w:tc>
          <w:tcPr>
            <w:tcW w:w="254" w:type="pct"/>
            <w:shd w:val="clear" w:color="auto" w:fill="DADADA" w:themeFill="background2" w:themeFillShade="E6"/>
            <w:tcMar>
              <w:left w:w="105" w:type="dxa"/>
              <w:right w:w="105" w:type="dxa"/>
            </w:tcMar>
          </w:tcPr>
          <w:p w14:paraId="0246344D" w14:textId="77777777" w:rsidR="002B6683" w:rsidRPr="00DA2128" w:rsidRDefault="002B6683" w:rsidP="00A937C6">
            <w:pPr>
              <w:spacing w:after="200" w:line="240" w:lineRule="auto"/>
              <w:jc w:val="center"/>
              <w:rPr>
                <w:rFonts w:eastAsia="Aptos" w:cs="Times New Roman"/>
                <w:color w:val="1B2232"/>
                <w:sz w:val="18"/>
                <w:szCs w:val="18"/>
              </w:rPr>
            </w:pPr>
            <w:r w:rsidRPr="00DA2128">
              <w:rPr>
                <w:rStyle w:val="oneUserDefinedStyle"/>
                <w:rFonts w:eastAsia="Aptos" w:cs="Times New Roman"/>
                <w:b/>
                <w:bCs/>
                <w:sz w:val="18"/>
                <w:szCs w:val="18"/>
              </w:rPr>
              <w:t>3.06</w:t>
            </w:r>
          </w:p>
        </w:tc>
        <w:tc>
          <w:tcPr>
            <w:tcW w:w="254" w:type="pct"/>
            <w:shd w:val="clear" w:color="auto" w:fill="DADADA" w:themeFill="background2" w:themeFillShade="E6"/>
            <w:tcMar>
              <w:left w:w="105" w:type="dxa"/>
              <w:right w:w="105" w:type="dxa"/>
            </w:tcMar>
          </w:tcPr>
          <w:p w14:paraId="5A512AAA" w14:textId="77777777" w:rsidR="002B6683" w:rsidRPr="00DA2128" w:rsidRDefault="002B6683" w:rsidP="00A937C6">
            <w:pPr>
              <w:spacing w:after="200" w:line="240" w:lineRule="auto"/>
              <w:jc w:val="center"/>
              <w:rPr>
                <w:rFonts w:eastAsia="Aptos" w:cs="Times New Roman"/>
                <w:color w:val="1B2232"/>
                <w:sz w:val="18"/>
                <w:szCs w:val="18"/>
              </w:rPr>
            </w:pPr>
            <w:r w:rsidRPr="00DA2128">
              <w:rPr>
                <w:rStyle w:val="oneUserDefinedStyle"/>
                <w:rFonts w:eastAsia="Aptos" w:cs="Times New Roman"/>
                <w:b/>
                <w:bCs/>
                <w:sz w:val="18"/>
                <w:szCs w:val="18"/>
              </w:rPr>
              <w:t>3.02</w:t>
            </w:r>
          </w:p>
        </w:tc>
        <w:tc>
          <w:tcPr>
            <w:tcW w:w="254" w:type="pct"/>
            <w:tcMar>
              <w:left w:w="105" w:type="dxa"/>
              <w:right w:w="105" w:type="dxa"/>
            </w:tcMar>
          </w:tcPr>
          <w:p w14:paraId="76DE9A8B" w14:textId="77777777" w:rsidR="002B6683" w:rsidRPr="00DA2128" w:rsidRDefault="002B6683" w:rsidP="00A937C6">
            <w:pPr>
              <w:spacing w:after="200" w:line="240" w:lineRule="auto"/>
              <w:jc w:val="center"/>
              <w:rPr>
                <w:rFonts w:eastAsia="Aptos" w:cs="Times New Roman"/>
                <w:color w:val="1B2232"/>
                <w:sz w:val="18"/>
                <w:szCs w:val="18"/>
              </w:rPr>
            </w:pPr>
            <w:r w:rsidRPr="00DA2128">
              <w:rPr>
                <w:rStyle w:val="oneUserDefinedStyle"/>
                <w:rFonts w:eastAsia="Aptos" w:cs="Times New Roman"/>
                <w:b/>
                <w:bCs/>
                <w:sz w:val="18"/>
                <w:szCs w:val="18"/>
              </w:rPr>
              <w:t>3.05</w:t>
            </w:r>
          </w:p>
        </w:tc>
        <w:tc>
          <w:tcPr>
            <w:tcW w:w="254" w:type="pct"/>
            <w:tcMar>
              <w:left w:w="105" w:type="dxa"/>
              <w:right w:w="105" w:type="dxa"/>
            </w:tcMar>
          </w:tcPr>
          <w:p w14:paraId="54DBAEB8" w14:textId="77777777" w:rsidR="002B6683" w:rsidRPr="00DA2128" w:rsidRDefault="002B6683"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b/>
                <w:bCs/>
                <w:color w:val="000000" w:themeColor="text1"/>
                <w:sz w:val="18"/>
                <w:szCs w:val="18"/>
              </w:rPr>
              <w:t>2.8</w:t>
            </w:r>
          </w:p>
        </w:tc>
        <w:tc>
          <w:tcPr>
            <w:tcW w:w="262" w:type="pct"/>
            <w:shd w:val="clear" w:color="auto" w:fill="DADADA" w:themeFill="background2" w:themeFillShade="E6"/>
            <w:tcMar>
              <w:left w:w="105" w:type="dxa"/>
              <w:right w:w="105" w:type="dxa"/>
            </w:tcMar>
          </w:tcPr>
          <w:p w14:paraId="0ACABC29" w14:textId="77777777" w:rsidR="002B6683" w:rsidRPr="00DA2128" w:rsidRDefault="002B6683"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b/>
                <w:bCs/>
                <w:color w:val="000000" w:themeColor="text1"/>
                <w:sz w:val="18"/>
                <w:szCs w:val="18"/>
              </w:rPr>
              <w:t>3.01</w:t>
            </w:r>
          </w:p>
        </w:tc>
        <w:tc>
          <w:tcPr>
            <w:tcW w:w="262" w:type="pct"/>
            <w:shd w:val="clear" w:color="auto" w:fill="DADADA" w:themeFill="background2" w:themeFillShade="E6"/>
            <w:tcMar>
              <w:left w:w="105" w:type="dxa"/>
              <w:right w:w="105" w:type="dxa"/>
            </w:tcMar>
          </w:tcPr>
          <w:p w14:paraId="1EA13947" w14:textId="77777777" w:rsidR="002B6683" w:rsidRPr="00DA2128" w:rsidRDefault="002B6683"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b/>
                <w:bCs/>
                <w:color w:val="000000" w:themeColor="text1"/>
                <w:sz w:val="18"/>
                <w:szCs w:val="18"/>
              </w:rPr>
              <w:t>2.95</w:t>
            </w:r>
          </w:p>
        </w:tc>
        <w:tc>
          <w:tcPr>
            <w:tcW w:w="254" w:type="pct"/>
            <w:tcMar>
              <w:left w:w="105" w:type="dxa"/>
              <w:right w:w="105" w:type="dxa"/>
            </w:tcMar>
          </w:tcPr>
          <w:p w14:paraId="2A1F1E1A" w14:textId="77777777" w:rsidR="002B6683" w:rsidRPr="00DA2128" w:rsidRDefault="002B6683"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b/>
                <w:bCs/>
                <w:color w:val="000000" w:themeColor="text1"/>
                <w:sz w:val="18"/>
                <w:szCs w:val="18"/>
              </w:rPr>
              <w:t>3.08</w:t>
            </w:r>
          </w:p>
        </w:tc>
        <w:tc>
          <w:tcPr>
            <w:tcW w:w="254" w:type="pct"/>
            <w:tcMar>
              <w:left w:w="105" w:type="dxa"/>
              <w:right w:w="105" w:type="dxa"/>
            </w:tcMar>
          </w:tcPr>
          <w:p w14:paraId="06D2A5F6" w14:textId="77777777" w:rsidR="002B6683" w:rsidRPr="00DA2128" w:rsidRDefault="002B6683"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b/>
                <w:bCs/>
                <w:color w:val="000000" w:themeColor="text1"/>
                <w:sz w:val="18"/>
                <w:szCs w:val="18"/>
              </w:rPr>
              <w:t>2.95</w:t>
            </w:r>
          </w:p>
        </w:tc>
        <w:tc>
          <w:tcPr>
            <w:tcW w:w="251" w:type="pct"/>
            <w:shd w:val="clear" w:color="auto" w:fill="DADADA" w:themeFill="background2" w:themeFillShade="E6"/>
            <w:tcMar>
              <w:left w:w="105" w:type="dxa"/>
              <w:right w:w="105" w:type="dxa"/>
            </w:tcMar>
          </w:tcPr>
          <w:p w14:paraId="5A359207" w14:textId="77777777" w:rsidR="002B6683" w:rsidRPr="00DA2128" w:rsidRDefault="002B6683"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b/>
                <w:bCs/>
                <w:color w:val="000000" w:themeColor="text1"/>
                <w:sz w:val="18"/>
                <w:szCs w:val="18"/>
              </w:rPr>
              <w:t>2.76</w:t>
            </w:r>
          </w:p>
        </w:tc>
        <w:tc>
          <w:tcPr>
            <w:tcW w:w="248" w:type="pct"/>
            <w:shd w:val="clear" w:color="auto" w:fill="DADADA" w:themeFill="background2" w:themeFillShade="E6"/>
            <w:tcMar>
              <w:left w:w="105" w:type="dxa"/>
              <w:right w:w="105" w:type="dxa"/>
            </w:tcMar>
          </w:tcPr>
          <w:p w14:paraId="542FF135"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b/>
                <w:bCs/>
                <w:sz w:val="18"/>
                <w:szCs w:val="18"/>
              </w:rPr>
              <w:t>2.7</w:t>
            </w:r>
          </w:p>
        </w:tc>
      </w:tr>
      <w:tr w:rsidR="002B6683" w:rsidRPr="00DA2128" w14:paraId="61DA8766" w14:textId="77777777" w:rsidTr="00B605CC">
        <w:trPr>
          <w:trHeight w:val="300"/>
        </w:trPr>
        <w:tc>
          <w:tcPr>
            <w:tcW w:w="376" w:type="pct"/>
            <w:tcMar>
              <w:left w:w="105" w:type="dxa"/>
              <w:right w:w="105" w:type="dxa"/>
            </w:tcMar>
          </w:tcPr>
          <w:p w14:paraId="5415309E" w14:textId="77777777" w:rsidR="002B6683" w:rsidRPr="00DA2128" w:rsidRDefault="002B6683"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color w:val="000000" w:themeColor="text1"/>
                <w:sz w:val="18"/>
                <w:szCs w:val="18"/>
              </w:rPr>
              <w:t>9</w:t>
            </w:r>
          </w:p>
        </w:tc>
        <w:tc>
          <w:tcPr>
            <w:tcW w:w="275" w:type="pct"/>
            <w:shd w:val="clear" w:color="auto" w:fill="DADADA" w:themeFill="background2" w:themeFillShade="E6"/>
            <w:tcMar>
              <w:left w:w="105" w:type="dxa"/>
              <w:right w:w="105" w:type="dxa"/>
            </w:tcMar>
          </w:tcPr>
          <w:p w14:paraId="4BF6EFBF"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3</w:t>
            </w:r>
          </w:p>
        </w:tc>
        <w:tc>
          <w:tcPr>
            <w:tcW w:w="276" w:type="pct"/>
            <w:shd w:val="clear" w:color="auto" w:fill="DADADA" w:themeFill="background2" w:themeFillShade="E6"/>
            <w:tcMar>
              <w:left w:w="105" w:type="dxa"/>
              <w:right w:w="105" w:type="dxa"/>
            </w:tcMar>
          </w:tcPr>
          <w:p w14:paraId="5B583DC3"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2.92</w:t>
            </w:r>
          </w:p>
        </w:tc>
        <w:tc>
          <w:tcPr>
            <w:tcW w:w="254" w:type="pct"/>
            <w:tcMar>
              <w:left w:w="105" w:type="dxa"/>
              <w:right w:w="105" w:type="dxa"/>
            </w:tcMar>
          </w:tcPr>
          <w:p w14:paraId="634657B3"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2.9</w:t>
            </w:r>
          </w:p>
        </w:tc>
        <w:tc>
          <w:tcPr>
            <w:tcW w:w="254" w:type="pct"/>
            <w:tcMar>
              <w:left w:w="105" w:type="dxa"/>
              <w:right w:w="105" w:type="dxa"/>
            </w:tcMar>
          </w:tcPr>
          <w:p w14:paraId="1C9F6384"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2.65</w:t>
            </w:r>
          </w:p>
        </w:tc>
        <w:tc>
          <w:tcPr>
            <w:tcW w:w="254" w:type="pct"/>
            <w:shd w:val="clear" w:color="auto" w:fill="DADADA" w:themeFill="background2" w:themeFillShade="E6"/>
            <w:tcMar>
              <w:left w:w="105" w:type="dxa"/>
              <w:right w:w="105" w:type="dxa"/>
            </w:tcMar>
          </w:tcPr>
          <w:p w14:paraId="29B9919A"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3.17</w:t>
            </w:r>
          </w:p>
        </w:tc>
        <w:tc>
          <w:tcPr>
            <w:tcW w:w="254" w:type="pct"/>
            <w:shd w:val="clear" w:color="auto" w:fill="DADADA" w:themeFill="background2" w:themeFillShade="E6"/>
            <w:tcMar>
              <w:left w:w="105" w:type="dxa"/>
              <w:right w:w="105" w:type="dxa"/>
            </w:tcMar>
          </w:tcPr>
          <w:p w14:paraId="4F1381D5"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2.74</w:t>
            </w:r>
          </w:p>
        </w:tc>
        <w:tc>
          <w:tcPr>
            <w:tcW w:w="254" w:type="pct"/>
            <w:tcMar>
              <w:left w:w="105" w:type="dxa"/>
              <w:right w:w="105" w:type="dxa"/>
            </w:tcMar>
          </w:tcPr>
          <w:p w14:paraId="3A68ADC2"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2.93</w:t>
            </w:r>
          </w:p>
        </w:tc>
        <w:tc>
          <w:tcPr>
            <w:tcW w:w="254" w:type="pct"/>
            <w:tcMar>
              <w:left w:w="105" w:type="dxa"/>
              <w:right w:w="105" w:type="dxa"/>
            </w:tcMar>
          </w:tcPr>
          <w:p w14:paraId="5CDEBC19"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2.84</w:t>
            </w:r>
          </w:p>
        </w:tc>
        <w:tc>
          <w:tcPr>
            <w:tcW w:w="254" w:type="pct"/>
            <w:shd w:val="clear" w:color="auto" w:fill="DADADA" w:themeFill="background2" w:themeFillShade="E6"/>
            <w:tcMar>
              <w:left w:w="105" w:type="dxa"/>
              <w:right w:w="105" w:type="dxa"/>
            </w:tcMar>
          </w:tcPr>
          <w:p w14:paraId="67E2F601"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2.92</w:t>
            </w:r>
          </w:p>
        </w:tc>
        <w:tc>
          <w:tcPr>
            <w:tcW w:w="254" w:type="pct"/>
            <w:shd w:val="clear" w:color="auto" w:fill="DADADA" w:themeFill="background2" w:themeFillShade="E6"/>
            <w:tcMar>
              <w:left w:w="105" w:type="dxa"/>
              <w:right w:w="105" w:type="dxa"/>
            </w:tcMar>
          </w:tcPr>
          <w:p w14:paraId="090465EC"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2.97</w:t>
            </w:r>
          </w:p>
        </w:tc>
        <w:tc>
          <w:tcPr>
            <w:tcW w:w="254" w:type="pct"/>
            <w:tcMar>
              <w:left w:w="105" w:type="dxa"/>
              <w:right w:w="105" w:type="dxa"/>
            </w:tcMar>
          </w:tcPr>
          <w:p w14:paraId="08C6D53F"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3.05</w:t>
            </w:r>
          </w:p>
        </w:tc>
        <w:tc>
          <w:tcPr>
            <w:tcW w:w="254" w:type="pct"/>
            <w:tcMar>
              <w:left w:w="105" w:type="dxa"/>
              <w:right w:w="105" w:type="dxa"/>
            </w:tcMar>
          </w:tcPr>
          <w:p w14:paraId="4EEF8271"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2.86</w:t>
            </w:r>
          </w:p>
        </w:tc>
        <w:tc>
          <w:tcPr>
            <w:tcW w:w="262" w:type="pct"/>
            <w:shd w:val="clear" w:color="auto" w:fill="DADADA" w:themeFill="background2" w:themeFillShade="E6"/>
            <w:tcMar>
              <w:left w:w="105" w:type="dxa"/>
              <w:right w:w="105" w:type="dxa"/>
            </w:tcMar>
          </w:tcPr>
          <w:p w14:paraId="556BF780"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2.89</w:t>
            </w:r>
          </w:p>
        </w:tc>
        <w:tc>
          <w:tcPr>
            <w:tcW w:w="262" w:type="pct"/>
            <w:shd w:val="clear" w:color="auto" w:fill="DADADA" w:themeFill="background2" w:themeFillShade="E6"/>
            <w:tcMar>
              <w:left w:w="105" w:type="dxa"/>
              <w:right w:w="105" w:type="dxa"/>
            </w:tcMar>
          </w:tcPr>
          <w:p w14:paraId="2A02CA29"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2.97</w:t>
            </w:r>
          </w:p>
        </w:tc>
        <w:tc>
          <w:tcPr>
            <w:tcW w:w="254" w:type="pct"/>
            <w:tcMar>
              <w:left w:w="105" w:type="dxa"/>
              <w:right w:w="105" w:type="dxa"/>
            </w:tcMar>
          </w:tcPr>
          <w:p w14:paraId="48124682"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3.04</w:t>
            </w:r>
          </w:p>
        </w:tc>
        <w:tc>
          <w:tcPr>
            <w:tcW w:w="254" w:type="pct"/>
            <w:tcMar>
              <w:left w:w="105" w:type="dxa"/>
              <w:right w:w="105" w:type="dxa"/>
            </w:tcMar>
          </w:tcPr>
          <w:p w14:paraId="0027CB3D"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3.02</w:t>
            </w:r>
          </w:p>
        </w:tc>
        <w:tc>
          <w:tcPr>
            <w:tcW w:w="251" w:type="pct"/>
            <w:shd w:val="clear" w:color="auto" w:fill="DADADA" w:themeFill="background2" w:themeFillShade="E6"/>
            <w:tcMar>
              <w:left w:w="105" w:type="dxa"/>
              <w:right w:w="105" w:type="dxa"/>
            </w:tcMar>
          </w:tcPr>
          <w:p w14:paraId="11AC86C1"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2.41</w:t>
            </w:r>
          </w:p>
        </w:tc>
        <w:tc>
          <w:tcPr>
            <w:tcW w:w="248" w:type="pct"/>
            <w:shd w:val="clear" w:color="auto" w:fill="DADADA" w:themeFill="background2" w:themeFillShade="E6"/>
            <w:tcMar>
              <w:left w:w="105" w:type="dxa"/>
              <w:right w:w="105" w:type="dxa"/>
            </w:tcMar>
          </w:tcPr>
          <w:p w14:paraId="22BA584F"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2.63</w:t>
            </w:r>
          </w:p>
        </w:tc>
      </w:tr>
      <w:tr w:rsidR="002B6683" w:rsidRPr="00DA2128" w14:paraId="21376D59" w14:textId="77777777" w:rsidTr="00B605CC">
        <w:trPr>
          <w:trHeight w:val="300"/>
        </w:trPr>
        <w:tc>
          <w:tcPr>
            <w:tcW w:w="376" w:type="pct"/>
            <w:tcMar>
              <w:left w:w="105" w:type="dxa"/>
              <w:right w:w="105" w:type="dxa"/>
            </w:tcMar>
          </w:tcPr>
          <w:p w14:paraId="17894905" w14:textId="77777777" w:rsidR="002B6683" w:rsidRPr="00DA2128" w:rsidRDefault="002B6683"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color w:val="000000" w:themeColor="text1"/>
                <w:sz w:val="18"/>
                <w:szCs w:val="18"/>
              </w:rPr>
              <w:t>14</w:t>
            </w:r>
          </w:p>
        </w:tc>
        <w:tc>
          <w:tcPr>
            <w:tcW w:w="275" w:type="pct"/>
            <w:shd w:val="clear" w:color="auto" w:fill="DADADA" w:themeFill="background2" w:themeFillShade="E6"/>
            <w:tcMar>
              <w:left w:w="105" w:type="dxa"/>
              <w:right w:w="105" w:type="dxa"/>
            </w:tcMar>
          </w:tcPr>
          <w:p w14:paraId="08C30D0D"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2.72</w:t>
            </w:r>
          </w:p>
        </w:tc>
        <w:tc>
          <w:tcPr>
            <w:tcW w:w="276" w:type="pct"/>
            <w:shd w:val="clear" w:color="auto" w:fill="DADADA" w:themeFill="background2" w:themeFillShade="E6"/>
            <w:tcMar>
              <w:left w:w="105" w:type="dxa"/>
              <w:right w:w="105" w:type="dxa"/>
            </w:tcMar>
          </w:tcPr>
          <w:p w14:paraId="3DD86318"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2.51</w:t>
            </w:r>
          </w:p>
        </w:tc>
        <w:tc>
          <w:tcPr>
            <w:tcW w:w="254" w:type="pct"/>
            <w:tcMar>
              <w:left w:w="105" w:type="dxa"/>
              <w:right w:w="105" w:type="dxa"/>
            </w:tcMar>
          </w:tcPr>
          <w:p w14:paraId="315E727A"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2.9</w:t>
            </w:r>
          </w:p>
        </w:tc>
        <w:tc>
          <w:tcPr>
            <w:tcW w:w="254" w:type="pct"/>
            <w:tcMar>
              <w:left w:w="105" w:type="dxa"/>
              <w:right w:w="105" w:type="dxa"/>
            </w:tcMar>
          </w:tcPr>
          <w:p w14:paraId="0F5A753C"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2.51</w:t>
            </w:r>
          </w:p>
        </w:tc>
        <w:tc>
          <w:tcPr>
            <w:tcW w:w="254" w:type="pct"/>
            <w:shd w:val="clear" w:color="auto" w:fill="DADADA" w:themeFill="background2" w:themeFillShade="E6"/>
            <w:tcMar>
              <w:left w:w="105" w:type="dxa"/>
              <w:right w:w="105" w:type="dxa"/>
            </w:tcMar>
          </w:tcPr>
          <w:p w14:paraId="1C503A25"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2.74</w:t>
            </w:r>
          </w:p>
        </w:tc>
        <w:tc>
          <w:tcPr>
            <w:tcW w:w="254" w:type="pct"/>
            <w:shd w:val="clear" w:color="auto" w:fill="DADADA" w:themeFill="background2" w:themeFillShade="E6"/>
            <w:tcMar>
              <w:left w:w="105" w:type="dxa"/>
              <w:right w:w="105" w:type="dxa"/>
            </w:tcMar>
          </w:tcPr>
          <w:p w14:paraId="4CD34B86"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2.21</w:t>
            </w:r>
          </w:p>
        </w:tc>
        <w:tc>
          <w:tcPr>
            <w:tcW w:w="254" w:type="pct"/>
            <w:tcMar>
              <w:left w:w="105" w:type="dxa"/>
              <w:right w:w="105" w:type="dxa"/>
            </w:tcMar>
          </w:tcPr>
          <w:p w14:paraId="6105225A"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2.97</w:t>
            </w:r>
          </w:p>
        </w:tc>
        <w:tc>
          <w:tcPr>
            <w:tcW w:w="254" w:type="pct"/>
            <w:tcMar>
              <w:left w:w="105" w:type="dxa"/>
              <w:right w:w="105" w:type="dxa"/>
            </w:tcMar>
          </w:tcPr>
          <w:p w14:paraId="1D03CC43"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2.46</w:t>
            </w:r>
          </w:p>
        </w:tc>
        <w:tc>
          <w:tcPr>
            <w:tcW w:w="254" w:type="pct"/>
            <w:shd w:val="clear" w:color="auto" w:fill="DADADA" w:themeFill="background2" w:themeFillShade="E6"/>
            <w:tcMar>
              <w:left w:w="105" w:type="dxa"/>
              <w:right w:w="105" w:type="dxa"/>
            </w:tcMar>
          </w:tcPr>
          <w:p w14:paraId="35BFD997"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3.08</w:t>
            </w:r>
          </w:p>
        </w:tc>
        <w:tc>
          <w:tcPr>
            <w:tcW w:w="254" w:type="pct"/>
            <w:shd w:val="clear" w:color="auto" w:fill="DADADA" w:themeFill="background2" w:themeFillShade="E6"/>
            <w:tcMar>
              <w:left w:w="105" w:type="dxa"/>
              <w:right w:w="105" w:type="dxa"/>
            </w:tcMar>
          </w:tcPr>
          <w:p w14:paraId="1C0B58FD"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2.97</w:t>
            </w:r>
          </w:p>
        </w:tc>
        <w:tc>
          <w:tcPr>
            <w:tcW w:w="254" w:type="pct"/>
            <w:tcMar>
              <w:left w:w="105" w:type="dxa"/>
              <w:right w:w="105" w:type="dxa"/>
            </w:tcMar>
          </w:tcPr>
          <w:p w14:paraId="7A61A14C"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3.03</w:t>
            </w:r>
          </w:p>
        </w:tc>
        <w:tc>
          <w:tcPr>
            <w:tcW w:w="254" w:type="pct"/>
            <w:tcMar>
              <w:left w:w="105" w:type="dxa"/>
              <w:right w:w="105" w:type="dxa"/>
            </w:tcMar>
          </w:tcPr>
          <w:p w14:paraId="0E75D414"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2.62</w:t>
            </w:r>
          </w:p>
        </w:tc>
        <w:tc>
          <w:tcPr>
            <w:tcW w:w="262" w:type="pct"/>
            <w:shd w:val="clear" w:color="auto" w:fill="DADADA" w:themeFill="background2" w:themeFillShade="E6"/>
            <w:tcMar>
              <w:left w:w="105" w:type="dxa"/>
              <w:right w:w="105" w:type="dxa"/>
            </w:tcMar>
          </w:tcPr>
          <w:p w14:paraId="5955B34B"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2.91</w:t>
            </w:r>
          </w:p>
        </w:tc>
        <w:tc>
          <w:tcPr>
            <w:tcW w:w="262" w:type="pct"/>
            <w:shd w:val="clear" w:color="auto" w:fill="DADADA" w:themeFill="background2" w:themeFillShade="E6"/>
            <w:tcMar>
              <w:left w:w="105" w:type="dxa"/>
              <w:right w:w="105" w:type="dxa"/>
            </w:tcMar>
          </w:tcPr>
          <w:p w14:paraId="47CC2EA5"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2.71</w:t>
            </w:r>
          </w:p>
        </w:tc>
        <w:tc>
          <w:tcPr>
            <w:tcW w:w="254" w:type="pct"/>
            <w:tcMar>
              <w:left w:w="105" w:type="dxa"/>
              <w:right w:w="105" w:type="dxa"/>
            </w:tcMar>
          </w:tcPr>
          <w:p w14:paraId="7F264714"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2.94</w:t>
            </w:r>
          </w:p>
        </w:tc>
        <w:tc>
          <w:tcPr>
            <w:tcW w:w="254" w:type="pct"/>
            <w:tcMar>
              <w:left w:w="105" w:type="dxa"/>
              <w:right w:w="105" w:type="dxa"/>
            </w:tcMar>
          </w:tcPr>
          <w:p w14:paraId="7A81D3FB"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2.65</w:t>
            </w:r>
          </w:p>
        </w:tc>
        <w:tc>
          <w:tcPr>
            <w:tcW w:w="251" w:type="pct"/>
            <w:shd w:val="clear" w:color="auto" w:fill="DADADA" w:themeFill="background2" w:themeFillShade="E6"/>
            <w:tcMar>
              <w:left w:w="105" w:type="dxa"/>
              <w:right w:w="105" w:type="dxa"/>
            </w:tcMar>
          </w:tcPr>
          <w:p w14:paraId="61AE3EFD"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2.7</w:t>
            </w:r>
          </w:p>
        </w:tc>
        <w:tc>
          <w:tcPr>
            <w:tcW w:w="248" w:type="pct"/>
            <w:shd w:val="clear" w:color="auto" w:fill="DADADA" w:themeFill="background2" w:themeFillShade="E6"/>
            <w:tcMar>
              <w:left w:w="105" w:type="dxa"/>
              <w:right w:w="105" w:type="dxa"/>
            </w:tcMar>
          </w:tcPr>
          <w:p w14:paraId="74B36505"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2.51</w:t>
            </w:r>
          </w:p>
        </w:tc>
      </w:tr>
      <w:tr w:rsidR="002B6683" w:rsidRPr="00DA2128" w14:paraId="1EB0D198" w14:textId="77777777" w:rsidTr="00B605CC">
        <w:trPr>
          <w:trHeight w:val="300"/>
        </w:trPr>
        <w:tc>
          <w:tcPr>
            <w:tcW w:w="376" w:type="pct"/>
            <w:tcMar>
              <w:left w:w="105" w:type="dxa"/>
              <w:right w:w="105" w:type="dxa"/>
            </w:tcMar>
          </w:tcPr>
          <w:p w14:paraId="666AC4F9" w14:textId="77777777" w:rsidR="002B6683" w:rsidRPr="00DA2128" w:rsidRDefault="002B6683"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color w:val="000000" w:themeColor="text1"/>
                <w:sz w:val="18"/>
                <w:szCs w:val="18"/>
              </w:rPr>
              <w:t>16</w:t>
            </w:r>
          </w:p>
        </w:tc>
        <w:tc>
          <w:tcPr>
            <w:tcW w:w="275" w:type="pct"/>
            <w:shd w:val="clear" w:color="auto" w:fill="DADADA" w:themeFill="background2" w:themeFillShade="E6"/>
            <w:tcMar>
              <w:left w:w="105" w:type="dxa"/>
              <w:right w:w="105" w:type="dxa"/>
            </w:tcMar>
          </w:tcPr>
          <w:p w14:paraId="291375E6"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3.84*</w:t>
            </w:r>
          </w:p>
        </w:tc>
        <w:tc>
          <w:tcPr>
            <w:tcW w:w="276" w:type="pct"/>
            <w:shd w:val="clear" w:color="auto" w:fill="DADADA" w:themeFill="background2" w:themeFillShade="E6"/>
            <w:tcMar>
              <w:left w:w="105" w:type="dxa"/>
              <w:right w:w="105" w:type="dxa"/>
            </w:tcMar>
          </w:tcPr>
          <w:p w14:paraId="6A9ED28B"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3.46*</w:t>
            </w:r>
          </w:p>
        </w:tc>
        <w:tc>
          <w:tcPr>
            <w:tcW w:w="254" w:type="pct"/>
            <w:tcMar>
              <w:left w:w="105" w:type="dxa"/>
              <w:right w:w="105" w:type="dxa"/>
            </w:tcMar>
          </w:tcPr>
          <w:p w14:paraId="69FFFE1A"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3.59*</w:t>
            </w:r>
          </w:p>
        </w:tc>
        <w:tc>
          <w:tcPr>
            <w:tcW w:w="254" w:type="pct"/>
            <w:tcMar>
              <w:left w:w="105" w:type="dxa"/>
              <w:right w:w="105" w:type="dxa"/>
            </w:tcMar>
          </w:tcPr>
          <w:p w14:paraId="1CC422F5"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3.17*</w:t>
            </w:r>
          </w:p>
        </w:tc>
        <w:tc>
          <w:tcPr>
            <w:tcW w:w="254" w:type="pct"/>
            <w:shd w:val="clear" w:color="auto" w:fill="DADADA" w:themeFill="background2" w:themeFillShade="E6"/>
            <w:tcMar>
              <w:left w:w="105" w:type="dxa"/>
              <w:right w:w="105" w:type="dxa"/>
            </w:tcMar>
          </w:tcPr>
          <w:p w14:paraId="2B7DDFFB"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3.71*</w:t>
            </w:r>
          </w:p>
        </w:tc>
        <w:tc>
          <w:tcPr>
            <w:tcW w:w="254" w:type="pct"/>
            <w:shd w:val="clear" w:color="auto" w:fill="DADADA" w:themeFill="background2" w:themeFillShade="E6"/>
            <w:tcMar>
              <w:left w:w="105" w:type="dxa"/>
              <w:right w:w="105" w:type="dxa"/>
            </w:tcMar>
          </w:tcPr>
          <w:p w14:paraId="170664E5"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w:t>
            </w:r>
          </w:p>
        </w:tc>
        <w:tc>
          <w:tcPr>
            <w:tcW w:w="254" w:type="pct"/>
            <w:tcMar>
              <w:left w:w="105" w:type="dxa"/>
              <w:right w:w="105" w:type="dxa"/>
            </w:tcMar>
          </w:tcPr>
          <w:p w14:paraId="6B596E52"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3.54*</w:t>
            </w:r>
          </w:p>
        </w:tc>
        <w:tc>
          <w:tcPr>
            <w:tcW w:w="254" w:type="pct"/>
            <w:tcMar>
              <w:left w:w="105" w:type="dxa"/>
              <w:right w:w="105" w:type="dxa"/>
            </w:tcMar>
          </w:tcPr>
          <w:p w14:paraId="60EA246B"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3.32*</w:t>
            </w:r>
          </w:p>
        </w:tc>
        <w:tc>
          <w:tcPr>
            <w:tcW w:w="254" w:type="pct"/>
            <w:shd w:val="clear" w:color="auto" w:fill="DADADA" w:themeFill="background2" w:themeFillShade="E6"/>
            <w:tcMar>
              <w:left w:w="105" w:type="dxa"/>
              <w:right w:w="105" w:type="dxa"/>
            </w:tcMar>
          </w:tcPr>
          <w:p w14:paraId="1183F49E"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3.54*</w:t>
            </w:r>
          </w:p>
        </w:tc>
        <w:tc>
          <w:tcPr>
            <w:tcW w:w="254" w:type="pct"/>
            <w:shd w:val="clear" w:color="auto" w:fill="DADADA" w:themeFill="background2" w:themeFillShade="E6"/>
            <w:tcMar>
              <w:left w:w="105" w:type="dxa"/>
              <w:right w:w="105" w:type="dxa"/>
            </w:tcMar>
          </w:tcPr>
          <w:p w14:paraId="0E4BF96A"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3.16*</w:t>
            </w:r>
          </w:p>
        </w:tc>
        <w:tc>
          <w:tcPr>
            <w:tcW w:w="254" w:type="pct"/>
            <w:tcMar>
              <w:left w:w="105" w:type="dxa"/>
              <w:right w:w="105" w:type="dxa"/>
            </w:tcMar>
          </w:tcPr>
          <w:p w14:paraId="13AC0AD6"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3.63*</w:t>
            </w:r>
          </w:p>
        </w:tc>
        <w:tc>
          <w:tcPr>
            <w:tcW w:w="254" w:type="pct"/>
            <w:tcMar>
              <w:left w:w="105" w:type="dxa"/>
              <w:right w:w="105" w:type="dxa"/>
            </w:tcMar>
          </w:tcPr>
          <w:p w14:paraId="4A28777A"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3.14*</w:t>
            </w:r>
          </w:p>
        </w:tc>
        <w:tc>
          <w:tcPr>
            <w:tcW w:w="262" w:type="pct"/>
            <w:shd w:val="clear" w:color="auto" w:fill="DADADA" w:themeFill="background2" w:themeFillShade="E6"/>
            <w:tcMar>
              <w:left w:w="105" w:type="dxa"/>
              <w:right w:w="105" w:type="dxa"/>
            </w:tcMar>
          </w:tcPr>
          <w:p w14:paraId="0D7C64F5"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3.53*</w:t>
            </w:r>
          </w:p>
        </w:tc>
        <w:tc>
          <w:tcPr>
            <w:tcW w:w="262" w:type="pct"/>
            <w:shd w:val="clear" w:color="auto" w:fill="DADADA" w:themeFill="background2" w:themeFillShade="E6"/>
            <w:tcMar>
              <w:left w:w="105" w:type="dxa"/>
              <w:right w:w="105" w:type="dxa"/>
            </w:tcMar>
          </w:tcPr>
          <w:p w14:paraId="7839B21D"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3.34*</w:t>
            </w:r>
          </w:p>
        </w:tc>
        <w:tc>
          <w:tcPr>
            <w:tcW w:w="254" w:type="pct"/>
            <w:tcMar>
              <w:left w:w="105" w:type="dxa"/>
              <w:right w:w="105" w:type="dxa"/>
            </w:tcMar>
          </w:tcPr>
          <w:p w14:paraId="5872FBB1"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3.82*</w:t>
            </w:r>
          </w:p>
        </w:tc>
        <w:tc>
          <w:tcPr>
            <w:tcW w:w="254" w:type="pct"/>
            <w:tcMar>
              <w:left w:w="105" w:type="dxa"/>
              <w:right w:w="105" w:type="dxa"/>
            </w:tcMar>
          </w:tcPr>
          <w:p w14:paraId="4E2EAA90"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3.31*</w:t>
            </w:r>
          </w:p>
        </w:tc>
        <w:tc>
          <w:tcPr>
            <w:tcW w:w="251" w:type="pct"/>
            <w:shd w:val="clear" w:color="auto" w:fill="DADADA" w:themeFill="background2" w:themeFillShade="E6"/>
            <w:tcMar>
              <w:left w:w="105" w:type="dxa"/>
              <w:right w:w="105" w:type="dxa"/>
            </w:tcMar>
          </w:tcPr>
          <w:p w14:paraId="6F523A6A"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3.73*</w:t>
            </w:r>
          </w:p>
        </w:tc>
        <w:tc>
          <w:tcPr>
            <w:tcW w:w="248" w:type="pct"/>
            <w:shd w:val="clear" w:color="auto" w:fill="DADADA" w:themeFill="background2" w:themeFillShade="E6"/>
            <w:tcMar>
              <w:left w:w="105" w:type="dxa"/>
              <w:right w:w="105" w:type="dxa"/>
            </w:tcMar>
          </w:tcPr>
          <w:p w14:paraId="4097E81F"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3.17*</w:t>
            </w:r>
          </w:p>
        </w:tc>
      </w:tr>
      <w:tr w:rsidR="002B6683" w:rsidRPr="00DA2128" w14:paraId="39800BE0" w14:textId="77777777" w:rsidTr="00B605CC">
        <w:trPr>
          <w:trHeight w:val="300"/>
        </w:trPr>
        <w:tc>
          <w:tcPr>
            <w:tcW w:w="376" w:type="pct"/>
            <w:tcMar>
              <w:left w:w="105" w:type="dxa"/>
              <w:right w:w="105" w:type="dxa"/>
            </w:tcMar>
          </w:tcPr>
          <w:p w14:paraId="00657004" w14:textId="77777777" w:rsidR="002B6683" w:rsidRPr="00DA2128" w:rsidRDefault="002B6683"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color w:val="000000" w:themeColor="text1"/>
                <w:sz w:val="18"/>
                <w:szCs w:val="18"/>
              </w:rPr>
              <w:t>37</w:t>
            </w:r>
          </w:p>
        </w:tc>
        <w:tc>
          <w:tcPr>
            <w:tcW w:w="275" w:type="pct"/>
            <w:shd w:val="clear" w:color="auto" w:fill="DADADA" w:themeFill="background2" w:themeFillShade="E6"/>
            <w:tcMar>
              <w:left w:w="105" w:type="dxa"/>
              <w:right w:w="105" w:type="dxa"/>
            </w:tcMar>
          </w:tcPr>
          <w:p w14:paraId="4E86FAFB"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2.66</w:t>
            </w:r>
          </w:p>
        </w:tc>
        <w:tc>
          <w:tcPr>
            <w:tcW w:w="276" w:type="pct"/>
            <w:shd w:val="clear" w:color="auto" w:fill="DADADA" w:themeFill="background2" w:themeFillShade="E6"/>
            <w:tcMar>
              <w:left w:w="105" w:type="dxa"/>
              <w:right w:w="105" w:type="dxa"/>
            </w:tcMar>
          </w:tcPr>
          <w:p w14:paraId="2B574B80"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2.51</w:t>
            </w:r>
          </w:p>
        </w:tc>
        <w:tc>
          <w:tcPr>
            <w:tcW w:w="254" w:type="pct"/>
            <w:tcMar>
              <w:left w:w="105" w:type="dxa"/>
              <w:right w:w="105" w:type="dxa"/>
            </w:tcMar>
          </w:tcPr>
          <w:p w14:paraId="4EF826F8"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2.9</w:t>
            </w:r>
          </w:p>
        </w:tc>
        <w:tc>
          <w:tcPr>
            <w:tcW w:w="254" w:type="pct"/>
            <w:tcMar>
              <w:left w:w="105" w:type="dxa"/>
              <w:right w:w="105" w:type="dxa"/>
            </w:tcMar>
          </w:tcPr>
          <w:p w14:paraId="20FBDE26"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2.83</w:t>
            </w:r>
          </w:p>
        </w:tc>
        <w:tc>
          <w:tcPr>
            <w:tcW w:w="254" w:type="pct"/>
            <w:shd w:val="clear" w:color="auto" w:fill="DADADA" w:themeFill="background2" w:themeFillShade="E6"/>
            <w:tcMar>
              <w:left w:w="105" w:type="dxa"/>
              <w:right w:w="105" w:type="dxa"/>
            </w:tcMar>
          </w:tcPr>
          <w:p w14:paraId="79861A6A"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2.89</w:t>
            </w:r>
          </w:p>
        </w:tc>
        <w:tc>
          <w:tcPr>
            <w:tcW w:w="254" w:type="pct"/>
            <w:shd w:val="clear" w:color="auto" w:fill="DADADA" w:themeFill="background2" w:themeFillShade="E6"/>
            <w:tcMar>
              <w:left w:w="105" w:type="dxa"/>
              <w:right w:w="105" w:type="dxa"/>
            </w:tcMar>
          </w:tcPr>
          <w:p w14:paraId="28B040B5"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2.5</w:t>
            </w:r>
          </w:p>
        </w:tc>
        <w:tc>
          <w:tcPr>
            <w:tcW w:w="254" w:type="pct"/>
            <w:tcMar>
              <w:left w:w="105" w:type="dxa"/>
              <w:right w:w="105" w:type="dxa"/>
            </w:tcMar>
          </w:tcPr>
          <w:p w14:paraId="0CAF1E53"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2.93</w:t>
            </w:r>
          </w:p>
        </w:tc>
        <w:tc>
          <w:tcPr>
            <w:tcW w:w="254" w:type="pct"/>
            <w:tcMar>
              <w:left w:w="105" w:type="dxa"/>
              <w:right w:w="105" w:type="dxa"/>
            </w:tcMar>
          </w:tcPr>
          <w:p w14:paraId="352AFCF7"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2.49</w:t>
            </w:r>
          </w:p>
        </w:tc>
        <w:tc>
          <w:tcPr>
            <w:tcW w:w="254" w:type="pct"/>
            <w:shd w:val="clear" w:color="auto" w:fill="DADADA" w:themeFill="background2" w:themeFillShade="E6"/>
            <w:tcMar>
              <w:left w:w="105" w:type="dxa"/>
              <w:right w:w="105" w:type="dxa"/>
            </w:tcMar>
          </w:tcPr>
          <w:p w14:paraId="4D376D04"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2.84</w:t>
            </w:r>
          </w:p>
        </w:tc>
        <w:tc>
          <w:tcPr>
            <w:tcW w:w="254" w:type="pct"/>
            <w:shd w:val="clear" w:color="auto" w:fill="DADADA" w:themeFill="background2" w:themeFillShade="E6"/>
            <w:tcMar>
              <w:left w:w="105" w:type="dxa"/>
              <w:right w:w="105" w:type="dxa"/>
            </w:tcMar>
          </w:tcPr>
          <w:p w14:paraId="625E11C3"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2.92</w:t>
            </w:r>
          </w:p>
        </w:tc>
        <w:tc>
          <w:tcPr>
            <w:tcW w:w="254" w:type="pct"/>
            <w:tcMar>
              <w:left w:w="105" w:type="dxa"/>
              <w:right w:w="105" w:type="dxa"/>
            </w:tcMar>
          </w:tcPr>
          <w:p w14:paraId="4DDC417A"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3.05</w:t>
            </w:r>
          </w:p>
        </w:tc>
        <w:tc>
          <w:tcPr>
            <w:tcW w:w="254" w:type="pct"/>
            <w:tcMar>
              <w:left w:w="105" w:type="dxa"/>
              <w:right w:w="105" w:type="dxa"/>
            </w:tcMar>
          </w:tcPr>
          <w:p w14:paraId="15C8C4C8"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2.79</w:t>
            </w:r>
          </w:p>
        </w:tc>
        <w:tc>
          <w:tcPr>
            <w:tcW w:w="262" w:type="pct"/>
            <w:shd w:val="clear" w:color="auto" w:fill="DADADA" w:themeFill="background2" w:themeFillShade="E6"/>
            <w:tcMar>
              <w:left w:w="105" w:type="dxa"/>
              <w:right w:w="105" w:type="dxa"/>
            </w:tcMar>
          </w:tcPr>
          <w:p w14:paraId="5231EFDE"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2.86</w:t>
            </w:r>
          </w:p>
        </w:tc>
        <w:tc>
          <w:tcPr>
            <w:tcW w:w="262" w:type="pct"/>
            <w:shd w:val="clear" w:color="auto" w:fill="DADADA" w:themeFill="background2" w:themeFillShade="E6"/>
            <w:tcMar>
              <w:left w:w="105" w:type="dxa"/>
              <w:right w:w="105" w:type="dxa"/>
            </w:tcMar>
          </w:tcPr>
          <w:p w14:paraId="60CBEEDD"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2.83</w:t>
            </w:r>
          </w:p>
        </w:tc>
        <w:tc>
          <w:tcPr>
            <w:tcW w:w="254" w:type="pct"/>
            <w:tcMar>
              <w:left w:w="105" w:type="dxa"/>
              <w:right w:w="105" w:type="dxa"/>
            </w:tcMar>
          </w:tcPr>
          <w:p w14:paraId="0A977E9D"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2.92</w:t>
            </w:r>
          </w:p>
        </w:tc>
        <w:tc>
          <w:tcPr>
            <w:tcW w:w="254" w:type="pct"/>
            <w:tcMar>
              <w:left w:w="105" w:type="dxa"/>
              <w:right w:w="105" w:type="dxa"/>
            </w:tcMar>
          </w:tcPr>
          <w:p w14:paraId="70E0F6D8"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2.64</w:t>
            </w:r>
          </w:p>
        </w:tc>
        <w:tc>
          <w:tcPr>
            <w:tcW w:w="251" w:type="pct"/>
            <w:shd w:val="clear" w:color="auto" w:fill="DADADA" w:themeFill="background2" w:themeFillShade="E6"/>
            <w:tcMar>
              <w:left w:w="105" w:type="dxa"/>
              <w:right w:w="105" w:type="dxa"/>
            </w:tcMar>
          </w:tcPr>
          <w:p w14:paraId="016AA3F3"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2.46</w:t>
            </w:r>
          </w:p>
        </w:tc>
        <w:tc>
          <w:tcPr>
            <w:tcW w:w="248" w:type="pct"/>
            <w:shd w:val="clear" w:color="auto" w:fill="DADADA" w:themeFill="background2" w:themeFillShade="E6"/>
            <w:tcMar>
              <w:left w:w="105" w:type="dxa"/>
              <w:right w:w="105" w:type="dxa"/>
            </w:tcMar>
          </w:tcPr>
          <w:p w14:paraId="73204EE8"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2.54</w:t>
            </w:r>
          </w:p>
        </w:tc>
      </w:tr>
      <w:tr w:rsidR="002B6683" w:rsidRPr="00DA2128" w14:paraId="605B09A3" w14:textId="77777777" w:rsidTr="00B605CC">
        <w:trPr>
          <w:trHeight w:val="300"/>
        </w:trPr>
        <w:tc>
          <w:tcPr>
            <w:tcW w:w="376" w:type="pct"/>
            <w:tcMar>
              <w:left w:w="105" w:type="dxa"/>
              <w:right w:w="105" w:type="dxa"/>
            </w:tcMar>
          </w:tcPr>
          <w:p w14:paraId="00545D7B" w14:textId="77777777" w:rsidR="002B6683" w:rsidRPr="00DA2128" w:rsidRDefault="002B6683"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color w:val="000000" w:themeColor="text1"/>
                <w:sz w:val="18"/>
                <w:szCs w:val="18"/>
              </w:rPr>
              <w:t>42</w:t>
            </w:r>
          </w:p>
        </w:tc>
        <w:tc>
          <w:tcPr>
            <w:tcW w:w="275" w:type="pct"/>
            <w:shd w:val="clear" w:color="auto" w:fill="DADADA" w:themeFill="background2" w:themeFillShade="E6"/>
            <w:tcMar>
              <w:left w:w="105" w:type="dxa"/>
              <w:right w:w="105" w:type="dxa"/>
            </w:tcMar>
          </w:tcPr>
          <w:p w14:paraId="3F92E7A3"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2.51</w:t>
            </w:r>
          </w:p>
        </w:tc>
        <w:tc>
          <w:tcPr>
            <w:tcW w:w="276" w:type="pct"/>
            <w:shd w:val="clear" w:color="auto" w:fill="DADADA" w:themeFill="background2" w:themeFillShade="E6"/>
            <w:tcMar>
              <w:left w:w="105" w:type="dxa"/>
              <w:right w:w="105" w:type="dxa"/>
            </w:tcMar>
          </w:tcPr>
          <w:p w14:paraId="01CD3BA6"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2.68</w:t>
            </w:r>
          </w:p>
        </w:tc>
        <w:tc>
          <w:tcPr>
            <w:tcW w:w="254" w:type="pct"/>
            <w:tcMar>
              <w:left w:w="105" w:type="dxa"/>
              <w:right w:w="105" w:type="dxa"/>
            </w:tcMar>
          </w:tcPr>
          <w:p w14:paraId="39761297"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2.92</w:t>
            </w:r>
          </w:p>
        </w:tc>
        <w:tc>
          <w:tcPr>
            <w:tcW w:w="254" w:type="pct"/>
            <w:tcMar>
              <w:left w:w="105" w:type="dxa"/>
              <w:right w:w="105" w:type="dxa"/>
            </w:tcMar>
          </w:tcPr>
          <w:p w14:paraId="01B4090C"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2.66</w:t>
            </w:r>
          </w:p>
        </w:tc>
        <w:tc>
          <w:tcPr>
            <w:tcW w:w="254" w:type="pct"/>
            <w:shd w:val="clear" w:color="auto" w:fill="DADADA" w:themeFill="background2" w:themeFillShade="E6"/>
            <w:tcMar>
              <w:left w:w="105" w:type="dxa"/>
              <w:right w:w="105" w:type="dxa"/>
            </w:tcMar>
          </w:tcPr>
          <w:p w14:paraId="72CBC1D6"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2.69</w:t>
            </w:r>
          </w:p>
        </w:tc>
        <w:tc>
          <w:tcPr>
            <w:tcW w:w="254" w:type="pct"/>
            <w:shd w:val="clear" w:color="auto" w:fill="DADADA" w:themeFill="background2" w:themeFillShade="E6"/>
            <w:tcMar>
              <w:left w:w="105" w:type="dxa"/>
              <w:right w:w="105" w:type="dxa"/>
            </w:tcMar>
          </w:tcPr>
          <w:p w14:paraId="0DD81C98"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2.38</w:t>
            </w:r>
          </w:p>
        </w:tc>
        <w:tc>
          <w:tcPr>
            <w:tcW w:w="254" w:type="pct"/>
            <w:tcMar>
              <w:left w:w="105" w:type="dxa"/>
              <w:right w:w="105" w:type="dxa"/>
            </w:tcMar>
          </w:tcPr>
          <w:p w14:paraId="36CDA259"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2.43</w:t>
            </w:r>
          </w:p>
        </w:tc>
        <w:tc>
          <w:tcPr>
            <w:tcW w:w="254" w:type="pct"/>
            <w:tcMar>
              <w:left w:w="105" w:type="dxa"/>
              <w:right w:w="105" w:type="dxa"/>
            </w:tcMar>
          </w:tcPr>
          <w:p w14:paraId="09DA13D7"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2.51</w:t>
            </w:r>
          </w:p>
        </w:tc>
        <w:tc>
          <w:tcPr>
            <w:tcW w:w="254" w:type="pct"/>
            <w:shd w:val="clear" w:color="auto" w:fill="DADADA" w:themeFill="background2" w:themeFillShade="E6"/>
            <w:tcMar>
              <w:left w:w="105" w:type="dxa"/>
              <w:right w:w="105" w:type="dxa"/>
            </w:tcMar>
          </w:tcPr>
          <w:p w14:paraId="0E37DAFA"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3.11</w:t>
            </w:r>
          </w:p>
        </w:tc>
        <w:tc>
          <w:tcPr>
            <w:tcW w:w="254" w:type="pct"/>
            <w:shd w:val="clear" w:color="auto" w:fill="DADADA" w:themeFill="background2" w:themeFillShade="E6"/>
            <w:tcMar>
              <w:left w:w="105" w:type="dxa"/>
              <w:right w:w="105" w:type="dxa"/>
            </w:tcMar>
          </w:tcPr>
          <w:p w14:paraId="0FD86152"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3.11</w:t>
            </w:r>
          </w:p>
        </w:tc>
        <w:tc>
          <w:tcPr>
            <w:tcW w:w="254" w:type="pct"/>
            <w:tcMar>
              <w:left w:w="105" w:type="dxa"/>
              <w:right w:w="105" w:type="dxa"/>
            </w:tcMar>
          </w:tcPr>
          <w:p w14:paraId="7B1A389D"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2.68</w:t>
            </w:r>
          </w:p>
        </w:tc>
        <w:tc>
          <w:tcPr>
            <w:tcW w:w="254" w:type="pct"/>
            <w:tcMar>
              <w:left w:w="105" w:type="dxa"/>
              <w:right w:w="105" w:type="dxa"/>
            </w:tcMar>
          </w:tcPr>
          <w:p w14:paraId="37FAD739"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2.51</w:t>
            </w:r>
          </w:p>
        </w:tc>
        <w:tc>
          <w:tcPr>
            <w:tcW w:w="262" w:type="pct"/>
            <w:shd w:val="clear" w:color="auto" w:fill="DADADA" w:themeFill="background2" w:themeFillShade="E6"/>
            <w:tcMar>
              <w:left w:w="105" w:type="dxa"/>
              <w:right w:w="105" w:type="dxa"/>
            </w:tcMar>
          </w:tcPr>
          <w:p w14:paraId="2D1F66AC"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w:t>
            </w:r>
          </w:p>
        </w:tc>
        <w:tc>
          <w:tcPr>
            <w:tcW w:w="262" w:type="pct"/>
            <w:shd w:val="clear" w:color="auto" w:fill="DADADA" w:themeFill="background2" w:themeFillShade="E6"/>
            <w:tcMar>
              <w:left w:w="105" w:type="dxa"/>
              <w:right w:w="105" w:type="dxa"/>
            </w:tcMar>
          </w:tcPr>
          <w:p w14:paraId="28B29A78"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2.83</w:t>
            </w:r>
          </w:p>
        </w:tc>
        <w:tc>
          <w:tcPr>
            <w:tcW w:w="254" w:type="pct"/>
            <w:tcMar>
              <w:left w:w="105" w:type="dxa"/>
              <w:right w:w="105" w:type="dxa"/>
            </w:tcMar>
          </w:tcPr>
          <w:p w14:paraId="66DCBA18"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3.16</w:t>
            </w:r>
          </w:p>
        </w:tc>
        <w:tc>
          <w:tcPr>
            <w:tcW w:w="254" w:type="pct"/>
            <w:tcMar>
              <w:left w:w="105" w:type="dxa"/>
              <w:right w:w="105" w:type="dxa"/>
            </w:tcMar>
          </w:tcPr>
          <w:p w14:paraId="3CDC1604"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3.02</w:t>
            </w:r>
          </w:p>
        </w:tc>
        <w:tc>
          <w:tcPr>
            <w:tcW w:w="251" w:type="pct"/>
            <w:shd w:val="clear" w:color="auto" w:fill="DADADA" w:themeFill="background2" w:themeFillShade="E6"/>
            <w:tcMar>
              <w:left w:w="105" w:type="dxa"/>
              <w:right w:w="105" w:type="dxa"/>
            </w:tcMar>
          </w:tcPr>
          <w:p w14:paraId="6245757D"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2.76</w:t>
            </w:r>
          </w:p>
        </w:tc>
        <w:tc>
          <w:tcPr>
            <w:tcW w:w="248" w:type="pct"/>
            <w:shd w:val="clear" w:color="auto" w:fill="DADADA" w:themeFill="background2" w:themeFillShade="E6"/>
            <w:tcMar>
              <w:left w:w="105" w:type="dxa"/>
              <w:right w:w="105" w:type="dxa"/>
            </w:tcMar>
          </w:tcPr>
          <w:p w14:paraId="1DB914AE"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2.77</w:t>
            </w:r>
          </w:p>
        </w:tc>
      </w:tr>
      <w:tr w:rsidR="002B6683" w:rsidRPr="00DA2128" w14:paraId="010B61AF" w14:textId="77777777" w:rsidTr="00B605CC">
        <w:trPr>
          <w:trHeight w:val="300"/>
        </w:trPr>
        <w:tc>
          <w:tcPr>
            <w:tcW w:w="376" w:type="pct"/>
            <w:tcMar>
              <w:left w:w="105" w:type="dxa"/>
              <w:right w:w="105" w:type="dxa"/>
            </w:tcMar>
          </w:tcPr>
          <w:p w14:paraId="1F8D956C" w14:textId="77777777" w:rsidR="002B6683" w:rsidRPr="00DA2128" w:rsidRDefault="002B6683"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color w:val="000000" w:themeColor="text1"/>
                <w:sz w:val="18"/>
                <w:szCs w:val="18"/>
              </w:rPr>
              <w:lastRenderedPageBreak/>
              <w:t>44</w:t>
            </w:r>
          </w:p>
        </w:tc>
        <w:tc>
          <w:tcPr>
            <w:tcW w:w="275" w:type="pct"/>
            <w:shd w:val="clear" w:color="auto" w:fill="DADADA" w:themeFill="background2" w:themeFillShade="E6"/>
            <w:tcMar>
              <w:left w:w="105" w:type="dxa"/>
              <w:right w:w="105" w:type="dxa"/>
            </w:tcMar>
          </w:tcPr>
          <w:p w14:paraId="15AA1698"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2.82</w:t>
            </w:r>
          </w:p>
        </w:tc>
        <w:tc>
          <w:tcPr>
            <w:tcW w:w="276" w:type="pct"/>
            <w:shd w:val="clear" w:color="auto" w:fill="DADADA" w:themeFill="background2" w:themeFillShade="E6"/>
            <w:tcMar>
              <w:left w:w="105" w:type="dxa"/>
              <w:right w:w="105" w:type="dxa"/>
            </w:tcMar>
          </w:tcPr>
          <w:p w14:paraId="39318E33"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2.89</w:t>
            </w:r>
          </w:p>
        </w:tc>
        <w:tc>
          <w:tcPr>
            <w:tcW w:w="254" w:type="pct"/>
            <w:tcMar>
              <w:left w:w="105" w:type="dxa"/>
              <w:right w:w="105" w:type="dxa"/>
            </w:tcMar>
          </w:tcPr>
          <w:p w14:paraId="3D291138"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2.88</w:t>
            </w:r>
          </w:p>
        </w:tc>
        <w:tc>
          <w:tcPr>
            <w:tcW w:w="254" w:type="pct"/>
            <w:tcMar>
              <w:left w:w="105" w:type="dxa"/>
              <w:right w:w="105" w:type="dxa"/>
            </w:tcMar>
          </w:tcPr>
          <w:p w14:paraId="6B867140"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2.89</w:t>
            </w:r>
          </w:p>
        </w:tc>
        <w:tc>
          <w:tcPr>
            <w:tcW w:w="254" w:type="pct"/>
            <w:shd w:val="clear" w:color="auto" w:fill="DADADA" w:themeFill="background2" w:themeFillShade="E6"/>
            <w:tcMar>
              <w:left w:w="105" w:type="dxa"/>
              <w:right w:w="105" w:type="dxa"/>
            </w:tcMar>
          </w:tcPr>
          <w:p w14:paraId="1FB39146"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2.83</w:t>
            </w:r>
          </w:p>
        </w:tc>
        <w:tc>
          <w:tcPr>
            <w:tcW w:w="254" w:type="pct"/>
            <w:shd w:val="clear" w:color="auto" w:fill="DADADA" w:themeFill="background2" w:themeFillShade="E6"/>
            <w:tcMar>
              <w:left w:w="105" w:type="dxa"/>
              <w:right w:w="105" w:type="dxa"/>
            </w:tcMar>
          </w:tcPr>
          <w:p w14:paraId="46D8E8FF"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2.76</w:t>
            </w:r>
          </w:p>
        </w:tc>
        <w:tc>
          <w:tcPr>
            <w:tcW w:w="254" w:type="pct"/>
            <w:tcMar>
              <w:left w:w="105" w:type="dxa"/>
              <w:right w:w="105" w:type="dxa"/>
            </w:tcMar>
          </w:tcPr>
          <w:p w14:paraId="0A6F4BD1"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2.77</w:t>
            </w:r>
          </w:p>
        </w:tc>
        <w:tc>
          <w:tcPr>
            <w:tcW w:w="254" w:type="pct"/>
            <w:tcMar>
              <w:left w:w="105" w:type="dxa"/>
              <w:right w:w="105" w:type="dxa"/>
            </w:tcMar>
          </w:tcPr>
          <w:p w14:paraId="6ABC47D9"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2.84</w:t>
            </w:r>
          </w:p>
        </w:tc>
        <w:tc>
          <w:tcPr>
            <w:tcW w:w="254" w:type="pct"/>
            <w:shd w:val="clear" w:color="auto" w:fill="DADADA" w:themeFill="background2" w:themeFillShade="E6"/>
            <w:tcMar>
              <w:left w:w="105" w:type="dxa"/>
              <w:right w:w="105" w:type="dxa"/>
            </w:tcMar>
          </w:tcPr>
          <w:p w14:paraId="541D2F24"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2.89</w:t>
            </w:r>
          </w:p>
        </w:tc>
        <w:tc>
          <w:tcPr>
            <w:tcW w:w="254" w:type="pct"/>
            <w:shd w:val="clear" w:color="auto" w:fill="DADADA" w:themeFill="background2" w:themeFillShade="E6"/>
            <w:tcMar>
              <w:left w:w="105" w:type="dxa"/>
              <w:right w:w="105" w:type="dxa"/>
            </w:tcMar>
          </w:tcPr>
          <w:p w14:paraId="7EA653B6"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w:t>
            </w:r>
          </w:p>
        </w:tc>
        <w:tc>
          <w:tcPr>
            <w:tcW w:w="254" w:type="pct"/>
            <w:tcMar>
              <w:left w:w="105" w:type="dxa"/>
              <w:right w:w="105" w:type="dxa"/>
            </w:tcMar>
          </w:tcPr>
          <w:p w14:paraId="4DE672F0"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2.87</w:t>
            </w:r>
          </w:p>
        </w:tc>
        <w:tc>
          <w:tcPr>
            <w:tcW w:w="254" w:type="pct"/>
            <w:tcMar>
              <w:left w:w="105" w:type="dxa"/>
              <w:right w:w="105" w:type="dxa"/>
            </w:tcMar>
          </w:tcPr>
          <w:p w14:paraId="1CD44AEA"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2.88</w:t>
            </w:r>
          </w:p>
        </w:tc>
        <w:tc>
          <w:tcPr>
            <w:tcW w:w="262" w:type="pct"/>
            <w:shd w:val="clear" w:color="auto" w:fill="DADADA" w:themeFill="background2" w:themeFillShade="E6"/>
            <w:tcMar>
              <w:left w:w="105" w:type="dxa"/>
              <w:right w:w="105" w:type="dxa"/>
            </w:tcMar>
          </w:tcPr>
          <w:p w14:paraId="174AB1CD"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2.86</w:t>
            </w:r>
          </w:p>
        </w:tc>
        <w:tc>
          <w:tcPr>
            <w:tcW w:w="262" w:type="pct"/>
            <w:shd w:val="clear" w:color="auto" w:fill="DADADA" w:themeFill="background2" w:themeFillShade="E6"/>
            <w:tcMar>
              <w:left w:w="105" w:type="dxa"/>
              <w:right w:w="105" w:type="dxa"/>
            </w:tcMar>
          </w:tcPr>
          <w:p w14:paraId="2793C131"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w:t>
            </w:r>
          </w:p>
        </w:tc>
        <w:tc>
          <w:tcPr>
            <w:tcW w:w="254" w:type="pct"/>
            <w:tcMar>
              <w:left w:w="105" w:type="dxa"/>
              <w:right w:w="105" w:type="dxa"/>
            </w:tcMar>
          </w:tcPr>
          <w:p w14:paraId="6A6745B9"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2.59</w:t>
            </w:r>
          </w:p>
        </w:tc>
        <w:tc>
          <w:tcPr>
            <w:tcW w:w="254" w:type="pct"/>
            <w:tcMar>
              <w:left w:w="105" w:type="dxa"/>
              <w:right w:w="105" w:type="dxa"/>
            </w:tcMar>
          </w:tcPr>
          <w:p w14:paraId="16EAAAA4"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3.06</w:t>
            </w:r>
          </w:p>
        </w:tc>
        <w:tc>
          <w:tcPr>
            <w:tcW w:w="251" w:type="pct"/>
            <w:shd w:val="clear" w:color="auto" w:fill="DADADA" w:themeFill="background2" w:themeFillShade="E6"/>
            <w:tcMar>
              <w:left w:w="105" w:type="dxa"/>
              <w:right w:w="105" w:type="dxa"/>
            </w:tcMar>
          </w:tcPr>
          <w:p w14:paraId="43A126A7"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2.49</w:t>
            </w:r>
          </w:p>
        </w:tc>
        <w:tc>
          <w:tcPr>
            <w:tcW w:w="248" w:type="pct"/>
            <w:shd w:val="clear" w:color="auto" w:fill="DADADA" w:themeFill="background2" w:themeFillShade="E6"/>
            <w:tcMar>
              <w:left w:w="105" w:type="dxa"/>
              <w:right w:w="105" w:type="dxa"/>
            </w:tcMar>
          </w:tcPr>
          <w:p w14:paraId="18549CAD"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2.6</w:t>
            </w:r>
          </w:p>
        </w:tc>
      </w:tr>
      <w:tr w:rsidR="002B6683" w:rsidRPr="00DA2128" w14:paraId="304C2F50" w14:textId="77777777" w:rsidTr="00B605CC">
        <w:trPr>
          <w:trHeight w:val="300"/>
        </w:trPr>
        <w:tc>
          <w:tcPr>
            <w:tcW w:w="376" w:type="pct"/>
            <w:tcMar>
              <w:left w:w="105" w:type="dxa"/>
              <w:right w:w="105" w:type="dxa"/>
            </w:tcMar>
          </w:tcPr>
          <w:p w14:paraId="2CAF18F8" w14:textId="77777777" w:rsidR="002B6683" w:rsidRPr="00DA2128" w:rsidRDefault="002B6683"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b/>
                <w:bCs/>
                <w:color w:val="000000" w:themeColor="text1"/>
                <w:sz w:val="18"/>
                <w:szCs w:val="18"/>
              </w:rPr>
              <w:t>Cluster 4</w:t>
            </w:r>
          </w:p>
        </w:tc>
        <w:tc>
          <w:tcPr>
            <w:tcW w:w="275" w:type="pct"/>
            <w:shd w:val="clear" w:color="auto" w:fill="DADADA" w:themeFill="background2" w:themeFillShade="E6"/>
            <w:tcMar>
              <w:left w:w="105" w:type="dxa"/>
              <w:right w:w="105" w:type="dxa"/>
            </w:tcMar>
          </w:tcPr>
          <w:p w14:paraId="545DA3E2" w14:textId="77777777" w:rsidR="002B6683" w:rsidRPr="00DA2128" w:rsidRDefault="002B6683" w:rsidP="00A937C6">
            <w:pPr>
              <w:spacing w:after="200" w:line="240" w:lineRule="auto"/>
              <w:jc w:val="center"/>
              <w:rPr>
                <w:rFonts w:eastAsia="Aptos" w:cs="Times New Roman"/>
                <w:color w:val="1B2232"/>
                <w:sz w:val="18"/>
                <w:szCs w:val="18"/>
              </w:rPr>
            </w:pPr>
            <w:r w:rsidRPr="00DA2128">
              <w:rPr>
                <w:rStyle w:val="oneUserDefinedStyle"/>
                <w:rFonts w:eastAsia="Aptos" w:cs="Times New Roman"/>
                <w:b/>
                <w:bCs/>
                <w:sz w:val="18"/>
                <w:szCs w:val="18"/>
              </w:rPr>
              <w:t>2.93</w:t>
            </w:r>
          </w:p>
        </w:tc>
        <w:tc>
          <w:tcPr>
            <w:tcW w:w="276" w:type="pct"/>
            <w:shd w:val="clear" w:color="auto" w:fill="DADADA" w:themeFill="background2" w:themeFillShade="E6"/>
            <w:tcMar>
              <w:left w:w="105" w:type="dxa"/>
              <w:right w:w="105" w:type="dxa"/>
            </w:tcMar>
          </w:tcPr>
          <w:p w14:paraId="2764E683" w14:textId="77777777" w:rsidR="002B6683" w:rsidRPr="00DA2128" w:rsidRDefault="002B6683" w:rsidP="00A937C6">
            <w:pPr>
              <w:spacing w:after="200" w:line="240" w:lineRule="auto"/>
              <w:jc w:val="center"/>
              <w:rPr>
                <w:rFonts w:eastAsia="Aptos" w:cs="Times New Roman"/>
                <w:color w:val="1B2232"/>
                <w:sz w:val="18"/>
                <w:szCs w:val="18"/>
              </w:rPr>
            </w:pPr>
            <w:r w:rsidRPr="00DA2128">
              <w:rPr>
                <w:rStyle w:val="oneUserDefinedStyle"/>
                <w:rFonts w:eastAsia="Aptos" w:cs="Times New Roman"/>
                <w:b/>
                <w:bCs/>
                <w:sz w:val="18"/>
                <w:szCs w:val="18"/>
              </w:rPr>
              <w:t>2.57</w:t>
            </w:r>
          </w:p>
        </w:tc>
        <w:tc>
          <w:tcPr>
            <w:tcW w:w="254" w:type="pct"/>
            <w:tcMar>
              <w:left w:w="105" w:type="dxa"/>
              <w:right w:w="105" w:type="dxa"/>
            </w:tcMar>
          </w:tcPr>
          <w:p w14:paraId="64EC03CF" w14:textId="77777777" w:rsidR="002B6683" w:rsidRPr="00DA2128" w:rsidRDefault="002B6683" w:rsidP="00A937C6">
            <w:pPr>
              <w:spacing w:after="200" w:line="240" w:lineRule="auto"/>
              <w:jc w:val="center"/>
              <w:rPr>
                <w:rFonts w:eastAsia="Aptos" w:cs="Times New Roman"/>
                <w:color w:val="1B2232"/>
                <w:sz w:val="18"/>
                <w:szCs w:val="18"/>
              </w:rPr>
            </w:pPr>
            <w:r w:rsidRPr="00DA2128">
              <w:rPr>
                <w:rStyle w:val="oneUserDefinedStyle"/>
                <w:rFonts w:eastAsia="Aptos" w:cs="Times New Roman"/>
                <w:b/>
                <w:bCs/>
                <w:sz w:val="18"/>
                <w:szCs w:val="18"/>
              </w:rPr>
              <w:t>3.09</w:t>
            </w:r>
          </w:p>
        </w:tc>
        <w:tc>
          <w:tcPr>
            <w:tcW w:w="254" w:type="pct"/>
            <w:tcMar>
              <w:left w:w="105" w:type="dxa"/>
              <w:right w:w="105" w:type="dxa"/>
            </w:tcMar>
          </w:tcPr>
          <w:p w14:paraId="4D5AFC55" w14:textId="77777777" w:rsidR="002B6683" w:rsidRPr="00DA2128" w:rsidRDefault="002B6683" w:rsidP="00A937C6">
            <w:pPr>
              <w:spacing w:after="200" w:line="240" w:lineRule="auto"/>
              <w:jc w:val="center"/>
              <w:rPr>
                <w:rFonts w:eastAsia="Aptos" w:cs="Times New Roman"/>
                <w:color w:val="1B2232"/>
                <w:sz w:val="18"/>
                <w:szCs w:val="18"/>
              </w:rPr>
            </w:pPr>
            <w:r w:rsidRPr="00DA2128">
              <w:rPr>
                <w:rStyle w:val="oneUserDefinedStyle"/>
                <w:rFonts w:eastAsia="Aptos" w:cs="Times New Roman"/>
                <w:b/>
                <w:bCs/>
                <w:sz w:val="18"/>
                <w:szCs w:val="18"/>
              </w:rPr>
              <w:t>2.77</w:t>
            </w:r>
          </w:p>
        </w:tc>
        <w:tc>
          <w:tcPr>
            <w:tcW w:w="254" w:type="pct"/>
            <w:shd w:val="clear" w:color="auto" w:fill="DADADA" w:themeFill="background2" w:themeFillShade="E6"/>
            <w:tcMar>
              <w:left w:w="105" w:type="dxa"/>
              <w:right w:w="105" w:type="dxa"/>
            </w:tcMar>
          </w:tcPr>
          <w:p w14:paraId="368F2471"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b/>
                <w:bCs/>
                <w:sz w:val="18"/>
                <w:szCs w:val="18"/>
              </w:rPr>
              <w:t>3.09</w:t>
            </w:r>
          </w:p>
        </w:tc>
        <w:tc>
          <w:tcPr>
            <w:tcW w:w="254" w:type="pct"/>
            <w:shd w:val="clear" w:color="auto" w:fill="DADADA" w:themeFill="background2" w:themeFillShade="E6"/>
            <w:tcMar>
              <w:left w:w="105" w:type="dxa"/>
              <w:right w:w="105" w:type="dxa"/>
            </w:tcMar>
          </w:tcPr>
          <w:p w14:paraId="2C75DB8B"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b/>
                <w:bCs/>
                <w:sz w:val="18"/>
                <w:szCs w:val="18"/>
              </w:rPr>
              <w:t>2.48</w:t>
            </w:r>
          </w:p>
        </w:tc>
        <w:tc>
          <w:tcPr>
            <w:tcW w:w="254" w:type="pct"/>
            <w:tcMar>
              <w:left w:w="105" w:type="dxa"/>
              <w:right w:w="105" w:type="dxa"/>
            </w:tcMar>
          </w:tcPr>
          <w:p w14:paraId="40742AD4" w14:textId="77777777" w:rsidR="002B6683" w:rsidRPr="00DA2128" w:rsidRDefault="002B6683" w:rsidP="00A937C6">
            <w:pPr>
              <w:spacing w:after="200" w:line="240" w:lineRule="auto"/>
              <w:jc w:val="center"/>
              <w:rPr>
                <w:rFonts w:eastAsia="Aptos" w:cs="Times New Roman"/>
                <w:color w:val="1B2232"/>
                <w:sz w:val="18"/>
                <w:szCs w:val="18"/>
              </w:rPr>
            </w:pPr>
            <w:r w:rsidRPr="00DA2128">
              <w:rPr>
                <w:rStyle w:val="oneUserDefinedStyle"/>
                <w:rFonts w:eastAsia="Aptos" w:cs="Times New Roman"/>
                <w:b/>
                <w:bCs/>
                <w:sz w:val="18"/>
                <w:szCs w:val="18"/>
              </w:rPr>
              <w:t>3.03</w:t>
            </w:r>
          </w:p>
        </w:tc>
        <w:tc>
          <w:tcPr>
            <w:tcW w:w="254" w:type="pct"/>
            <w:tcMar>
              <w:left w:w="105" w:type="dxa"/>
              <w:right w:w="105" w:type="dxa"/>
            </w:tcMar>
          </w:tcPr>
          <w:p w14:paraId="439BDDDC" w14:textId="77777777" w:rsidR="002B6683" w:rsidRPr="00DA2128" w:rsidRDefault="002B6683" w:rsidP="00A937C6">
            <w:pPr>
              <w:spacing w:after="200" w:line="240" w:lineRule="auto"/>
              <w:jc w:val="center"/>
              <w:rPr>
                <w:rFonts w:eastAsia="Aptos" w:cs="Times New Roman"/>
                <w:color w:val="1B2232"/>
                <w:sz w:val="18"/>
                <w:szCs w:val="18"/>
              </w:rPr>
            </w:pPr>
            <w:r w:rsidRPr="00DA2128">
              <w:rPr>
                <w:rStyle w:val="oneUserDefinedStyle"/>
                <w:rFonts w:eastAsia="Aptos" w:cs="Times New Roman"/>
                <w:b/>
                <w:bCs/>
                <w:sz w:val="18"/>
                <w:szCs w:val="18"/>
              </w:rPr>
              <w:t>2.57</w:t>
            </w:r>
          </w:p>
        </w:tc>
        <w:tc>
          <w:tcPr>
            <w:tcW w:w="254" w:type="pct"/>
            <w:shd w:val="clear" w:color="auto" w:fill="DADADA" w:themeFill="background2" w:themeFillShade="E6"/>
            <w:tcMar>
              <w:left w:w="105" w:type="dxa"/>
              <w:right w:w="105" w:type="dxa"/>
            </w:tcMar>
          </w:tcPr>
          <w:p w14:paraId="4D9B0867" w14:textId="77777777" w:rsidR="002B6683" w:rsidRPr="00DA2128" w:rsidRDefault="002B6683" w:rsidP="00A937C6">
            <w:pPr>
              <w:spacing w:after="200" w:line="240" w:lineRule="auto"/>
              <w:jc w:val="center"/>
              <w:rPr>
                <w:rFonts w:eastAsia="Aptos" w:cs="Times New Roman"/>
                <w:color w:val="1B2232"/>
                <w:sz w:val="18"/>
                <w:szCs w:val="18"/>
              </w:rPr>
            </w:pPr>
            <w:r w:rsidRPr="00DA2128">
              <w:rPr>
                <w:rStyle w:val="oneUserDefinedStyle"/>
                <w:rFonts w:eastAsia="Aptos" w:cs="Times New Roman"/>
                <w:b/>
                <w:bCs/>
                <w:sz w:val="18"/>
                <w:szCs w:val="18"/>
              </w:rPr>
              <w:t>3.26</w:t>
            </w:r>
          </w:p>
        </w:tc>
        <w:tc>
          <w:tcPr>
            <w:tcW w:w="254" w:type="pct"/>
            <w:shd w:val="clear" w:color="auto" w:fill="DADADA" w:themeFill="background2" w:themeFillShade="E6"/>
            <w:tcMar>
              <w:left w:w="105" w:type="dxa"/>
              <w:right w:w="105" w:type="dxa"/>
            </w:tcMar>
          </w:tcPr>
          <w:p w14:paraId="4F9E3C32" w14:textId="77777777" w:rsidR="002B6683" w:rsidRPr="00DA2128" w:rsidRDefault="002B6683" w:rsidP="00A937C6">
            <w:pPr>
              <w:spacing w:after="200" w:line="240" w:lineRule="auto"/>
              <w:jc w:val="center"/>
              <w:rPr>
                <w:rFonts w:eastAsia="Aptos" w:cs="Times New Roman"/>
                <w:color w:val="1B2232"/>
                <w:sz w:val="18"/>
                <w:szCs w:val="18"/>
              </w:rPr>
            </w:pPr>
            <w:r w:rsidRPr="00DA2128">
              <w:rPr>
                <w:rStyle w:val="oneUserDefinedStyle"/>
                <w:rFonts w:eastAsia="Aptos" w:cs="Times New Roman"/>
                <w:b/>
                <w:bCs/>
                <w:sz w:val="18"/>
                <w:szCs w:val="18"/>
              </w:rPr>
              <w:t>2.92</w:t>
            </w:r>
          </w:p>
        </w:tc>
        <w:tc>
          <w:tcPr>
            <w:tcW w:w="254" w:type="pct"/>
            <w:tcMar>
              <w:left w:w="105" w:type="dxa"/>
              <w:right w:w="105" w:type="dxa"/>
            </w:tcMar>
          </w:tcPr>
          <w:p w14:paraId="04782FC5" w14:textId="77777777" w:rsidR="002B6683" w:rsidRPr="00DA2128" w:rsidRDefault="002B6683" w:rsidP="00A937C6">
            <w:pPr>
              <w:spacing w:after="200" w:line="240" w:lineRule="auto"/>
              <w:jc w:val="center"/>
              <w:rPr>
                <w:rFonts w:eastAsia="Aptos" w:cs="Times New Roman"/>
                <w:color w:val="1B2232"/>
                <w:sz w:val="18"/>
                <w:szCs w:val="18"/>
              </w:rPr>
            </w:pPr>
            <w:r w:rsidRPr="00DA2128">
              <w:rPr>
                <w:rStyle w:val="oneUserDefinedStyle"/>
                <w:rFonts w:eastAsia="Aptos" w:cs="Times New Roman"/>
                <w:b/>
                <w:bCs/>
                <w:sz w:val="18"/>
                <w:szCs w:val="18"/>
              </w:rPr>
              <w:t>3.14</w:t>
            </w:r>
          </w:p>
        </w:tc>
        <w:tc>
          <w:tcPr>
            <w:tcW w:w="254" w:type="pct"/>
            <w:tcMar>
              <w:left w:w="105" w:type="dxa"/>
              <w:right w:w="105" w:type="dxa"/>
            </w:tcMar>
          </w:tcPr>
          <w:p w14:paraId="11CD57BC" w14:textId="77777777" w:rsidR="002B6683" w:rsidRPr="00DA2128" w:rsidRDefault="002B6683"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b/>
                <w:bCs/>
                <w:color w:val="000000" w:themeColor="text1"/>
                <w:sz w:val="18"/>
                <w:szCs w:val="18"/>
              </w:rPr>
              <w:t>2.73</w:t>
            </w:r>
          </w:p>
        </w:tc>
        <w:tc>
          <w:tcPr>
            <w:tcW w:w="262" w:type="pct"/>
            <w:shd w:val="clear" w:color="auto" w:fill="DADADA" w:themeFill="background2" w:themeFillShade="E6"/>
            <w:tcMar>
              <w:left w:w="105" w:type="dxa"/>
              <w:right w:w="105" w:type="dxa"/>
            </w:tcMar>
          </w:tcPr>
          <w:p w14:paraId="0DAB7F7F" w14:textId="77777777" w:rsidR="002B6683" w:rsidRPr="00DA2128" w:rsidRDefault="002B6683"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b/>
                <w:bCs/>
                <w:color w:val="000000" w:themeColor="text1"/>
                <w:sz w:val="18"/>
                <w:szCs w:val="18"/>
              </w:rPr>
              <w:t>3.07</w:t>
            </w:r>
          </w:p>
        </w:tc>
        <w:tc>
          <w:tcPr>
            <w:tcW w:w="262" w:type="pct"/>
            <w:shd w:val="clear" w:color="auto" w:fill="DADADA" w:themeFill="background2" w:themeFillShade="E6"/>
            <w:tcMar>
              <w:left w:w="105" w:type="dxa"/>
              <w:right w:w="105" w:type="dxa"/>
            </w:tcMar>
          </w:tcPr>
          <w:p w14:paraId="0746E775" w14:textId="77777777" w:rsidR="002B6683" w:rsidRPr="00DA2128" w:rsidRDefault="002B6683"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b/>
                <w:bCs/>
                <w:color w:val="000000" w:themeColor="text1"/>
                <w:sz w:val="18"/>
                <w:szCs w:val="18"/>
              </w:rPr>
              <w:t>2.84</w:t>
            </w:r>
          </w:p>
        </w:tc>
        <w:tc>
          <w:tcPr>
            <w:tcW w:w="254" w:type="pct"/>
            <w:tcMar>
              <w:left w:w="105" w:type="dxa"/>
              <w:right w:w="105" w:type="dxa"/>
            </w:tcMar>
          </w:tcPr>
          <w:p w14:paraId="462A2F72" w14:textId="77777777" w:rsidR="002B6683" w:rsidRPr="00DA2128" w:rsidRDefault="002B6683"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b/>
                <w:bCs/>
                <w:color w:val="000000" w:themeColor="text1"/>
                <w:sz w:val="18"/>
                <w:szCs w:val="18"/>
              </w:rPr>
              <w:t>3.22</w:t>
            </w:r>
          </w:p>
        </w:tc>
        <w:tc>
          <w:tcPr>
            <w:tcW w:w="254" w:type="pct"/>
            <w:tcMar>
              <w:left w:w="105" w:type="dxa"/>
              <w:right w:w="105" w:type="dxa"/>
            </w:tcMar>
          </w:tcPr>
          <w:p w14:paraId="5B6B0E3E" w14:textId="77777777" w:rsidR="002B6683" w:rsidRPr="00DA2128" w:rsidRDefault="002B6683"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b/>
                <w:bCs/>
                <w:color w:val="000000" w:themeColor="text1"/>
                <w:sz w:val="18"/>
                <w:szCs w:val="18"/>
              </w:rPr>
              <w:t>2.87</w:t>
            </w:r>
          </w:p>
        </w:tc>
        <w:tc>
          <w:tcPr>
            <w:tcW w:w="251" w:type="pct"/>
            <w:shd w:val="clear" w:color="auto" w:fill="DADADA" w:themeFill="background2" w:themeFillShade="E6"/>
            <w:tcMar>
              <w:left w:w="105" w:type="dxa"/>
              <w:right w:w="105" w:type="dxa"/>
            </w:tcMar>
          </w:tcPr>
          <w:p w14:paraId="350E3498" w14:textId="77777777" w:rsidR="002B6683" w:rsidRPr="00DA2128" w:rsidRDefault="002B6683"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b/>
                <w:bCs/>
                <w:color w:val="000000" w:themeColor="text1"/>
                <w:sz w:val="18"/>
                <w:szCs w:val="18"/>
              </w:rPr>
              <w:t>2.9</w:t>
            </w:r>
          </w:p>
        </w:tc>
        <w:tc>
          <w:tcPr>
            <w:tcW w:w="248" w:type="pct"/>
            <w:shd w:val="clear" w:color="auto" w:fill="DADADA" w:themeFill="background2" w:themeFillShade="E6"/>
            <w:tcMar>
              <w:left w:w="105" w:type="dxa"/>
              <w:right w:w="105" w:type="dxa"/>
            </w:tcMar>
          </w:tcPr>
          <w:p w14:paraId="7D047D69" w14:textId="77777777" w:rsidR="002B6683" w:rsidRPr="00DA2128" w:rsidRDefault="002B6683"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b/>
                <w:bCs/>
                <w:color w:val="000000" w:themeColor="text1"/>
                <w:sz w:val="18"/>
                <w:szCs w:val="18"/>
              </w:rPr>
              <w:t>2.5</w:t>
            </w:r>
          </w:p>
        </w:tc>
      </w:tr>
      <w:tr w:rsidR="002B6683" w:rsidRPr="00DA2128" w14:paraId="1BE0F985" w14:textId="77777777" w:rsidTr="00B605CC">
        <w:trPr>
          <w:trHeight w:val="300"/>
        </w:trPr>
        <w:tc>
          <w:tcPr>
            <w:tcW w:w="376" w:type="pct"/>
            <w:tcMar>
              <w:left w:w="105" w:type="dxa"/>
              <w:right w:w="105" w:type="dxa"/>
            </w:tcMar>
          </w:tcPr>
          <w:p w14:paraId="75BFE7CD"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6</w:t>
            </w:r>
          </w:p>
        </w:tc>
        <w:tc>
          <w:tcPr>
            <w:tcW w:w="275" w:type="pct"/>
            <w:shd w:val="clear" w:color="auto" w:fill="DADADA" w:themeFill="background2" w:themeFillShade="E6"/>
            <w:tcMar>
              <w:left w:w="105" w:type="dxa"/>
              <w:right w:w="105" w:type="dxa"/>
            </w:tcMar>
          </w:tcPr>
          <w:p w14:paraId="5E2C9836"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2.97</w:t>
            </w:r>
          </w:p>
        </w:tc>
        <w:tc>
          <w:tcPr>
            <w:tcW w:w="276" w:type="pct"/>
            <w:shd w:val="clear" w:color="auto" w:fill="DADADA" w:themeFill="background2" w:themeFillShade="E6"/>
            <w:tcMar>
              <w:left w:w="105" w:type="dxa"/>
              <w:right w:w="105" w:type="dxa"/>
            </w:tcMar>
          </w:tcPr>
          <w:p w14:paraId="6FD82974"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2.5</w:t>
            </w:r>
          </w:p>
        </w:tc>
        <w:tc>
          <w:tcPr>
            <w:tcW w:w="254" w:type="pct"/>
            <w:tcMar>
              <w:left w:w="105" w:type="dxa"/>
              <w:right w:w="105" w:type="dxa"/>
            </w:tcMar>
          </w:tcPr>
          <w:p w14:paraId="52BB3F2D"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2.95</w:t>
            </w:r>
          </w:p>
        </w:tc>
        <w:tc>
          <w:tcPr>
            <w:tcW w:w="254" w:type="pct"/>
            <w:tcMar>
              <w:left w:w="105" w:type="dxa"/>
              <w:right w:w="105" w:type="dxa"/>
            </w:tcMar>
          </w:tcPr>
          <w:p w14:paraId="74737AE2"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2.74</w:t>
            </w:r>
          </w:p>
        </w:tc>
        <w:tc>
          <w:tcPr>
            <w:tcW w:w="254" w:type="pct"/>
            <w:shd w:val="clear" w:color="auto" w:fill="DADADA" w:themeFill="background2" w:themeFillShade="E6"/>
            <w:tcMar>
              <w:left w:w="105" w:type="dxa"/>
              <w:right w:w="105" w:type="dxa"/>
            </w:tcMar>
          </w:tcPr>
          <w:p w14:paraId="0D3E32A1"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2.95</w:t>
            </w:r>
          </w:p>
        </w:tc>
        <w:tc>
          <w:tcPr>
            <w:tcW w:w="254" w:type="pct"/>
            <w:shd w:val="clear" w:color="auto" w:fill="DADADA" w:themeFill="background2" w:themeFillShade="E6"/>
            <w:tcMar>
              <w:left w:w="105" w:type="dxa"/>
              <w:right w:w="105" w:type="dxa"/>
            </w:tcMar>
          </w:tcPr>
          <w:p w14:paraId="26290E27"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2.66</w:t>
            </w:r>
          </w:p>
        </w:tc>
        <w:tc>
          <w:tcPr>
            <w:tcW w:w="254" w:type="pct"/>
            <w:tcMar>
              <w:left w:w="105" w:type="dxa"/>
              <w:right w:w="105" w:type="dxa"/>
            </w:tcMar>
          </w:tcPr>
          <w:p w14:paraId="1010A279"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2.71</w:t>
            </w:r>
          </w:p>
        </w:tc>
        <w:tc>
          <w:tcPr>
            <w:tcW w:w="254" w:type="pct"/>
            <w:tcMar>
              <w:left w:w="105" w:type="dxa"/>
              <w:right w:w="105" w:type="dxa"/>
            </w:tcMar>
          </w:tcPr>
          <w:p w14:paraId="6935A730"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2.62</w:t>
            </w:r>
          </w:p>
        </w:tc>
        <w:tc>
          <w:tcPr>
            <w:tcW w:w="254" w:type="pct"/>
            <w:shd w:val="clear" w:color="auto" w:fill="DADADA" w:themeFill="background2" w:themeFillShade="E6"/>
            <w:tcMar>
              <w:left w:w="105" w:type="dxa"/>
              <w:right w:w="105" w:type="dxa"/>
            </w:tcMar>
          </w:tcPr>
          <w:p w14:paraId="4A5BD539"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2.58</w:t>
            </w:r>
          </w:p>
        </w:tc>
        <w:tc>
          <w:tcPr>
            <w:tcW w:w="254" w:type="pct"/>
            <w:shd w:val="clear" w:color="auto" w:fill="DADADA" w:themeFill="background2" w:themeFillShade="E6"/>
            <w:tcMar>
              <w:left w:w="105" w:type="dxa"/>
              <w:right w:w="105" w:type="dxa"/>
            </w:tcMar>
          </w:tcPr>
          <w:p w14:paraId="400FBE0E"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2.95</w:t>
            </w:r>
          </w:p>
        </w:tc>
        <w:tc>
          <w:tcPr>
            <w:tcW w:w="254" w:type="pct"/>
            <w:tcMar>
              <w:left w:w="105" w:type="dxa"/>
              <w:right w:w="105" w:type="dxa"/>
            </w:tcMar>
          </w:tcPr>
          <w:p w14:paraId="36FAEA77"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3.05</w:t>
            </w:r>
          </w:p>
        </w:tc>
        <w:tc>
          <w:tcPr>
            <w:tcW w:w="254" w:type="pct"/>
            <w:tcMar>
              <w:left w:w="105" w:type="dxa"/>
              <w:right w:w="105" w:type="dxa"/>
            </w:tcMar>
          </w:tcPr>
          <w:p w14:paraId="5301A6BB"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2.91</w:t>
            </w:r>
          </w:p>
        </w:tc>
        <w:tc>
          <w:tcPr>
            <w:tcW w:w="262" w:type="pct"/>
            <w:shd w:val="clear" w:color="auto" w:fill="DADADA" w:themeFill="background2" w:themeFillShade="E6"/>
            <w:tcMar>
              <w:left w:w="105" w:type="dxa"/>
              <w:right w:w="105" w:type="dxa"/>
            </w:tcMar>
          </w:tcPr>
          <w:p w14:paraId="01662310"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3.03</w:t>
            </w:r>
          </w:p>
        </w:tc>
        <w:tc>
          <w:tcPr>
            <w:tcW w:w="262" w:type="pct"/>
            <w:shd w:val="clear" w:color="auto" w:fill="DADADA" w:themeFill="background2" w:themeFillShade="E6"/>
            <w:tcMar>
              <w:left w:w="105" w:type="dxa"/>
              <w:right w:w="105" w:type="dxa"/>
            </w:tcMar>
          </w:tcPr>
          <w:p w14:paraId="465BC918"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2.89</w:t>
            </w:r>
          </w:p>
        </w:tc>
        <w:tc>
          <w:tcPr>
            <w:tcW w:w="254" w:type="pct"/>
            <w:tcMar>
              <w:left w:w="105" w:type="dxa"/>
              <w:right w:w="105" w:type="dxa"/>
            </w:tcMar>
          </w:tcPr>
          <w:p w14:paraId="4A3E84F9"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3.27</w:t>
            </w:r>
          </w:p>
        </w:tc>
        <w:tc>
          <w:tcPr>
            <w:tcW w:w="254" w:type="pct"/>
            <w:tcMar>
              <w:left w:w="105" w:type="dxa"/>
              <w:right w:w="105" w:type="dxa"/>
            </w:tcMar>
          </w:tcPr>
          <w:p w14:paraId="5B800EEF"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w:t>
            </w:r>
          </w:p>
        </w:tc>
        <w:tc>
          <w:tcPr>
            <w:tcW w:w="251" w:type="pct"/>
            <w:shd w:val="clear" w:color="auto" w:fill="DADADA" w:themeFill="background2" w:themeFillShade="E6"/>
            <w:tcMar>
              <w:left w:w="105" w:type="dxa"/>
              <w:right w:w="105" w:type="dxa"/>
            </w:tcMar>
          </w:tcPr>
          <w:p w14:paraId="5AC9D5CB"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2.97</w:t>
            </w:r>
          </w:p>
        </w:tc>
        <w:tc>
          <w:tcPr>
            <w:tcW w:w="248" w:type="pct"/>
            <w:shd w:val="clear" w:color="auto" w:fill="DADADA" w:themeFill="background2" w:themeFillShade="E6"/>
            <w:tcMar>
              <w:left w:w="105" w:type="dxa"/>
              <w:right w:w="105" w:type="dxa"/>
            </w:tcMar>
          </w:tcPr>
          <w:p w14:paraId="0C1BA6F7"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2.69</w:t>
            </w:r>
          </w:p>
        </w:tc>
      </w:tr>
      <w:tr w:rsidR="002B6683" w:rsidRPr="00DA2128" w14:paraId="06764EA4" w14:textId="77777777" w:rsidTr="00B605CC">
        <w:trPr>
          <w:trHeight w:val="300"/>
        </w:trPr>
        <w:tc>
          <w:tcPr>
            <w:tcW w:w="376" w:type="pct"/>
            <w:tcMar>
              <w:left w:w="105" w:type="dxa"/>
              <w:right w:w="105" w:type="dxa"/>
            </w:tcMar>
          </w:tcPr>
          <w:p w14:paraId="20D1281A"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13</w:t>
            </w:r>
          </w:p>
        </w:tc>
        <w:tc>
          <w:tcPr>
            <w:tcW w:w="275" w:type="pct"/>
            <w:shd w:val="clear" w:color="auto" w:fill="DADADA" w:themeFill="background2" w:themeFillShade="E6"/>
            <w:tcMar>
              <w:left w:w="105" w:type="dxa"/>
              <w:right w:w="105" w:type="dxa"/>
            </w:tcMar>
          </w:tcPr>
          <w:p w14:paraId="12FC3D8C"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2.22</w:t>
            </w:r>
          </w:p>
        </w:tc>
        <w:tc>
          <w:tcPr>
            <w:tcW w:w="276" w:type="pct"/>
            <w:shd w:val="clear" w:color="auto" w:fill="DADADA" w:themeFill="background2" w:themeFillShade="E6"/>
            <w:tcMar>
              <w:left w:w="105" w:type="dxa"/>
              <w:right w:w="105" w:type="dxa"/>
            </w:tcMar>
          </w:tcPr>
          <w:p w14:paraId="71D1DE00"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1.86</w:t>
            </w:r>
          </w:p>
        </w:tc>
        <w:tc>
          <w:tcPr>
            <w:tcW w:w="254" w:type="pct"/>
            <w:tcMar>
              <w:left w:w="105" w:type="dxa"/>
              <w:right w:w="105" w:type="dxa"/>
            </w:tcMar>
          </w:tcPr>
          <w:p w14:paraId="1B3EA468"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3.13</w:t>
            </w:r>
          </w:p>
        </w:tc>
        <w:tc>
          <w:tcPr>
            <w:tcW w:w="254" w:type="pct"/>
            <w:tcMar>
              <w:left w:w="105" w:type="dxa"/>
              <w:right w:w="105" w:type="dxa"/>
            </w:tcMar>
          </w:tcPr>
          <w:p w14:paraId="4D35EDBE"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2.8</w:t>
            </w:r>
          </w:p>
        </w:tc>
        <w:tc>
          <w:tcPr>
            <w:tcW w:w="254" w:type="pct"/>
            <w:shd w:val="clear" w:color="auto" w:fill="DADADA" w:themeFill="background2" w:themeFillShade="E6"/>
            <w:tcMar>
              <w:left w:w="105" w:type="dxa"/>
              <w:right w:w="105" w:type="dxa"/>
            </w:tcMar>
          </w:tcPr>
          <w:p w14:paraId="28EE6233"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3.13</w:t>
            </w:r>
          </w:p>
        </w:tc>
        <w:tc>
          <w:tcPr>
            <w:tcW w:w="254" w:type="pct"/>
            <w:shd w:val="clear" w:color="auto" w:fill="DADADA" w:themeFill="background2" w:themeFillShade="E6"/>
            <w:tcMar>
              <w:left w:w="105" w:type="dxa"/>
              <w:right w:w="105" w:type="dxa"/>
            </w:tcMar>
          </w:tcPr>
          <w:p w14:paraId="5C39FFA3"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2.03</w:t>
            </w:r>
          </w:p>
        </w:tc>
        <w:tc>
          <w:tcPr>
            <w:tcW w:w="254" w:type="pct"/>
            <w:tcMar>
              <w:left w:w="105" w:type="dxa"/>
              <w:right w:w="105" w:type="dxa"/>
            </w:tcMar>
          </w:tcPr>
          <w:p w14:paraId="38110A80"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2.88</w:t>
            </w:r>
          </w:p>
        </w:tc>
        <w:tc>
          <w:tcPr>
            <w:tcW w:w="254" w:type="pct"/>
            <w:tcMar>
              <w:left w:w="105" w:type="dxa"/>
              <w:right w:w="105" w:type="dxa"/>
            </w:tcMar>
          </w:tcPr>
          <w:p w14:paraId="00CC94C4"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1.92</w:t>
            </w:r>
          </w:p>
        </w:tc>
        <w:tc>
          <w:tcPr>
            <w:tcW w:w="254" w:type="pct"/>
            <w:shd w:val="clear" w:color="auto" w:fill="DADADA" w:themeFill="background2" w:themeFillShade="E6"/>
            <w:tcMar>
              <w:left w:w="105" w:type="dxa"/>
              <w:right w:w="105" w:type="dxa"/>
            </w:tcMar>
          </w:tcPr>
          <w:p w14:paraId="4373C286"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w:t>
            </w:r>
          </w:p>
        </w:tc>
        <w:tc>
          <w:tcPr>
            <w:tcW w:w="254" w:type="pct"/>
            <w:shd w:val="clear" w:color="auto" w:fill="DADADA" w:themeFill="background2" w:themeFillShade="E6"/>
            <w:tcMar>
              <w:left w:w="105" w:type="dxa"/>
              <w:right w:w="105" w:type="dxa"/>
            </w:tcMar>
          </w:tcPr>
          <w:p w14:paraId="4AFA65AC"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2.43</w:t>
            </w:r>
          </w:p>
        </w:tc>
        <w:tc>
          <w:tcPr>
            <w:tcW w:w="254" w:type="pct"/>
            <w:tcMar>
              <w:left w:w="105" w:type="dxa"/>
              <w:right w:w="105" w:type="dxa"/>
            </w:tcMar>
          </w:tcPr>
          <w:p w14:paraId="031B585F"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3.13</w:t>
            </w:r>
          </w:p>
        </w:tc>
        <w:tc>
          <w:tcPr>
            <w:tcW w:w="254" w:type="pct"/>
            <w:tcMar>
              <w:left w:w="105" w:type="dxa"/>
              <w:right w:w="105" w:type="dxa"/>
            </w:tcMar>
          </w:tcPr>
          <w:p w14:paraId="4B19E2AB"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2.53</w:t>
            </w:r>
          </w:p>
        </w:tc>
        <w:tc>
          <w:tcPr>
            <w:tcW w:w="262" w:type="pct"/>
            <w:shd w:val="clear" w:color="auto" w:fill="DADADA" w:themeFill="background2" w:themeFillShade="E6"/>
            <w:tcMar>
              <w:left w:w="105" w:type="dxa"/>
              <w:right w:w="105" w:type="dxa"/>
            </w:tcMar>
          </w:tcPr>
          <w:p w14:paraId="3B198FC4"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2.81</w:t>
            </w:r>
          </w:p>
        </w:tc>
        <w:tc>
          <w:tcPr>
            <w:tcW w:w="262" w:type="pct"/>
            <w:shd w:val="clear" w:color="auto" w:fill="DADADA" w:themeFill="background2" w:themeFillShade="E6"/>
            <w:tcMar>
              <w:left w:w="105" w:type="dxa"/>
              <w:right w:w="105" w:type="dxa"/>
            </w:tcMar>
          </w:tcPr>
          <w:p w14:paraId="5EAD3448"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2.57</w:t>
            </w:r>
          </w:p>
        </w:tc>
        <w:tc>
          <w:tcPr>
            <w:tcW w:w="254" w:type="pct"/>
            <w:tcMar>
              <w:left w:w="105" w:type="dxa"/>
              <w:right w:w="105" w:type="dxa"/>
            </w:tcMar>
          </w:tcPr>
          <w:p w14:paraId="35BBA571"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3.18</w:t>
            </w:r>
          </w:p>
        </w:tc>
        <w:tc>
          <w:tcPr>
            <w:tcW w:w="254" w:type="pct"/>
            <w:tcMar>
              <w:left w:w="105" w:type="dxa"/>
              <w:right w:w="105" w:type="dxa"/>
            </w:tcMar>
          </w:tcPr>
          <w:p w14:paraId="7AC6C07B"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3.02</w:t>
            </w:r>
          </w:p>
        </w:tc>
        <w:tc>
          <w:tcPr>
            <w:tcW w:w="251" w:type="pct"/>
            <w:shd w:val="clear" w:color="auto" w:fill="DADADA" w:themeFill="background2" w:themeFillShade="E6"/>
            <w:tcMar>
              <w:left w:w="105" w:type="dxa"/>
              <w:right w:w="105" w:type="dxa"/>
            </w:tcMar>
          </w:tcPr>
          <w:p w14:paraId="35D3261F"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2.84</w:t>
            </w:r>
          </w:p>
        </w:tc>
        <w:tc>
          <w:tcPr>
            <w:tcW w:w="248" w:type="pct"/>
            <w:shd w:val="clear" w:color="auto" w:fill="DADADA" w:themeFill="background2" w:themeFillShade="E6"/>
            <w:tcMar>
              <w:left w:w="105" w:type="dxa"/>
              <w:right w:w="105" w:type="dxa"/>
            </w:tcMar>
          </w:tcPr>
          <w:p w14:paraId="006A3B6C"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2.46</w:t>
            </w:r>
          </w:p>
        </w:tc>
      </w:tr>
      <w:tr w:rsidR="002B6683" w:rsidRPr="00DA2128" w14:paraId="3496AEA2" w14:textId="77777777" w:rsidTr="00B605CC">
        <w:trPr>
          <w:trHeight w:val="300"/>
        </w:trPr>
        <w:tc>
          <w:tcPr>
            <w:tcW w:w="376" w:type="pct"/>
            <w:tcMar>
              <w:left w:w="105" w:type="dxa"/>
              <w:right w:w="105" w:type="dxa"/>
            </w:tcMar>
          </w:tcPr>
          <w:p w14:paraId="03B3AA19"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17</w:t>
            </w:r>
          </w:p>
        </w:tc>
        <w:tc>
          <w:tcPr>
            <w:tcW w:w="275" w:type="pct"/>
            <w:shd w:val="clear" w:color="auto" w:fill="DADADA" w:themeFill="background2" w:themeFillShade="E6"/>
            <w:tcMar>
              <w:left w:w="105" w:type="dxa"/>
              <w:right w:w="105" w:type="dxa"/>
            </w:tcMar>
          </w:tcPr>
          <w:p w14:paraId="1E9128C1"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3.65*</w:t>
            </w:r>
          </w:p>
        </w:tc>
        <w:tc>
          <w:tcPr>
            <w:tcW w:w="276" w:type="pct"/>
            <w:shd w:val="clear" w:color="auto" w:fill="DADADA" w:themeFill="background2" w:themeFillShade="E6"/>
            <w:tcMar>
              <w:left w:w="105" w:type="dxa"/>
              <w:right w:w="105" w:type="dxa"/>
            </w:tcMar>
          </w:tcPr>
          <w:p w14:paraId="41D53A00"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2.82</w:t>
            </w:r>
          </w:p>
        </w:tc>
        <w:tc>
          <w:tcPr>
            <w:tcW w:w="254" w:type="pct"/>
            <w:tcMar>
              <w:left w:w="105" w:type="dxa"/>
              <w:right w:w="105" w:type="dxa"/>
            </w:tcMar>
          </w:tcPr>
          <w:p w14:paraId="2C1ED7C3"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3.33</w:t>
            </w:r>
          </w:p>
        </w:tc>
        <w:tc>
          <w:tcPr>
            <w:tcW w:w="254" w:type="pct"/>
            <w:tcMar>
              <w:left w:w="105" w:type="dxa"/>
              <w:right w:w="105" w:type="dxa"/>
            </w:tcMar>
          </w:tcPr>
          <w:p w14:paraId="36480B70"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2.74</w:t>
            </w:r>
          </w:p>
        </w:tc>
        <w:tc>
          <w:tcPr>
            <w:tcW w:w="254" w:type="pct"/>
            <w:shd w:val="clear" w:color="auto" w:fill="DADADA" w:themeFill="background2" w:themeFillShade="E6"/>
            <w:tcMar>
              <w:left w:w="105" w:type="dxa"/>
              <w:right w:w="105" w:type="dxa"/>
            </w:tcMar>
          </w:tcPr>
          <w:p w14:paraId="04EB98FD"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3.33</w:t>
            </w:r>
          </w:p>
        </w:tc>
        <w:tc>
          <w:tcPr>
            <w:tcW w:w="254" w:type="pct"/>
            <w:shd w:val="clear" w:color="auto" w:fill="DADADA" w:themeFill="background2" w:themeFillShade="E6"/>
            <w:tcMar>
              <w:left w:w="105" w:type="dxa"/>
              <w:right w:w="105" w:type="dxa"/>
            </w:tcMar>
          </w:tcPr>
          <w:p w14:paraId="5D58D875"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2.53</w:t>
            </w:r>
          </w:p>
        </w:tc>
        <w:tc>
          <w:tcPr>
            <w:tcW w:w="254" w:type="pct"/>
            <w:tcMar>
              <w:left w:w="105" w:type="dxa"/>
              <w:right w:w="105" w:type="dxa"/>
            </w:tcMar>
          </w:tcPr>
          <w:p w14:paraId="3474E356"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3.2</w:t>
            </w:r>
          </w:p>
        </w:tc>
        <w:tc>
          <w:tcPr>
            <w:tcW w:w="254" w:type="pct"/>
            <w:tcMar>
              <w:left w:w="105" w:type="dxa"/>
              <w:right w:w="105" w:type="dxa"/>
            </w:tcMar>
          </w:tcPr>
          <w:p w14:paraId="03422420"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2.65</w:t>
            </w:r>
          </w:p>
        </w:tc>
        <w:tc>
          <w:tcPr>
            <w:tcW w:w="254" w:type="pct"/>
            <w:shd w:val="clear" w:color="auto" w:fill="DADADA" w:themeFill="background2" w:themeFillShade="E6"/>
            <w:tcMar>
              <w:left w:w="105" w:type="dxa"/>
              <w:right w:w="105" w:type="dxa"/>
            </w:tcMar>
          </w:tcPr>
          <w:p w14:paraId="1B7096DA"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3.29</w:t>
            </w:r>
          </w:p>
        </w:tc>
        <w:tc>
          <w:tcPr>
            <w:tcW w:w="254" w:type="pct"/>
            <w:shd w:val="clear" w:color="auto" w:fill="DADADA" w:themeFill="background2" w:themeFillShade="E6"/>
            <w:tcMar>
              <w:left w:w="105" w:type="dxa"/>
              <w:right w:w="105" w:type="dxa"/>
            </w:tcMar>
          </w:tcPr>
          <w:p w14:paraId="4957D7A7"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3.11</w:t>
            </w:r>
          </w:p>
        </w:tc>
        <w:tc>
          <w:tcPr>
            <w:tcW w:w="254" w:type="pct"/>
            <w:tcMar>
              <w:left w:w="105" w:type="dxa"/>
              <w:right w:w="105" w:type="dxa"/>
            </w:tcMar>
          </w:tcPr>
          <w:p w14:paraId="49F903D3"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3.34</w:t>
            </w:r>
          </w:p>
        </w:tc>
        <w:tc>
          <w:tcPr>
            <w:tcW w:w="254" w:type="pct"/>
            <w:tcMar>
              <w:left w:w="105" w:type="dxa"/>
              <w:right w:w="105" w:type="dxa"/>
            </w:tcMar>
          </w:tcPr>
          <w:p w14:paraId="71148D8A"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2.82</w:t>
            </w:r>
          </w:p>
        </w:tc>
        <w:tc>
          <w:tcPr>
            <w:tcW w:w="262" w:type="pct"/>
            <w:shd w:val="clear" w:color="auto" w:fill="DADADA" w:themeFill="background2" w:themeFillShade="E6"/>
            <w:tcMar>
              <w:left w:w="105" w:type="dxa"/>
              <w:right w:w="105" w:type="dxa"/>
            </w:tcMar>
          </w:tcPr>
          <w:p w14:paraId="3C86E9CF"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3.33</w:t>
            </w:r>
          </w:p>
        </w:tc>
        <w:tc>
          <w:tcPr>
            <w:tcW w:w="262" w:type="pct"/>
            <w:shd w:val="clear" w:color="auto" w:fill="DADADA" w:themeFill="background2" w:themeFillShade="E6"/>
            <w:tcMar>
              <w:left w:w="105" w:type="dxa"/>
              <w:right w:w="105" w:type="dxa"/>
            </w:tcMar>
          </w:tcPr>
          <w:p w14:paraId="1EC47BA6"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2.94</w:t>
            </w:r>
          </w:p>
        </w:tc>
        <w:tc>
          <w:tcPr>
            <w:tcW w:w="254" w:type="pct"/>
            <w:tcMar>
              <w:left w:w="105" w:type="dxa"/>
              <w:right w:w="105" w:type="dxa"/>
            </w:tcMar>
          </w:tcPr>
          <w:p w14:paraId="72C853C9"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3.6*</w:t>
            </w:r>
          </w:p>
        </w:tc>
        <w:tc>
          <w:tcPr>
            <w:tcW w:w="254" w:type="pct"/>
            <w:tcMar>
              <w:left w:w="105" w:type="dxa"/>
              <w:right w:w="105" w:type="dxa"/>
            </w:tcMar>
          </w:tcPr>
          <w:p w14:paraId="0A4346FA"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2.92</w:t>
            </w:r>
          </w:p>
        </w:tc>
        <w:tc>
          <w:tcPr>
            <w:tcW w:w="251" w:type="pct"/>
            <w:shd w:val="clear" w:color="auto" w:fill="DADADA" w:themeFill="background2" w:themeFillShade="E6"/>
            <w:tcMar>
              <w:left w:w="105" w:type="dxa"/>
              <w:right w:w="105" w:type="dxa"/>
            </w:tcMar>
          </w:tcPr>
          <w:p w14:paraId="52068929"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3.14</w:t>
            </w:r>
          </w:p>
        </w:tc>
        <w:tc>
          <w:tcPr>
            <w:tcW w:w="248" w:type="pct"/>
            <w:shd w:val="clear" w:color="auto" w:fill="DADADA" w:themeFill="background2" w:themeFillShade="E6"/>
            <w:tcMar>
              <w:left w:w="105" w:type="dxa"/>
              <w:right w:w="105" w:type="dxa"/>
            </w:tcMar>
          </w:tcPr>
          <w:p w14:paraId="5FC8C767"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2.66</w:t>
            </w:r>
          </w:p>
        </w:tc>
      </w:tr>
      <w:tr w:rsidR="002B6683" w:rsidRPr="00DA2128" w14:paraId="279B9393" w14:textId="77777777" w:rsidTr="00B605CC">
        <w:trPr>
          <w:trHeight w:val="300"/>
        </w:trPr>
        <w:tc>
          <w:tcPr>
            <w:tcW w:w="376" w:type="pct"/>
            <w:tcMar>
              <w:left w:w="105" w:type="dxa"/>
              <w:right w:w="105" w:type="dxa"/>
            </w:tcMar>
          </w:tcPr>
          <w:p w14:paraId="13B64C21"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18</w:t>
            </w:r>
          </w:p>
        </w:tc>
        <w:tc>
          <w:tcPr>
            <w:tcW w:w="275" w:type="pct"/>
            <w:shd w:val="clear" w:color="auto" w:fill="DADADA" w:themeFill="background2" w:themeFillShade="E6"/>
            <w:tcMar>
              <w:left w:w="105" w:type="dxa"/>
              <w:right w:w="105" w:type="dxa"/>
            </w:tcMar>
          </w:tcPr>
          <w:p w14:paraId="53934835"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3.5</w:t>
            </w:r>
          </w:p>
        </w:tc>
        <w:tc>
          <w:tcPr>
            <w:tcW w:w="276" w:type="pct"/>
            <w:shd w:val="clear" w:color="auto" w:fill="DADADA" w:themeFill="background2" w:themeFillShade="E6"/>
            <w:tcMar>
              <w:left w:w="105" w:type="dxa"/>
              <w:right w:w="105" w:type="dxa"/>
            </w:tcMar>
          </w:tcPr>
          <w:p w14:paraId="5445F843"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2.97*</w:t>
            </w:r>
          </w:p>
        </w:tc>
        <w:tc>
          <w:tcPr>
            <w:tcW w:w="254" w:type="pct"/>
            <w:tcMar>
              <w:left w:w="105" w:type="dxa"/>
              <w:right w:w="105" w:type="dxa"/>
            </w:tcMar>
          </w:tcPr>
          <w:p w14:paraId="1B520878"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3.29</w:t>
            </w:r>
          </w:p>
        </w:tc>
        <w:tc>
          <w:tcPr>
            <w:tcW w:w="254" w:type="pct"/>
            <w:tcMar>
              <w:left w:w="105" w:type="dxa"/>
              <w:right w:w="105" w:type="dxa"/>
            </w:tcMar>
          </w:tcPr>
          <w:p w14:paraId="351BAD2D"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3</w:t>
            </w:r>
          </w:p>
        </w:tc>
        <w:tc>
          <w:tcPr>
            <w:tcW w:w="254" w:type="pct"/>
            <w:shd w:val="clear" w:color="auto" w:fill="DADADA" w:themeFill="background2" w:themeFillShade="E6"/>
            <w:tcMar>
              <w:left w:w="105" w:type="dxa"/>
              <w:right w:w="105" w:type="dxa"/>
            </w:tcMar>
          </w:tcPr>
          <w:p w14:paraId="01CF5910"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3.29</w:t>
            </w:r>
          </w:p>
        </w:tc>
        <w:tc>
          <w:tcPr>
            <w:tcW w:w="254" w:type="pct"/>
            <w:shd w:val="clear" w:color="auto" w:fill="DADADA" w:themeFill="background2" w:themeFillShade="E6"/>
            <w:tcMar>
              <w:left w:w="105" w:type="dxa"/>
              <w:right w:w="105" w:type="dxa"/>
            </w:tcMar>
          </w:tcPr>
          <w:p w14:paraId="0A9879C1"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2.37</w:t>
            </w:r>
          </w:p>
        </w:tc>
        <w:tc>
          <w:tcPr>
            <w:tcW w:w="254" w:type="pct"/>
            <w:tcMar>
              <w:left w:w="105" w:type="dxa"/>
              <w:right w:w="105" w:type="dxa"/>
            </w:tcMar>
          </w:tcPr>
          <w:p w14:paraId="1683AAC6"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3.4*</w:t>
            </w:r>
          </w:p>
        </w:tc>
        <w:tc>
          <w:tcPr>
            <w:tcW w:w="254" w:type="pct"/>
            <w:tcMar>
              <w:left w:w="105" w:type="dxa"/>
              <w:right w:w="105" w:type="dxa"/>
            </w:tcMar>
          </w:tcPr>
          <w:p w14:paraId="543B273D"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2.68</w:t>
            </w:r>
          </w:p>
        </w:tc>
        <w:tc>
          <w:tcPr>
            <w:tcW w:w="254" w:type="pct"/>
            <w:shd w:val="clear" w:color="auto" w:fill="DADADA" w:themeFill="background2" w:themeFillShade="E6"/>
            <w:tcMar>
              <w:left w:w="105" w:type="dxa"/>
              <w:right w:w="105" w:type="dxa"/>
            </w:tcMar>
          </w:tcPr>
          <w:p w14:paraId="7C5D3E63"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3.21</w:t>
            </w:r>
          </w:p>
        </w:tc>
        <w:tc>
          <w:tcPr>
            <w:tcW w:w="254" w:type="pct"/>
            <w:shd w:val="clear" w:color="auto" w:fill="DADADA" w:themeFill="background2" w:themeFillShade="E6"/>
            <w:tcMar>
              <w:left w:w="105" w:type="dxa"/>
              <w:right w:w="105" w:type="dxa"/>
            </w:tcMar>
          </w:tcPr>
          <w:p w14:paraId="202F61CA"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2.84</w:t>
            </w:r>
          </w:p>
        </w:tc>
        <w:tc>
          <w:tcPr>
            <w:tcW w:w="254" w:type="pct"/>
            <w:tcMar>
              <w:left w:w="105" w:type="dxa"/>
              <w:right w:w="105" w:type="dxa"/>
            </w:tcMar>
          </w:tcPr>
          <w:p w14:paraId="54C745BE"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3.5*</w:t>
            </w:r>
          </w:p>
        </w:tc>
        <w:tc>
          <w:tcPr>
            <w:tcW w:w="254" w:type="pct"/>
            <w:tcMar>
              <w:left w:w="105" w:type="dxa"/>
              <w:right w:w="105" w:type="dxa"/>
            </w:tcMar>
          </w:tcPr>
          <w:p w14:paraId="7BCB6F2C"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2.73</w:t>
            </w:r>
          </w:p>
        </w:tc>
        <w:tc>
          <w:tcPr>
            <w:tcW w:w="262" w:type="pct"/>
            <w:shd w:val="clear" w:color="auto" w:fill="DADADA" w:themeFill="background2" w:themeFillShade="E6"/>
            <w:tcMar>
              <w:left w:w="105" w:type="dxa"/>
              <w:right w:w="105" w:type="dxa"/>
            </w:tcMar>
          </w:tcPr>
          <w:p w14:paraId="4674F36E"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3.22</w:t>
            </w:r>
          </w:p>
        </w:tc>
        <w:tc>
          <w:tcPr>
            <w:tcW w:w="262" w:type="pct"/>
            <w:shd w:val="clear" w:color="auto" w:fill="DADADA" w:themeFill="background2" w:themeFillShade="E6"/>
            <w:tcMar>
              <w:left w:w="105" w:type="dxa"/>
              <w:right w:w="105" w:type="dxa"/>
            </w:tcMar>
          </w:tcPr>
          <w:p w14:paraId="0FAB93F6"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2.97</w:t>
            </w:r>
          </w:p>
        </w:tc>
        <w:tc>
          <w:tcPr>
            <w:tcW w:w="254" w:type="pct"/>
            <w:tcMar>
              <w:left w:w="105" w:type="dxa"/>
              <w:right w:w="105" w:type="dxa"/>
            </w:tcMar>
          </w:tcPr>
          <w:p w14:paraId="44580568"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3.45</w:t>
            </w:r>
          </w:p>
        </w:tc>
        <w:tc>
          <w:tcPr>
            <w:tcW w:w="254" w:type="pct"/>
            <w:tcMar>
              <w:left w:w="105" w:type="dxa"/>
              <w:right w:w="105" w:type="dxa"/>
            </w:tcMar>
          </w:tcPr>
          <w:p w14:paraId="7FD433BB"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2.77</w:t>
            </w:r>
          </w:p>
        </w:tc>
        <w:tc>
          <w:tcPr>
            <w:tcW w:w="251" w:type="pct"/>
            <w:shd w:val="clear" w:color="auto" w:fill="DADADA" w:themeFill="background2" w:themeFillShade="E6"/>
            <w:tcMar>
              <w:left w:w="105" w:type="dxa"/>
              <w:right w:w="105" w:type="dxa"/>
            </w:tcMar>
          </w:tcPr>
          <w:p w14:paraId="0AD17BAE"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w:t>
            </w:r>
          </w:p>
        </w:tc>
        <w:tc>
          <w:tcPr>
            <w:tcW w:w="248" w:type="pct"/>
            <w:shd w:val="clear" w:color="auto" w:fill="DADADA" w:themeFill="background2" w:themeFillShade="E6"/>
            <w:tcMar>
              <w:left w:w="105" w:type="dxa"/>
              <w:right w:w="105" w:type="dxa"/>
            </w:tcMar>
          </w:tcPr>
          <w:p w14:paraId="218287AC"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2.77*</w:t>
            </w:r>
          </w:p>
        </w:tc>
      </w:tr>
      <w:tr w:rsidR="002B6683" w:rsidRPr="00DA2128" w14:paraId="4D978B4C" w14:textId="77777777" w:rsidTr="00B605CC">
        <w:trPr>
          <w:trHeight w:val="300"/>
        </w:trPr>
        <w:tc>
          <w:tcPr>
            <w:tcW w:w="376" w:type="pct"/>
            <w:tcMar>
              <w:left w:w="105" w:type="dxa"/>
              <w:right w:w="105" w:type="dxa"/>
            </w:tcMar>
          </w:tcPr>
          <w:p w14:paraId="167929D3" w14:textId="77777777" w:rsidR="002B6683" w:rsidRPr="00DA2128" w:rsidRDefault="002B6683"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color w:val="000000" w:themeColor="text1"/>
                <w:sz w:val="18"/>
                <w:szCs w:val="18"/>
              </w:rPr>
              <w:t>30</w:t>
            </w:r>
          </w:p>
        </w:tc>
        <w:tc>
          <w:tcPr>
            <w:tcW w:w="275" w:type="pct"/>
            <w:shd w:val="clear" w:color="auto" w:fill="DADADA" w:themeFill="background2" w:themeFillShade="E6"/>
            <w:tcMar>
              <w:left w:w="105" w:type="dxa"/>
              <w:right w:w="105" w:type="dxa"/>
            </w:tcMar>
          </w:tcPr>
          <w:p w14:paraId="414638B4"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2.37</w:t>
            </w:r>
          </w:p>
        </w:tc>
        <w:tc>
          <w:tcPr>
            <w:tcW w:w="276" w:type="pct"/>
            <w:shd w:val="clear" w:color="auto" w:fill="DADADA" w:themeFill="background2" w:themeFillShade="E6"/>
            <w:tcMar>
              <w:left w:w="105" w:type="dxa"/>
              <w:right w:w="105" w:type="dxa"/>
            </w:tcMar>
          </w:tcPr>
          <w:p w14:paraId="3DFA1BF2"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1.83</w:t>
            </w:r>
          </w:p>
        </w:tc>
        <w:tc>
          <w:tcPr>
            <w:tcW w:w="254" w:type="pct"/>
            <w:tcMar>
              <w:left w:w="105" w:type="dxa"/>
              <w:right w:w="105" w:type="dxa"/>
            </w:tcMar>
          </w:tcPr>
          <w:p w14:paraId="3F0EE27D"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2.73</w:t>
            </w:r>
          </w:p>
        </w:tc>
        <w:tc>
          <w:tcPr>
            <w:tcW w:w="254" w:type="pct"/>
            <w:tcMar>
              <w:left w:w="105" w:type="dxa"/>
              <w:right w:w="105" w:type="dxa"/>
            </w:tcMar>
          </w:tcPr>
          <w:p w14:paraId="3913AB81"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2.46</w:t>
            </w:r>
          </w:p>
        </w:tc>
        <w:tc>
          <w:tcPr>
            <w:tcW w:w="254" w:type="pct"/>
            <w:shd w:val="clear" w:color="auto" w:fill="DADADA" w:themeFill="background2" w:themeFillShade="E6"/>
            <w:tcMar>
              <w:left w:w="105" w:type="dxa"/>
              <w:right w:w="105" w:type="dxa"/>
            </w:tcMar>
          </w:tcPr>
          <w:p w14:paraId="42A74263"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2.73</w:t>
            </w:r>
          </w:p>
        </w:tc>
        <w:tc>
          <w:tcPr>
            <w:tcW w:w="254" w:type="pct"/>
            <w:shd w:val="clear" w:color="auto" w:fill="DADADA" w:themeFill="background2" w:themeFillShade="E6"/>
            <w:tcMar>
              <w:left w:w="105" w:type="dxa"/>
              <w:right w:w="105" w:type="dxa"/>
            </w:tcMar>
          </w:tcPr>
          <w:p w14:paraId="25AAB798"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1.82</w:t>
            </w:r>
          </w:p>
        </w:tc>
        <w:tc>
          <w:tcPr>
            <w:tcW w:w="254" w:type="pct"/>
            <w:tcMar>
              <w:left w:w="105" w:type="dxa"/>
              <w:right w:w="105" w:type="dxa"/>
            </w:tcMar>
          </w:tcPr>
          <w:p w14:paraId="2151FDB7"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2.75</w:t>
            </w:r>
          </w:p>
        </w:tc>
        <w:tc>
          <w:tcPr>
            <w:tcW w:w="254" w:type="pct"/>
            <w:tcMar>
              <w:left w:w="105" w:type="dxa"/>
              <w:right w:w="105" w:type="dxa"/>
            </w:tcMar>
          </w:tcPr>
          <w:p w14:paraId="617F117F"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2.27</w:t>
            </w:r>
          </w:p>
        </w:tc>
        <w:tc>
          <w:tcPr>
            <w:tcW w:w="254" w:type="pct"/>
            <w:shd w:val="clear" w:color="auto" w:fill="DADADA" w:themeFill="background2" w:themeFillShade="E6"/>
            <w:tcMar>
              <w:left w:w="105" w:type="dxa"/>
              <w:right w:w="105" w:type="dxa"/>
            </w:tcMar>
          </w:tcPr>
          <w:p w14:paraId="62CF21EE"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3.42</w:t>
            </w:r>
          </w:p>
        </w:tc>
        <w:tc>
          <w:tcPr>
            <w:tcW w:w="254" w:type="pct"/>
            <w:shd w:val="clear" w:color="auto" w:fill="DADADA" w:themeFill="background2" w:themeFillShade="E6"/>
            <w:tcMar>
              <w:left w:w="105" w:type="dxa"/>
              <w:right w:w="105" w:type="dxa"/>
            </w:tcMar>
          </w:tcPr>
          <w:p w14:paraId="3F559DC6"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2.54</w:t>
            </w:r>
          </w:p>
        </w:tc>
        <w:tc>
          <w:tcPr>
            <w:tcW w:w="254" w:type="pct"/>
            <w:tcMar>
              <w:left w:w="105" w:type="dxa"/>
              <w:right w:w="105" w:type="dxa"/>
            </w:tcMar>
          </w:tcPr>
          <w:p w14:paraId="52928780"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2.95</w:t>
            </w:r>
          </w:p>
        </w:tc>
        <w:tc>
          <w:tcPr>
            <w:tcW w:w="254" w:type="pct"/>
            <w:tcMar>
              <w:left w:w="105" w:type="dxa"/>
              <w:right w:w="105" w:type="dxa"/>
            </w:tcMar>
          </w:tcPr>
          <w:p w14:paraId="5A6519C8"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2.31</w:t>
            </w:r>
          </w:p>
        </w:tc>
        <w:tc>
          <w:tcPr>
            <w:tcW w:w="262" w:type="pct"/>
            <w:shd w:val="clear" w:color="auto" w:fill="DADADA" w:themeFill="background2" w:themeFillShade="E6"/>
            <w:tcMar>
              <w:left w:w="105" w:type="dxa"/>
              <w:right w:w="105" w:type="dxa"/>
            </w:tcMar>
          </w:tcPr>
          <w:p w14:paraId="739AF727"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3.08</w:t>
            </w:r>
          </w:p>
        </w:tc>
        <w:tc>
          <w:tcPr>
            <w:tcW w:w="262" w:type="pct"/>
            <w:shd w:val="clear" w:color="auto" w:fill="DADADA" w:themeFill="background2" w:themeFillShade="E6"/>
            <w:tcMar>
              <w:left w:w="105" w:type="dxa"/>
              <w:right w:w="105" w:type="dxa"/>
            </w:tcMar>
          </w:tcPr>
          <w:p w14:paraId="1B0889C8"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2.62</w:t>
            </w:r>
          </w:p>
        </w:tc>
        <w:tc>
          <w:tcPr>
            <w:tcW w:w="254" w:type="pct"/>
            <w:tcMar>
              <w:left w:w="105" w:type="dxa"/>
              <w:right w:w="105" w:type="dxa"/>
            </w:tcMar>
          </w:tcPr>
          <w:p w14:paraId="319A85D0"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3.06</w:t>
            </w:r>
          </w:p>
        </w:tc>
        <w:tc>
          <w:tcPr>
            <w:tcW w:w="254" w:type="pct"/>
            <w:tcMar>
              <w:left w:w="105" w:type="dxa"/>
              <w:right w:w="105" w:type="dxa"/>
            </w:tcMar>
          </w:tcPr>
          <w:p w14:paraId="100C5355"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2.64</w:t>
            </w:r>
          </w:p>
        </w:tc>
        <w:tc>
          <w:tcPr>
            <w:tcW w:w="251" w:type="pct"/>
            <w:shd w:val="clear" w:color="auto" w:fill="DADADA" w:themeFill="background2" w:themeFillShade="E6"/>
            <w:tcMar>
              <w:left w:w="105" w:type="dxa"/>
              <w:right w:w="105" w:type="dxa"/>
            </w:tcMar>
          </w:tcPr>
          <w:p w14:paraId="43E5A464"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2.41</w:t>
            </w:r>
          </w:p>
        </w:tc>
        <w:tc>
          <w:tcPr>
            <w:tcW w:w="248" w:type="pct"/>
            <w:shd w:val="clear" w:color="auto" w:fill="DADADA" w:themeFill="background2" w:themeFillShade="E6"/>
            <w:tcMar>
              <w:left w:w="105" w:type="dxa"/>
              <w:right w:w="105" w:type="dxa"/>
            </w:tcMar>
          </w:tcPr>
          <w:p w14:paraId="5BE0793A"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1.89</w:t>
            </w:r>
          </w:p>
        </w:tc>
      </w:tr>
      <w:tr w:rsidR="002B6683" w:rsidRPr="00DA2128" w14:paraId="0AF52402" w14:textId="77777777" w:rsidTr="00B605CC">
        <w:trPr>
          <w:trHeight w:val="300"/>
        </w:trPr>
        <w:tc>
          <w:tcPr>
            <w:tcW w:w="376" w:type="pct"/>
            <w:tcMar>
              <w:left w:w="105" w:type="dxa"/>
              <w:right w:w="105" w:type="dxa"/>
            </w:tcMar>
          </w:tcPr>
          <w:p w14:paraId="49C7CBA9"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40</w:t>
            </w:r>
          </w:p>
        </w:tc>
        <w:tc>
          <w:tcPr>
            <w:tcW w:w="275" w:type="pct"/>
            <w:shd w:val="clear" w:color="auto" w:fill="DADADA" w:themeFill="background2" w:themeFillShade="E6"/>
            <w:tcMar>
              <w:left w:w="105" w:type="dxa"/>
              <w:right w:w="105" w:type="dxa"/>
            </w:tcMar>
          </w:tcPr>
          <w:p w14:paraId="10DCDF33"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2.92</w:t>
            </w:r>
          </w:p>
        </w:tc>
        <w:tc>
          <w:tcPr>
            <w:tcW w:w="276" w:type="pct"/>
            <w:shd w:val="clear" w:color="auto" w:fill="DADADA" w:themeFill="background2" w:themeFillShade="E6"/>
            <w:tcMar>
              <w:left w:w="105" w:type="dxa"/>
              <w:right w:w="105" w:type="dxa"/>
            </w:tcMar>
          </w:tcPr>
          <w:p w14:paraId="046B61FA"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2.76</w:t>
            </w:r>
          </w:p>
        </w:tc>
        <w:tc>
          <w:tcPr>
            <w:tcW w:w="254" w:type="pct"/>
            <w:tcMar>
              <w:left w:w="105" w:type="dxa"/>
              <w:right w:w="105" w:type="dxa"/>
            </w:tcMar>
          </w:tcPr>
          <w:p w14:paraId="269A5B02"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2.89</w:t>
            </w:r>
          </w:p>
        </w:tc>
        <w:tc>
          <w:tcPr>
            <w:tcW w:w="254" w:type="pct"/>
            <w:tcMar>
              <w:left w:w="105" w:type="dxa"/>
              <w:right w:w="105" w:type="dxa"/>
            </w:tcMar>
          </w:tcPr>
          <w:p w14:paraId="0AA2357F"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2.77</w:t>
            </w:r>
          </w:p>
        </w:tc>
        <w:tc>
          <w:tcPr>
            <w:tcW w:w="254" w:type="pct"/>
            <w:shd w:val="clear" w:color="auto" w:fill="DADADA" w:themeFill="background2" w:themeFillShade="E6"/>
            <w:tcMar>
              <w:left w:w="105" w:type="dxa"/>
              <w:right w:w="105" w:type="dxa"/>
            </w:tcMar>
          </w:tcPr>
          <w:p w14:paraId="0BEAED7B"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2.89</w:t>
            </w:r>
          </w:p>
        </w:tc>
        <w:tc>
          <w:tcPr>
            <w:tcW w:w="254" w:type="pct"/>
            <w:shd w:val="clear" w:color="auto" w:fill="DADADA" w:themeFill="background2" w:themeFillShade="E6"/>
            <w:tcMar>
              <w:left w:w="105" w:type="dxa"/>
              <w:right w:w="105" w:type="dxa"/>
            </w:tcMar>
          </w:tcPr>
          <w:p w14:paraId="4EA53ED5"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2.44</w:t>
            </w:r>
          </w:p>
        </w:tc>
        <w:tc>
          <w:tcPr>
            <w:tcW w:w="254" w:type="pct"/>
            <w:tcMar>
              <w:left w:w="105" w:type="dxa"/>
              <w:right w:w="105" w:type="dxa"/>
            </w:tcMar>
          </w:tcPr>
          <w:p w14:paraId="34683F3B"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2.83</w:t>
            </w:r>
          </w:p>
        </w:tc>
        <w:tc>
          <w:tcPr>
            <w:tcW w:w="254" w:type="pct"/>
            <w:tcMar>
              <w:left w:w="105" w:type="dxa"/>
              <w:right w:w="105" w:type="dxa"/>
            </w:tcMar>
          </w:tcPr>
          <w:p w14:paraId="1E4E89B6"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2.68</w:t>
            </w:r>
          </w:p>
        </w:tc>
        <w:tc>
          <w:tcPr>
            <w:tcW w:w="254" w:type="pct"/>
            <w:shd w:val="clear" w:color="auto" w:fill="DADADA" w:themeFill="background2" w:themeFillShade="E6"/>
            <w:tcMar>
              <w:left w:w="105" w:type="dxa"/>
              <w:right w:w="105" w:type="dxa"/>
            </w:tcMar>
          </w:tcPr>
          <w:p w14:paraId="4605C556"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3.39</w:t>
            </w:r>
          </w:p>
        </w:tc>
        <w:tc>
          <w:tcPr>
            <w:tcW w:w="254" w:type="pct"/>
            <w:shd w:val="clear" w:color="auto" w:fill="DADADA" w:themeFill="background2" w:themeFillShade="E6"/>
            <w:tcMar>
              <w:left w:w="105" w:type="dxa"/>
              <w:right w:w="105" w:type="dxa"/>
            </w:tcMar>
          </w:tcPr>
          <w:p w14:paraId="66705340"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3.03</w:t>
            </w:r>
          </w:p>
        </w:tc>
        <w:tc>
          <w:tcPr>
            <w:tcW w:w="254" w:type="pct"/>
            <w:tcMar>
              <w:left w:w="105" w:type="dxa"/>
              <w:right w:w="105" w:type="dxa"/>
            </w:tcMar>
          </w:tcPr>
          <w:p w14:paraId="7E36A460"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w:t>
            </w:r>
          </w:p>
        </w:tc>
        <w:tc>
          <w:tcPr>
            <w:tcW w:w="254" w:type="pct"/>
            <w:tcMar>
              <w:left w:w="105" w:type="dxa"/>
              <w:right w:w="105" w:type="dxa"/>
            </w:tcMar>
          </w:tcPr>
          <w:p w14:paraId="114CE6D2"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2.76</w:t>
            </w:r>
          </w:p>
        </w:tc>
        <w:tc>
          <w:tcPr>
            <w:tcW w:w="262" w:type="pct"/>
            <w:shd w:val="clear" w:color="auto" w:fill="DADADA" w:themeFill="background2" w:themeFillShade="E6"/>
            <w:tcMar>
              <w:left w:w="105" w:type="dxa"/>
              <w:right w:w="105" w:type="dxa"/>
            </w:tcMar>
          </w:tcPr>
          <w:p w14:paraId="4E3FC827"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2.97</w:t>
            </w:r>
          </w:p>
        </w:tc>
        <w:tc>
          <w:tcPr>
            <w:tcW w:w="262" w:type="pct"/>
            <w:shd w:val="clear" w:color="auto" w:fill="DADADA" w:themeFill="background2" w:themeFillShade="E6"/>
            <w:tcMar>
              <w:left w:w="105" w:type="dxa"/>
              <w:right w:w="105" w:type="dxa"/>
            </w:tcMar>
          </w:tcPr>
          <w:p w14:paraId="7FEE4D0A"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2.94</w:t>
            </w:r>
          </w:p>
        </w:tc>
        <w:tc>
          <w:tcPr>
            <w:tcW w:w="254" w:type="pct"/>
            <w:tcMar>
              <w:left w:w="105" w:type="dxa"/>
              <w:right w:w="105" w:type="dxa"/>
            </w:tcMar>
          </w:tcPr>
          <w:p w14:paraId="740E86C5"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2.92</w:t>
            </w:r>
          </w:p>
        </w:tc>
        <w:tc>
          <w:tcPr>
            <w:tcW w:w="254" w:type="pct"/>
            <w:tcMar>
              <w:left w:w="105" w:type="dxa"/>
              <w:right w:w="105" w:type="dxa"/>
            </w:tcMar>
          </w:tcPr>
          <w:p w14:paraId="6C55236F"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2.85</w:t>
            </w:r>
          </w:p>
        </w:tc>
        <w:tc>
          <w:tcPr>
            <w:tcW w:w="251" w:type="pct"/>
            <w:shd w:val="clear" w:color="auto" w:fill="DADADA" w:themeFill="background2" w:themeFillShade="E6"/>
            <w:tcMar>
              <w:left w:w="105" w:type="dxa"/>
              <w:right w:w="105" w:type="dxa"/>
            </w:tcMar>
          </w:tcPr>
          <w:p w14:paraId="193D3A82"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2.61</w:t>
            </w:r>
          </w:p>
        </w:tc>
        <w:tc>
          <w:tcPr>
            <w:tcW w:w="248" w:type="pct"/>
            <w:shd w:val="clear" w:color="auto" w:fill="DADADA" w:themeFill="background2" w:themeFillShade="E6"/>
            <w:tcMar>
              <w:left w:w="105" w:type="dxa"/>
              <w:right w:w="105" w:type="dxa"/>
            </w:tcMar>
          </w:tcPr>
          <w:p w14:paraId="5CFA5754"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2.66</w:t>
            </w:r>
          </w:p>
        </w:tc>
      </w:tr>
      <w:tr w:rsidR="002B6683" w:rsidRPr="00DA2128" w14:paraId="2A7226A7" w14:textId="77777777" w:rsidTr="00B605CC">
        <w:trPr>
          <w:trHeight w:val="300"/>
        </w:trPr>
        <w:tc>
          <w:tcPr>
            <w:tcW w:w="376" w:type="pct"/>
            <w:tcMar>
              <w:left w:w="105" w:type="dxa"/>
              <w:right w:w="105" w:type="dxa"/>
            </w:tcMar>
          </w:tcPr>
          <w:p w14:paraId="7973292E"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47</w:t>
            </w:r>
          </w:p>
        </w:tc>
        <w:tc>
          <w:tcPr>
            <w:tcW w:w="275" w:type="pct"/>
            <w:shd w:val="clear" w:color="auto" w:fill="DADADA" w:themeFill="background2" w:themeFillShade="E6"/>
            <w:tcMar>
              <w:left w:w="105" w:type="dxa"/>
              <w:right w:w="105" w:type="dxa"/>
            </w:tcMar>
          </w:tcPr>
          <w:p w14:paraId="51FFBC5A"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2.32</w:t>
            </w:r>
          </w:p>
        </w:tc>
        <w:tc>
          <w:tcPr>
            <w:tcW w:w="276" w:type="pct"/>
            <w:shd w:val="clear" w:color="auto" w:fill="DADADA" w:themeFill="background2" w:themeFillShade="E6"/>
            <w:tcMar>
              <w:left w:w="105" w:type="dxa"/>
              <w:right w:w="105" w:type="dxa"/>
            </w:tcMar>
          </w:tcPr>
          <w:p w14:paraId="5AE99F3C"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2.3</w:t>
            </w:r>
          </w:p>
        </w:tc>
        <w:tc>
          <w:tcPr>
            <w:tcW w:w="254" w:type="pct"/>
            <w:tcMar>
              <w:left w:w="105" w:type="dxa"/>
              <w:right w:w="105" w:type="dxa"/>
            </w:tcMar>
          </w:tcPr>
          <w:p w14:paraId="4F8EB922"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2.74</w:t>
            </w:r>
          </w:p>
        </w:tc>
        <w:tc>
          <w:tcPr>
            <w:tcW w:w="254" w:type="pct"/>
            <w:tcMar>
              <w:left w:w="105" w:type="dxa"/>
              <w:right w:w="105" w:type="dxa"/>
            </w:tcMar>
          </w:tcPr>
          <w:p w14:paraId="31611C41"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2.62</w:t>
            </w:r>
          </w:p>
        </w:tc>
        <w:tc>
          <w:tcPr>
            <w:tcW w:w="254" w:type="pct"/>
            <w:shd w:val="clear" w:color="auto" w:fill="DADADA" w:themeFill="background2" w:themeFillShade="E6"/>
            <w:tcMar>
              <w:left w:w="105" w:type="dxa"/>
              <w:right w:w="105" w:type="dxa"/>
            </w:tcMar>
          </w:tcPr>
          <w:p w14:paraId="7585A75A"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2.74</w:t>
            </w:r>
          </w:p>
        </w:tc>
        <w:tc>
          <w:tcPr>
            <w:tcW w:w="254" w:type="pct"/>
            <w:shd w:val="clear" w:color="auto" w:fill="DADADA" w:themeFill="background2" w:themeFillShade="E6"/>
            <w:tcMar>
              <w:left w:w="105" w:type="dxa"/>
              <w:right w:w="105" w:type="dxa"/>
            </w:tcMar>
          </w:tcPr>
          <w:p w14:paraId="23721B50"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2.21</w:t>
            </w:r>
          </w:p>
        </w:tc>
        <w:tc>
          <w:tcPr>
            <w:tcW w:w="254" w:type="pct"/>
            <w:tcMar>
              <w:left w:w="105" w:type="dxa"/>
              <w:right w:w="105" w:type="dxa"/>
            </w:tcMar>
          </w:tcPr>
          <w:p w14:paraId="6B8E8A07"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2.8</w:t>
            </w:r>
          </w:p>
        </w:tc>
        <w:tc>
          <w:tcPr>
            <w:tcW w:w="254" w:type="pct"/>
            <w:tcMar>
              <w:left w:w="105" w:type="dxa"/>
              <w:right w:w="105" w:type="dxa"/>
            </w:tcMar>
          </w:tcPr>
          <w:p w14:paraId="565210B3"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2.81</w:t>
            </w:r>
          </w:p>
        </w:tc>
        <w:tc>
          <w:tcPr>
            <w:tcW w:w="254" w:type="pct"/>
            <w:shd w:val="clear" w:color="auto" w:fill="DADADA" w:themeFill="background2" w:themeFillShade="E6"/>
            <w:tcMar>
              <w:left w:w="105" w:type="dxa"/>
              <w:right w:w="105" w:type="dxa"/>
            </w:tcMar>
          </w:tcPr>
          <w:p w14:paraId="25577B12"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3.32</w:t>
            </w:r>
          </w:p>
        </w:tc>
        <w:tc>
          <w:tcPr>
            <w:tcW w:w="254" w:type="pct"/>
            <w:shd w:val="clear" w:color="auto" w:fill="DADADA" w:themeFill="background2" w:themeFillShade="E6"/>
            <w:tcMar>
              <w:left w:w="105" w:type="dxa"/>
              <w:right w:w="105" w:type="dxa"/>
            </w:tcMar>
          </w:tcPr>
          <w:p w14:paraId="2819256D"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2.95</w:t>
            </w:r>
          </w:p>
        </w:tc>
        <w:tc>
          <w:tcPr>
            <w:tcW w:w="254" w:type="pct"/>
            <w:tcMar>
              <w:left w:w="105" w:type="dxa"/>
              <w:right w:w="105" w:type="dxa"/>
            </w:tcMar>
          </w:tcPr>
          <w:p w14:paraId="67BD8FCD"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2.89</w:t>
            </w:r>
          </w:p>
        </w:tc>
        <w:tc>
          <w:tcPr>
            <w:tcW w:w="254" w:type="pct"/>
            <w:tcMar>
              <w:left w:w="105" w:type="dxa"/>
              <w:right w:w="105" w:type="dxa"/>
            </w:tcMar>
          </w:tcPr>
          <w:p w14:paraId="6E429711"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2.79</w:t>
            </w:r>
          </w:p>
        </w:tc>
        <w:tc>
          <w:tcPr>
            <w:tcW w:w="262" w:type="pct"/>
            <w:shd w:val="clear" w:color="auto" w:fill="DADADA" w:themeFill="background2" w:themeFillShade="E6"/>
            <w:tcMar>
              <w:left w:w="105" w:type="dxa"/>
              <w:right w:w="105" w:type="dxa"/>
            </w:tcMar>
          </w:tcPr>
          <w:p w14:paraId="0BAA6116"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2.75</w:t>
            </w:r>
          </w:p>
        </w:tc>
        <w:tc>
          <w:tcPr>
            <w:tcW w:w="262" w:type="pct"/>
            <w:shd w:val="clear" w:color="auto" w:fill="DADADA" w:themeFill="background2" w:themeFillShade="E6"/>
            <w:tcMar>
              <w:left w:w="105" w:type="dxa"/>
              <w:right w:w="105" w:type="dxa"/>
            </w:tcMar>
          </w:tcPr>
          <w:p w14:paraId="225B50DA"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2.63</w:t>
            </w:r>
          </w:p>
        </w:tc>
        <w:tc>
          <w:tcPr>
            <w:tcW w:w="254" w:type="pct"/>
            <w:tcMar>
              <w:left w:w="105" w:type="dxa"/>
              <w:right w:w="105" w:type="dxa"/>
            </w:tcMar>
          </w:tcPr>
          <w:p w14:paraId="24397617"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3.08</w:t>
            </w:r>
          </w:p>
        </w:tc>
        <w:tc>
          <w:tcPr>
            <w:tcW w:w="254" w:type="pct"/>
            <w:tcMar>
              <w:left w:w="105" w:type="dxa"/>
              <w:right w:w="105" w:type="dxa"/>
            </w:tcMar>
          </w:tcPr>
          <w:p w14:paraId="4B74215A"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2.85</w:t>
            </w:r>
          </w:p>
        </w:tc>
        <w:tc>
          <w:tcPr>
            <w:tcW w:w="251" w:type="pct"/>
            <w:shd w:val="clear" w:color="auto" w:fill="DADADA" w:themeFill="background2" w:themeFillShade="E6"/>
            <w:tcMar>
              <w:left w:w="105" w:type="dxa"/>
              <w:right w:w="105" w:type="dxa"/>
            </w:tcMar>
          </w:tcPr>
          <w:p w14:paraId="41306119"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2.57</w:t>
            </w:r>
          </w:p>
        </w:tc>
        <w:tc>
          <w:tcPr>
            <w:tcW w:w="248" w:type="pct"/>
            <w:shd w:val="clear" w:color="auto" w:fill="DADADA" w:themeFill="background2" w:themeFillShade="E6"/>
            <w:tcMar>
              <w:left w:w="105" w:type="dxa"/>
              <w:right w:w="105" w:type="dxa"/>
            </w:tcMar>
          </w:tcPr>
          <w:p w14:paraId="7809C908"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2.49</w:t>
            </w:r>
          </w:p>
        </w:tc>
      </w:tr>
      <w:tr w:rsidR="002B6683" w:rsidRPr="00DA2128" w14:paraId="377FF7AA" w14:textId="77777777" w:rsidTr="00B605CC">
        <w:trPr>
          <w:trHeight w:val="300"/>
        </w:trPr>
        <w:tc>
          <w:tcPr>
            <w:tcW w:w="376" w:type="pct"/>
            <w:tcMar>
              <w:left w:w="105" w:type="dxa"/>
              <w:right w:w="105" w:type="dxa"/>
            </w:tcMar>
          </w:tcPr>
          <w:p w14:paraId="78419A20"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60</w:t>
            </w:r>
          </w:p>
        </w:tc>
        <w:tc>
          <w:tcPr>
            <w:tcW w:w="275" w:type="pct"/>
            <w:shd w:val="clear" w:color="auto" w:fill="DADADA" w:themeFill="background2" w:themeFillShade="E6"/>
            <w:tcMar>
              <w:left w:w="105" w:type="dxa"/>
              <w:right w:w="105" w:type="dxa"/>
            </w:tcMar>
          </w:tcPr>
          <w:p w14:paraId="07C2A614"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2.89</w:t>
            </w:r>
          </w:p>
        </w:tc>
        <w:tc>
          <w:tcPr>
            <w:tcW w:w="276" w:type="pct"/>
            <w:shd w:val="clear" w:color="auto" w:fill="DADADA" w:themeFill="background2" w:themeFillShade="E6"/>
            <w:tcMar>
              <w:left w:w="105" w:type="dxa"/>
              <w:right w:w="105" w:type="dxa"/>
            </w:tcMar>
          </w:tcPr>
          <w:p w14:paraId="516A08D5"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2.51</w:t>
            </w:r>
          </w:p>
        </w:tc>
        <w:tc>
          <w:tcPr>
            <w:tcW w:w="254" w:type="pct"/>
            <w:tcMar>
              <w:left w:w="105" w:type="dxa"/>
              <w:right w:w="105" w:type="dxa"/>
            </w:tcMar>
          </w:tcPr>
          <w:p w14:paraId="6BE1BCBA"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3.31</w:t>
            </w:r>
          </w:p>
        </w:tc>
        <w:tc>
          <w:tcPr>
            <w:tcW w:w="254" w:type="pct"/>
            <w:tcMar>
              <w:left w:w="105" w:type="dxa"/>
              <w:right w:w="105" w:type="dxa"/>
            </w:tcMar>
          </w:tcPr>
          <w:p w14:paraId="4E12143F"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2.6</w:t>
            </w:r>
          </w:p>
        </w:tc>
        <w:tc>
          <w:tcPr>
            <w:tcW w:w="254" w:type="pct"/>
            <w:shd w:val="clear" w:color="auto" w:fill="DADADA" w:themeFill="background2" w:themeFillShade="E6"/>
            <w:tcMar>
              <w:left w:w="105" w:type="dxa"/>
              <w:right w:w="105" w:type="dxa"/>
            </w:tcMar>
          </w:tcPr>
          <w:p w14:paraId="269F8549"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3.31</w:t>
            </w:r>
          </w:p>
        </w:tc>
        <w:tc>
          <w:tcPr>
            <w:tcW w:w="254" w:type="pct"/>
            <w:shd w:val="clear" w:color="auto" w:fill="DADADA" w:themeFill="background2" w:themeFillShade="E6"/>
            <w:tcMar>
              <w:left w:w="105" w:type="dxa"/>
              <w:right w:w="105" w:type="dxa"/>
            </w:tcMar>
          </w:tcPr>
          <w:p w14:paraId="50C91789"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2.42</w:t>
            </w:r>
          </w:p>
        </w:tc>
        <w:tc>
          <w:tcPr>
            <w:tcW w:w="254" w:type="pct"/>
            <w:tcMar>
              <w:left w:w="105" w:type="dxa"/>
              <w:right w:w="105" w:type="dxa"/>
            </w:tcMar>
          </w:tcPr>
          <w:p w14:paraId="4D98D0B0"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3.25</w:t>
            </w:r>
          </w:p>
        </w:tc>
        <w:tc>
          <w:tcPr>
            <w:tcW w:w="254" w:type="pct"/>
            <w:tcMar>
              <w:left w:w="105" w:type="dxa"/>
              <w:right w:w="105" w:type="dxa"/>
            </w:tcMar>
          </w:tcPr>
          <w:p w14:paraId="7A8ADBAE"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2.57</w:t>
            </w:r>
          </w:p>
        </w:tc>
        <w:tc>
          <w:tcPr>
            <w:tcW w:w="254" w:type="pct"/>
            <w:shd w:val="clear" w:color="auto" w:fill="DADADA" w:themeFill="background2" w:themeFillShade="E6"/>
            <w:tcMar>
              <w:left w:w="105" w:type="dxa"/>
              <w:right w:w="105" w:type="dxa"/>
            </w:tcMar>
          </w:tcPr>
          <w:p w14:paraId="3C1AAA0E"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3.27</w:t>
            </w:r>
          </w:p>
        </w:tc>
        <w:tc>
          <w:tcPr>
            <w:tcW w:w="254" w:type="pct"/>
            <w:shd w:val="clear" w:color="auto" w:fill="DADADA" w:themeFill="background2" w:themeFillShade="E6"/>
            <w:tcMar>
              <w:left w:w="105" w:type="dxa"/>
              <w:right w:w="105" w:type="dxa"/>
            </w:tcMar>
          </w:tcPr>
          <w:p w14:paraId="65FAC110"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2.78</w:t>
            </w:r>
          </w:p>
        </w:tc>
        <w:tc>
          <w:tcPr>
            <w:tcW w:w="254" w:type="pct"/>
            <w:tcMar>
              <w:left w:w="105" w:type="dxa"/>
              <w:right w:w="105" w:type="dxa"/>
            </w:tcMar>
          </w:tcPr>
          <w:p w14:paraId="5FCD64D1"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3.08</w:t>
            </w:r>
          </w:p>
        </w:tc>
        <w:tc>
          <w:tcPr>
            <w:tcW w:w="254" w:type="pct"/>
            <w:tcMar>
              <w:left w:w="105" w:type="dxa"/>
              <w:right w:w="105" w:type="dxa"/>
            </w:tcMar>
          </w:tcPr>
          <w:p w14:paraId="65A1963E"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2.5</w:t>
            </w:r>
          </w:p>
        </w:tc>
        <w:tc>
          <w:tcPr>
            <w:tcW w:w="262" w:type="pct"/>
            <w:shd w:val="clear" w:color="auto" w:fill="DADADA" w:themeFill="background2" w:themeFillShade="E6"/>
            <w:tcMar>
              <w:left w:w="105" w:type="dxa"/>
              <w:right w:w="105" w:type="dxa"/>
            </w:tcMar>
          </w:tcPr>
          <w:p w14:paraId="030DAD15"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3.11</w:t>
            </w:r>
          </w:p>
        </w:tc>
        <w:tc>
          <w:tcPr>
            <w:tcW w:w="262" w:type="pct"/>
            <w:shd w:val="clear" w:color="auto" w:fill="DADADA" w:themeFill="background2" w:themeFillShade="E6"/>
            <w:tcMar>
              <w:left w:w="105" w:type="dxa"/>
              <w:right w:w="105" w:type="dxa"/>
            </w:tcMar>
          </w:tcPr>
          <w:p w14:paraId="3EB5A8F7"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2.69</w:t>
            </w:r>
          </w:p>
        </w:tc>
        <w:tc>
          <w:tcPr>
            <w:tcW w:w="254" w:type="pct"/>
            <w:tcMar>
              <w:left w:w="105" w:type="dxa"/>
              <w:right w:w="105" w:type="dxa"/>
            </w:tcMar>
          </w:tcPr>
          <w:p w14:paraId="5A1FD742"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3.1</w:t>
            </w:r>
          </w:p>
        </w:tc>
        <w:tc>
          <w:tcPr>
            <w:tcW w:w="254" w:type="pct"/>
            <w:tcMar>
              <w:left w:w="105" w:type="dxa"/>
              <w:right w:w="105" w:type="dxa"/>
            </w:tcMar>
          </w:tcPr>
          <w:p w14:paraId="1291F36B"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2.52</w:t>
            </w:r>
          </w:p>
        </w:tc>
        <w:tc>
          <w:tcPr>
            <w:tcW w:w="251" w:type="pct"/>
            <w:shd w:val="clear" w:color="auto" w:fill="DADADA" w:themeFill="background2" w:themeFillShade="E6"/>
            <w:tcMar>
              <w:left w:w="105" w:type="dxa"/>
              <w:right w:w="105" w:type="dxa"/>
            </w:tcMar>
          </w:tcPr>
          <w:p w14:paraId="04340DB1"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3.3*</w:t>
            </w:r>
          </w:p>
        </w:tc>
        <w:tc>
          <w:tcPr>
            <w:tcW w:w="248" w:type="pct"/>
            <w:shd w:val="clear" w:color="auto" w:fill="DADADA" w:themeFill="background2" w:themeFillShade="E6"/>
            <w:tcMar>
              <w:left w:w="105" w:type="dxa"/>
              <w:right w:w="105" w:type="dxa"/>
            </w:tcMar>
          </w:tcPr>
          <w:p w14:paraId="5BFDED28"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2.51</w:t>
            </w:r>
          </w:p>
        </w:tc>
      </w:tr>
      <w:tr w:rsidR="002B6683" w:rsidRPr="00DA2128" w14:paraId="082E0063" w14:textId="77777777" w:rsidTr="00B605CC">
        <w:trPr>
          <w:trHeight w:val="300"/>
        </w:trPr>
        <w:tc>
          <w:tcPr>
            <w:tcW w:w="376" w:type="pct"/>
            <w:tcMar>
              <w:left w:w="105" w:type="dxa"/>
              <w:right w:w="105" w:type="dxa"/>
            </w:tcMar>
          </w:tcPr>
          <w:p w14:paraId="434D1052"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63</w:t>
            </w:r>
          </w:p>
        </w:tc>
        <w:tc>
          <w:tcPr>
            <w:tcW w:w="275" w:type="pct"/>
            <w:shd w:val="clear" w:color="auto" w:fill="DADADA" w:themeFill="background2" w:themeFillShade="E6"/>
            <w:tcMar>
              <w:left w:w="105" w:type="dxa"/>
              <w:right w:w="105" w:type="dxa"/>
            </w:tcMar>
          </w:tcPr>
          <w:p w14:paraId="7E77F247"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3.03</w:t>
            </w:r>
          </w:p>
        </w:tc>
        <w:tc>
          <w:tcPr>
            <w:tcW w:w="276" w:type="pct"/>
            <w:shd w:val="clear" w:color="auto" w:fill="DADADA" w:themeFill="background2" w:themeFillShade="E6"/>
            <w:tcMar>
              <w:left w:w="105" w:type="dxa"/>
              <w:right w:w="105" w:type="dxa"/>
            </w:tcMar>
          </w:tcPr>
          <w:p w14:paraId="5A967B7D"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2.68</w:t>
            </w:r>
          </w:p>
        </w:tc>
        <w:tc>
          <w:tcPr>
            <w:tcW w:w="254" w:type="pct"/>
            <w:tcMar>
              <w:left w:w="105" w:type="dxa"/>
              <w:right w:w="105" w:type="dxa"/>
            </w:tcMar>
          </w:tcPr>
          <w:p w14:paraId="5A0C4140"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3.26</w:t>
            </w:r>
          </w:p>
        </w:tc>
        <w:tc>
          <w:tcPr>
            <w:tcW w:w="254" w:type="pct"/>
            <w:tcMar>
              <w:left w:w="105" w:type="dxa"/>
              <w:right w:w="105" w:type="dxa"/>
            </w:tcMar>
          </w:tcPr>
          <w:p w14:paraId="23302219"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2.83</w:t>
            </w:r>
          </w:p>
        </w:tc>
        <w:tc>
          <w:tcPr>
            <w:tcW w:w="254" w:type="pct"/>
            <w:shd w:val="clear" w:color="auto" w:fill="DADADA" w:themeFill="background2" w:themeFillShade="E6"/>
            <w:tcMar>
              <w:left w:w="105" w:type="dxa"/>
              <w:right w:w="105" w:type="dxa"/>
            </w:tcMar>
          </w:tcPr>
          <w:p w14:paraId="0898D780"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3.26</w:t>
            </w:r>
          </w:p>
        </w:tc>
        <w:tc>
          <w:tcPr>
            <w:tcW w:w="254" w:type="pct"/>
            <w:shd w:val="clear" w:color="auto" w:fill="DADADA" w:themeFill="background2" w:themeFillShade="E6"/>
            <w:tcMar>
              <w:left w:w="105" w:type="dxa"/>
              <w:right w:w="105" w:type="dxa"/>
            </w:tcMar>
          </w:tcPr>
          <w:p w14:paraId="6A9008BD"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2.5</w:t>
            </w:r>
          </w:p>
        </w:tc>
        <w:tc>
          <w:tcPr>
            <w:tcW w:w="254" w:type="pct"/>
            <w:tcMar>
              <w:left w:w="105" w:type="dxa"/>
              <w:right w:w="105" w:type="dxa"/>
            </w:tcMar>
          </w:tcPr>
          <w:p w14:paraId="32AC2030"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3.33</w:t>
            </w:r>
          </w:p>
        </w:tc>
        <w:tc>
          <w:tcPr>
            <w:tcW w:w="254" w:type="pct"/>
            <w:tcMar>
              <w:left w:w="105" w:type="dxa"/>
              <w:right w:w="105" w:type="dxa"/>
            </w:tcMar>
          </w:tcPr>
          <w:p w14:paraId="105BB000"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2.76</w:t>
            </w:r>
          </w:p>
        </w:tc>
        <w:tc>
          <w:tcPr>
            <w:tcW w:w="254" w:type="pct"/>
            <w:shd w:val="clear" w:color="auto" w:fill="DADADA" w:themeFill="background2" w:themeFillShade="E6"/>
            <w:tcMar>
              <w:left w:w="105" w:type="dxa"/>
              <w:right w:w="105" w:type="dxa"/>
            </w:tcMar>
          </w:tcPr>
          <w:p w14:paraId="287BAC52"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3.38</w:t>
            </w:r>
          </w:p>
        </w:tc>
        <w:tc>
          <w:tcPr>
            <w:tcW w:w="254" w:type="pct"/>
            <w:shd w:val="clear" w:color="auto" w:fill="DADADA" w:themeFill="background2" w:themeFillShade="E6"/>
            <w:tcMar>
              <w:left w:w="105" w:type="dxa"/>
              <w:right w:w="105" w:type="dxa"/>
            </w:tcMar>
          </w:tcPr>
          <w:p w14:paraId="2B8E81BC"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2.97</w:t>
            </w:r>
          </w:p>
        </w:tc>
        <w:tc>
          <w:tcPr>
            <w:tcW w:w="254" w:type="pct"/>
            <w:tcMar>
              <w:left w:w="105" w:type="dxa"/>
              <w:right w:w="105" w:type="dxa"/>
            </w:tcMar>
          </w:tcPr>
          <w:p w14:paraId="1513C8C4"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3.22</w:t>
            </w:r>
          </w:p>
        </w:tc>
        <w:tc>
          <w:tcPr>
            <w:tcW w:w="254" w:type="pct"/>
            <w:tcMar>
              <w:left w:w="105" w:type="dxa"/>
              <w:right w:w="105" w:type="dxa"/>
            </w:tcMar>
          </w:tcPr>
          <w:p w14:paraId="3309B4E9"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2.68</w:t>
            </w:r>
          </w:p>
        </w:tc>
        <w:tc>
          <w:tcPr>
            <w:tcW w:w="262" w:type="pct"/>
            <w:shd w:val="clear" w:color="auto" w:fill="DADADA" w:themeFill="background2" w:themeFillShade="E6"/>
            <w:tcMar>
              <w:left w:w="105" w:type="dxa"/>
              <w:right w:w="105" w:type="dxa"/>
            </w:tcMar>
          </w:tcPr>
          <w:p w14:paraId="166E20D8"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3.06</w:t>
            </w:r>
          </w:p>
        </w:tc>
        <w:tc>
          <w:tcPr>
            <w:tcW w:w="262" w:type="pct"/>
            <w:shd w:val="clear" w:color="auto" w:fill="DADADA" w:themeFill="background2" w:themeFillShade="E6"/>
            <w:tcMar>
              <w:left w:w="105" w:type="dxa"/>
              <w:right w:w="105" w:type="dxa"/>
            </w:tcMar>
          </w:tcPr>
          <w:p w14:paraId="19EEBBEA"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2.77</w:t>
            </w:r>
          </w:p>
        </w:tc>
        <w:tc>
          <w:tcPr>
            <w:tcW w:w="254" w:type="pct"/>
            <w:tcMar>
              <w:left w:w="105" w:type="dxa"/>
              <w:right w:w="105" w:type="dxa"/>
            </w:tcMar>
          </w:tcPr>
          <w:p w14:paraId="76ABB162"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3.14</w:t>
            </w:r>
          </w:p>
        </w:tc>
        <w:tc>
          <w:tcPr>
            <w:tcW w:w="254" w:type="pct"/>
            <w:tcMar>
              <w:left w:w="105" w:type="dxa"/>
              <w:right w:w="105" w:type="dxa"/>
            </w:tcMar>
          </w:tcPr>
          <w:p w14:paraId="33C0F157"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2.85</w:t>
            </w:r>
          </w:p>
        </w:tc>
        <w:tc>
          <w:tcPr>
            <w:tcW w:w="251" w:type="pct"/>
            <w:shd w:val="clear" w:color="auto" w:fill="DADADA" w:themeFill="background2" w:themeFillShade="E6"/>
            <w:tcMar>
              <w:left w:w="105" w:type="dxa"/>
              <w:right w:w="105" w:type="dxa"/>
            </w:tcMar>
          </w:tcPr>
          <w:p w14:paraId="0BF77073"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w:t>
            </w:r>
          </w:p>
        </w:tc>
        <w:tc>
          <w:tcPr>
            <w:tcW w:w="248" w:type="pct"/>
            <w:shd w:val="clear" w:color="auto" w:fill="DADADA" w:themeFill="background2" w:themeFillShade="E6"/>
            <w:tcMar>
              <w:left w:w="105" w:type="dxa"/>
              <w:right w:w="105" w:type="dxa"/>
            </w:tcMar>
          </w:tcPr>
          <w:p w14:paraId="2EA19716"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2.51</w:t>
            </w:r>
          </w:p>
        </w:tc>
      </w:tr>
      <w:tr w:rsidR="002B6683" w:rsidRPr="00DA2128" w14:paraId="5BBA95F0" w14:textId="77777777" w:rsidTr="00B605CC">
        <w:trPr>
          <w:trHeight w:val="300"/>
        </w:trPr>
        <w:tc>
          <w:tcPr>
            <w:tcW w:w="376" w:type="pct"/>
            <w:tcMar>
              <w:left w:w="105" w:type="dxa"/>
              <w:right w:w="105" w:type="dxa"/>
            </w:tcMar>
          </w:tcPr>
          <w:p w14:paraId="67D17DD3"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64</w:t>
            </w:r>
          </w:p>
        </w:tc>
        <w:tc>
          <w:tcPr>
            <w:tcW w:w="275" w:type="pct"/>
            <w:shd w:val="clear" w:color="auto" w:fill="DADADA" w:themeFill="background2" w:themeFillShade="E6"/>
            <w:tcMar>
              <w:left w:w="105" w:type="dxa"/>
              <w:right w:w="105" w:type="dxa"/>
            </w:tcMar>
          </w:tcPr>
          <w:p w14:paraId="6AD4F9C4"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3.24</w:t>
            </w:r>
          </w:p>
        </w:tc>
        <w:tc>
          <w:tcPr>
            <w:tcW w:w="276" w:type="pct"/>
            <w:shd w:val="clear" w:color="auto" w:fill="DADADA" w:themeFill="background2" w:themeFillShade="E6"/>
            <w:tcMar>
              <w:left w:w="105" w:type="dxa"/>
              <w:right w:w="105" w:type="dxa"/>
            </w:tcMar>
          </w:tcPr>
          <w:p w14:paraId="077EC68C"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2.81</w:t>
            </w:r>
          </w:p>
        </w:tc>
        <w:tc>
          <w:tcPr>
            <w:tcW w:w="254" w:type="pct"/>
            <w:tcMar>
              <w:left w:w="105" w:type="dxa"/>
              <w:right w:w="105" w:type="dxa"/>
            </w:tcMar>
          </w:tcPr>
          <w:p w14:paraId="2593A388"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3.18</w:t>
            </w:r>
          </w:p>
        </w:tc>
        <w:tc>
          <w:tcPr>
            <w:tcW w:w="254" w:type="pct"/>
            <w:tcMar>
              <w:left w:w="105" w:type="dxa"/>
              <w:right w:w="105" w:type="dxa"/>
            </w:tcMar>
          </w:tcPr>
          <w:p w14:paraId="2BF55480"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3</w:t>
            </w:r>
          </w:p>
        </w:tc>
        <w:tc>
          <w:tcPr>
            <w:tcW w:w="254" w:type="pct"/>
            <w:shd w:val="clear" w:color="auto" w:fill="DADADA" w:themeFill="background2" w:themeFillShade="E6"/>
            <w:tcMar>
              <w:left w:w="105" w:type="dxa"/>
              <w:right w:w="105" w:type="dxa"/>
            </w:tcMar>
          </w:tcPr>
          <w:p w14:paraId="7DB77FE6"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3.18</w:t>
            </w:r>
          </w:p>
        </w:tc>
        <w:tc>
          <w:tcPr>
            <w:tcW w:w="254" w:type="pct"/>
            <w:shd w:val="clear" w:color="auto" w:fill="DADADA" w:themeFill="background2" w:themeFillShade="E6"/>
            <w:tcMar>
              <w:left w:w="105" w:type="dxa"/>
              <w:right w:w="105" w:type="dxa"/>
            </w:tcMar>
          </w:tcPr>
          <w:p w14:paraId="03B28CC0"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2.77</w:t>
            </w:r>
          </w:p>
        </w:tc>
        <w:tc>
          <w:tcPr>
            <w:tcW w:w="254" w:type="pct"/>
            <w:tcMar>
              <w:left w:w="105" w:type="dxa"/>
              <w:right w:w="105" w:type="dxa"/>
            </w:tcMar>
          </w:tcPr>
          <w:p w14:paraId="73CE4E54"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3.1</w:t>
            </w:r>
          </w:p>
        </w:tc>
        <w:tc>
          <w:tcPr>
            <w:tcW w:w="254" w:type="pct"/>
            <w:tcMar>
              <w:left w:w="105" w:type="dxa"/>
              <w:right w:w="105" w:type="dxa"/>
            </w:tcMar>
          </w:tcPr>
          <w:p w14:paraId="4C9FEFA4"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2.66</w:t>
            </w:r>
          </w:p>
        </w:tc>
        <w:tc>
          <w:tcPr>
            <w:tcW w:w="254" w:type="pct"/>
            <w:shd w:val="clear" w:color="auto" w:fill="DADADA" w:themeFill="background2" w:themeFillShade="E6"/>
            <w:tcMar>
              <w:left w:w="105" w:type="dxa"/>
              <w:right w:w="105" w:type="dxa"/>
            </w:tcMar>
          </w:tcPr>
          <w:p w14:paraId="2EB93BA0"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3.47*</w:t>
            </w:r>
          </w:p>
        </w:tc>
        <w:tc>
          <w:tcPr>
            <w:tcW w:w="254" w:type="pct"/>
            <w:shd w:val="clear" w:color="auto" w:fill="DADADA" w:themeFill="background2" w:themeFillShade="E6"/>
            <w:tcMar>
              <w:left w:w="105" w:type="dxa"/>
              <w:right w:w="105" w:type="dxa"/>
            </w:tcMar>
          </w:tcPr>
          <w:p w14:paraId="133122D3"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3.14*</w:t>
            </w:r>
          </w:p>
        </w:tc>
        <w:tc>
          <w:tcPr>
            <w:tcW w:w="254" w:type="pct"/>
            <w:tcMar>
              <w:left w:w="105" w:type="dxa"/>
              <w:right w:w="105" w:type="dxa"/>
            </w:tcMar>
          </w:tcPr>
          <w:p w14:paraId="5F11A6E2"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3.34</w:t>
            </w:r>
          </w:p>
        </w:tc>
        <w:tc>
          <w:tcPr>
            <w:tcW w:w="254" w:type="pct"/>
            <w:tcMar>
              <w:left w:w="105" w:type="dxa"/>
              <w:right w:w="105" w:type="dxa"/>
            </w:tcMar>
          </w:tcPr>
          <w:p w14:paraId="433C08B7"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2.85</w:t>
            </w:r>
          </w:p>
        </w:tc>
        <w:tc>
          <w:tcPr>
            <w:tcW w:w="262" w:type="pct"/>
            <w:shd w:val="clear" w:color="auto" w:fill="DADADA" w:themeFill="background2" w:themeFillShade="E6"/>
            <w:tcMar>
              <w:left w:w="105" w:type="dxa"/>
              <w:right w:w="105" w:type="dxa"/>
            </w:tcMar>
          </w:tcPr>
          <w:p w14:paraId="71271B6F"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3.31</w:t>
            </w:r>
          </w:p>
        </w:tc>
        <w:tc>
          <w:tcPr>
            <w:tcW w:w="262" w:type="pct"/>
            <w:shd w:val="clear" w:color="auto" w:fill="DADADA" w:themeFill="background2" w:themeFillShade="E6"/>
            <w:tcMar>
              <w:left w:w="105" w:type="dxa"/>
              <w:right w:w="105" w:type="dxa"/>
            </w:tcMar>
          </w:tcPr>
          <w:p w14:paraId="0454720E"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2.86</w:t>
            </w:r>
          </w:p>
        </w:tc>
        <w:tc>
          <w:tcPr>
            <w:tcW w:w="254" w:type="pct"/>
            <w:tcMar>
              <w:left w:w="105" w:type="dxa"/>
              <w:right w:w="105" w:type="dxa"/>
            </w:tcMar>
          </w:tcPr>
          <w:p w14:paraId="36A838F6"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3.45</w:t>
            </w:r>
          </w:p>
        </w:tc>
        <w:tc>
          <w:tcPr>
            <w:tcW w:w="254" w:type="pct"/>
            <w:tcMar>
              <w:left w:w="105" w:type="dxa"/>
              <w:right w:w="105" w:type="dxa"/>
            </w:tcMar>
          </w:tcPr>
          <w:p w14:paraId="6E9DFFD8"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2.96</w:t>
            </w:r>
          </w:p>
        </w:tc>
        <w:tc>
          <w:tcPr>
            <w:tcW w:w="251" w:type="pct"/>
            <w:shd w:val="clear" w:color="auto" w:fill="DADADA" w:themeFill="background2" w:themeFillShade="E6"/>
            <w:tcMar>
              <w:left w:w="105" w:type="dxa"/>
              <w:right w:w="105" w:type="dxa"/>
            </w:tcMar>
          </w:tcPr>
          <w:p w14:paraId="3E6CF070"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3.05</w:t>
            </w:r>
          </w:p>
        </w:tc>
        <w:tc>
          <w:tcPr>
            <w:tcW w:w="248" w:type="pct"/>
            <w:shd w:val="clear" w:color="auto" w:fill="DADADA" w:themeFill="background2" w:themeFillShade="E6"/>
            <w:tcMar>
              <w:left w:w="105" w:type="dxa"/>
              <w:right w:w="105" w:type="dxa"/>
            </w:tcMar>
          </w:tcPr>
          <w:p w14:paraId="7450D2F9"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2.43</w:t>
            </w:r>
          </w:p>
        </w:tc>
      </w:tr>
      <w:tr w:rsidR="002B6683" w:rsidRPr="00DA2128" w14:paraId="58AA7CBC" w14:textId="77777777" w:rsidTr="00B605CC">
        <w:trPr>
          <w:trHeight w:val="300"/>
        </w:trPr>
        <w:tc>
          <w:tcPr>
            <w:tcW w:w="376" w:type="pct"/>
            <w:tcMar>
              <w:left w:w="105" w:type="dxa"/>
              <w:right w:w="105" w:type="dxa"/>
            </w:tcMar>
          </w:tcPr>
          <w:p w14:paraId="2016FF37"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65</w:t>
            </w:r>
          </w:p>
        </w:tc>
        <w:tc>
          <w:tcPr>
            <w:tcW w:w="275" w:type="pct"/>
            <w:shd w:val="clear" w:color="auto" w:fill="DADADA" w:themeFill="background2" w:themeFillShade="E6"/>
            <w:tcMar>
              <w:left w:w="105" w:type="dxa"/>
              <w:right w:w="105" w:type="dxa"/>
            </w:tcMar>
          </w:tcPr>
          <w:p w14:paraId="2D49B174"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3.38</w:t>
            </w:r>
          </w:p>
        </w:tc>
        <w:tc>
          <w:tcPr>
            <w:tcW w:w="276" w:type="pct"/>
            <w:shd w:val="clear" w:color="auto" w:fill="DADADA" w:themeFill="background2" w:themeFillShade="E6"/>
            <w:tcMar>
              <w:left w:w="105" w:type="dxa"/>
              <w:right w:w="105" w:type="dxa"/>
            </w:tcMar>
          </w:tcPr>
          <w:p w14:paraId="7F298C20"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2.84</w:t>
            </w:r>
          </w:p>
        </w:tc>
        <w:tc>
          <w:tcPr>
            <w:tcW w:w="254" w:type="pct"/>
            <w:tcMar>
              <w:left w:w="105" w:type="dxa"/>
              <w:right w:w="105" w:type="dxa"/>
            </w:tcMar>
          </w:tcPr>
          <w:p w14:paraId="77F1916C"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3.49*</w:t>
            </w:r>
          </w:p>
        </w:tc>
        <w:tc>
          <w:tcPr>
            <w:tcW w:w="254" w:type="pct"/>
            <w:tcMar>
              <w:left w:w="105" w:type="dxa"/>
              <w:right w:w="105" w:type="dxa"/>
            </w:tcMar>
          </w:tcPr>
          <w:p w14:paraId="0964C85C"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3.03*</w:t>
            </w:r>
          </w:p>
        </w:tc>
        <w:tc>
          <w:tcPr>
            <w:tcW w:w="254" w:type="pct"/>
            <w:shd w:val="clear" w:color="auto" w:fill="DADADA" w:themeFill="background2" w:themeFillShade="E6"/>
            <w:tcMar>
              <w:left w:w="105" w:type="dxa"/>
              <w:right w:w="105" w:type="dxa"/>
            </w:tcMar>
          </w:tcPr>
          <w:p w14:paraId="7A672917"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3.49*</w:t>
            </w:r>
          </w:p>
        </w:tc>
        <w:tc>
          <w:tcPr>
            <w:tcW w:w="254" w:type="pct"/>
            <w:shd w:val="clear" w:color="auto" w:fill="DADADA" w:themeFill="background2" w:themeFillShade="E6"/>
            <w:tcMar>
              <w:left w:w="105" w:type="dxa"/>
              <w:right w:w="105" w:type="dxa"/>
            </w:tcMar>
          </w:tcPr>
          <w:p w14:paraId="62A055FC"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w:t>
            </w:r>
          </w:p>
        </w:tc>
        <w:tc>
          <w:tcPr>
            <w:tcW w:w="254" w:type="pct"/>
            <w:tcMar>
              <w:left w:w="105" w:type="dxa"/>
              <w:right w:w="105" w:type="dxa"/>
            </w:tcMar>
          </w:tcPr>
          <w:p w14:paraId="3C0F7D7D"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3.38</w:t>
            </w:r>
          </w:p>
        </w:tc>
        <w:tc>
          <w:tcPr>
            <w:tcW w:w="254" w:type="pct"/>
            <w:tcMar>
              <w:left w:w="105" w:type="dxa"/>
              <w:right w:w="105" w:type="dxa"/>
            </w:tcMar>
          </w:tcPr>
          <w:p w14:paraId="394DEF30"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2.59</w:t>
            </w:r>
          </w:p>
        </w:tc>
        <w:tc>
          <w:tcPr>
            <w:tcW w:w="254" w:type="pct"/>
            <w:shd w:val="clear" w:color="auto" w:fill="DADADA" w:themeFill="background2" w:themeFillShade="E6"/>
            <w:tcMar>
              <w:left w:w="105" w:type="dxa"/>
              <w:right w:w="105" w:type="dxa"/>
            </w:tcMar>
          </w:tcPr>
          <w:p w14:paraId="7DDDE8EA"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3.42</w:t>
            </w:r>
          </w:p>
        </w:tc>
        <w:tc>
          <w:tcPr>
            <w:tcW w:w="254" w:type="pct"/>
            <w:shd w:val="clear" w:color="auto" w:fill="DADADA" w:themeFill="background2" w:themeFillShade="E6"/>
            <w:tcMar>
              <w:left w:w="105" w:type="dxa"/>
              <w:right w:w="105" w:type="dxa"/>
            </w:tcMar>
          </w:tcPr>
          <w:p w14:paraId="453D491A"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3.11</w:t>
            </w:r>
          </w:p>
        </w:tc>
        <w:tc>
          <w:tcPr>
            <w:tcW w:w="254" w:type="pct"/>
            <w:tcMar>
              <w:left w:w="105" w:type="dxa"/>
              <w:right w:w="105" w:type="dxa"/>
            </w:tcMar>
          </w:tcPr>
          <w:p w14:paraId="5B2A3A18"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3.34</w:t>
            </w:r>
          </w:p>
        </w:tc>
        <w:tc>
          <w:tcPr>
            <w:tcW w:w="254" w:type="pct"/>
            <w:tcMar>
              <w:left w:w="105" w:type="dxa"/>
              <w:right w:w="105" w:type="dxa"/>
            </w:tcMar>
          </w:tcPr>
          <w:p w14:paraId="7E0387C7"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2.91</w:t>
            </w:r>
          </w:p>
        </w:tc>
        <w:tc>
          <w:tcPr>
            <w:tcW w:w="262" w:type="pct"/>
            <w:shd w:val="clear" w:color="auto" w:fill="DADADA" w:themeFill="background2" w:themeFillShade="E6"/>
            <w:tcMar>
              <w:left w:w="105" w:type="dxa"/>
              <w:right w:w="105" w:type="dxa"/>
            </w:tcMar>
          </w:tcPr>
          <w:p w14:paraId="687CCE0F"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3.36*</w:t>
            </w:r>
          </w:p>
        </w:tc>
        <w:tc>
          <w:tcPr>
            <w:tcW w:w="262" w:type="pct"/>
            <w:shd w:val="clear" w:color="auto" w:fill="DADADA" w:themeFill="background2" w:themeFillShade="E6"/>
            <w:tcMar>
              <w:left w:w="105" w:type="dxa"/>
              <w:right w:w="105" w:type="dxa"/>
            </w:tcMar>
          </w:tcPr>
          <w:p w14:paraId="16F9FD87"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w:t>
            </w:r>
          </w:p>
        </w:tc>
        <w:tc>
          <w:tcPr>
            <w:tcW w:w="254" w:type="pct"/>
            <w:tcMar>
              <w:left w:w="105" w:type="dxa"/>
              <w:right w:w="105" w:type="dxa"/>
            </w:tcMar>
          </w:tcPr>
          <w:p w14:paraId="0F7FE2FC"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3.45</w:t>
            </w:r>
          </w:p>
        </w:tc>
        <w:tc>
          <w:tcPr>
            <w:tcW w:w="254" w:type="pct"/>
            <w:tcMar>
              <w:left w:w="105" w:type="dxa"/>
              <w:right w:w="105" w:type="dxa"/>
            </w:tcMar>
          </w:tcPr>
          <w:p w14:paraId="3833A734"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3.06*</w:t>
            </w:r>
          </w:p>
        </w:tc>
        <w:tc>
          <w:tcPr>
            <w:tcW w:w="251" w:type="pct"/>
            <w:shd w:val="clear" w:color="auto" w:fill="DADADA" w:themeFill="background2" w:themeFillShade="E6"/>
            <w:tcMar>
              <w:left w:w="105" w:type="dxa"/>
              <w:right w:w="105" w:type="dxa"/>
            </w:tcMar>
          </w:tcPr>
          <w:p w14:paraId="30A23E93"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3.11</w:t>
            </w:r>
          </w:p>
        </w:tc>
        <w:tc>
          <w:tcPr>
            <w:tcW w:w="248" w:type="pct"/>
            <w:shd w:val="clear" w:color="auto" w:fill="DADADA" w:themeFill="background2" w:themeFillShade="E6"/>
            <w:tcMar>
              <w:left w:w="105" w:type="dxa"/>
              <w:right w:w="105" w:type="dxa"/>
            </w:tcMar>
          </w:tcPr>
          <w:p w14:paraId="5B474838"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2.49</w:t>
            </w:r>
          </w:p>
        </w:tc>
      </w:tr>
      <w:tr w:rsidR="002B6683" w:rsidRPr="00DA2128" w14:paraId="50ED71DC" w14:textId="77777777" w:rsidTr="00B605CC">
        <w:trPr>
          <w:trHeight w:val="300"/>
        </w:trPr>
        <w:tc>
          <w:tcPr>
            <w:tcW w:w="376" w:type="pct"/>
            <w:tcMar>
              <w:left w:w="105" w:type="dxa"/>
              <w:right w:w="105" w:type="dxa"/>
            </w:tcMar>
          </w:tcPr>
          <w:p w14:paraId="1F8023D2"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66</w:t>
            </w:r>
          </w:p>
        </w:tc>
        <w:tc>
          <w:tcPr>
            <w:tcW w:w="275" w:type="pct"/>
            <w:shd w:val="clear" w:color="auto" w:fill="DADADA" w:themeFill="background2" w:themeFillShade="E6"/>
            <w:tcMar>
              <w:left w:w="105" w:type="dxa"/>
              <w:right w:w="105" w:type="dxa"/>
            </w:tcMar>
          </w:tcPr>
          <w:p w14:paraId="11EAFBDE"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2.95</w:t>
            </w:r>
          </w:p>
        </w:tc>
        <w:tc>
          <w:tcPr>
            <w:tcW w:w="276" w:type="pct"/>
            <w:shd w:val="clear" w:color="auto" w:fill="DADADA" w:themeFill="background2" w:themeFillShade="E6"/>
            <w:tcMar>
              <w:left w:w="105" w:type="dxa"/>
              <w:right w:w="105" w:type="dxa"/>
            </w:tcMar>
          </w:tcPr>
          <w:p w14:paraId="7ECD3F8C"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2.61</w:t>
            </w:r>
          </w:p>
        </w:tc>
        <w:tc>
          <w:tcPr>
            <w:tcW w:w="254" w:type="pct"/>
            <w:tcMar>
              <w:left w:w="105" w:type="dxa"/>
              <w:right w:w="105" w:type="dxa"/>
            </w:tcMar>
          </w:tcPr>
          <w:p w14:paraId="230BDE24"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3.05</w:t>
            </w:r>
          </w:p>
        </w:tc>
        <w:tc>
          <w:tcPr>
            <w:tcW w:w="254" w:type="pct"/>
            <w:tcMar>
              <w:left w:w="105" w:type="dxa"/>
              <w:right w:w="105" w:type="dxa"/>
            </w:tcMar>
          </w:tcPr>
          <w:p w14:paraId="1955BD5C"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2.57</w:t>
            </w:r>
          </w:p>
        </w:tc>
        <w:tc>
          <w:tcPr>
            <w:tcW w:w="254" w:type="pct"/>
            <w:shd w:val="clear" w:color="auto" w:fill="DADADA" w:themeFill="background2" w:themeFillShade="E6"/>
            <w:tcMar>
              <w:left w:w="105" w:type="dxa"/>
              <w:right w:w="105" w:type="dxa"/>
            </w:tcMar>
          </w:tcPr>
          <w:p w14:paraId="094E2155"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3.05</w:t>
            </w:r>
          </w:p>
        </w:tc>
        <w:tc>
          <w:tcPr>
            <w:tcW w:w="254" w:type="pct"/>
            <w:shd w:val="clear" w:color="auto" w:fill="DADADA" w:themeFill="background2" w:themeFillShade="E6"/>
            <w:tcMar>
              <w:left w:w="105" w:type="dxa"/>
              <w:right w:w="105" w:type="dxa"/>
            </w:tcMar>
          </w:tcPr>
          <w:p w14:paraId="1561621E"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2.26</w:t>
            </w:r>
          </w:p>
        </w:tc>
        <w:tc>
          <w:tcPr>
            <w:tcW w:w="254" w:type="pct"/>
            <w:tcMar>
              <w:left w:w="105" w:type="dxa"/>
              <w:right w:w="105" w:type="dxa"/>
            </w:tcMar>
          </w:tcPr>
          <w:p w14:paraId="53FDE121"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3.15</w:t>
            </w:r>
          </w:p>
        </w:tc>
        <w:tc>
          <w:tcPr>
            <w:tcW w:w="254" w:type="pct"/>
            <w:tcMar>
              <w:left w:w="105" w:type="dxa"/>
              <w:right w:w="105" w:type="dxa"/>
            </w:tcMar>
          </w:tcPr>
          <w:p w14:paraId="4DB28CB9"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2.47</w:t>
            </w:r>
          </w:p>
        </w:tc>
        <w:tc>
          <w:tcPr>
            <w:tcW w:w="254" w:type="pct"/>
            <w:shd w:val="clear" w:color="auto" w:fill="DADADA" w:themeFill="background2" w:themeFillShade="E6"/>
            <w:tcMar>
              <w:left w:w="105" w:type="dxa"/>
              <w:right w:w="105" w:type="dxa"/>
            </w:tcMar>
          </w:tcPr>
          <w:p w14:paraId="55CD77F6"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3.37</w:t>
            </w:r>
          </w:p>
        </w:tc>
        <w:tc>
          <w:tcPr>
            <w:tcW w:w="254" w:type="pct"/>
            <w:shd w:val="clear" w:color="auto" w:fill="DADADA" w:themeFill="background2" w:themeFillShade="E6"/>
            <w:tcMar>
              <w:left w:w="105" w:type="dxa"/>
              <w:right w:w="105" w:type="dxa"/>
            </w:tcMar>
          </w:tcPr>
          <w:p w14:paraId="468001A4"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2.95</w:t>
            </w:r>
          </w:p>
        </w:tc>
        <w:tc>
          <w:tcPr>
            <w:tcW w:w="254" w:type="pct"/>
            <w:tcMar>
              <w:left w:w="105" w:type="dxa"/>
              <w:right w:w="105" w:type="dxa"/>
            </w:tcMar>
          </w:tcPr>
          <w:p w14:paraId="37CBD249"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3.18</w:t>
            </w:r>
          </w:p>
        </w:tc>
        <w:tc>
          <w:tcPr>
            <w:tcW w:w="254" w:type="pct"/>
            <w:tcMar>
              <w:left w:w="105" w:type="dxa"/>
              <w:right w:w="105" w:type="dxa"/>
            </w:tcMar>
          </w:tcPr>
          <w:p w14:paraId="214F0EF7"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2.97*</w:t>
            </w:r>
          </w:p>
        </w:tc>
        <w:tc>
          <w:tcPr>
            <w:tcW w:w="262" w:type="pct"/>
            <w:shd w:val="clear" w:color="auto" w:fill="DADADA" w:themeFill="background2" w:themeFillShade="E6"/>
            <w:tcMar>
              <w:left w:w="105" w:type="dxa"/>
              <w:right w:w="105" w:type="dxa"/>
            </w:tcMar>
          </w:tcPr>
          <w:p w14:paraId="70FDE867"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3.08</w:t>
            </w:r>
          </w:p>
        </w:tc>
        <w:tc>
          <w:tcPr>
            <w:tcW w:w="262" w:type="pct"/>
            <w:shd w:val="clear" w:color="auto" w:fill="DADADA" w:themeFill="background2" w:themeFillShade="E6"/>
            <w:tcMar>
              <w:left w:w="105" w:type="dxa"/>
              <w:right w:w="105" w:type="dxa"/>
            </w:tcMar>
          </w:tcPr>
          <w:p w14:paraId="57C9ACFB"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2.77</w:t>
            </w:r>
          </w:p>
        </w:tc>
        <w:tc>
          <w:tcPr>
            <w:tcW w:w="254" w:type="pct"/>
            <w:tcMar>
              <w:left w:w="105" w:type="dxa"/>
              <w:right w:w="105" w:type="dxa"/>
            </w:tcMar>
          </w:tcPr>
          <w:p w14:paraId="6EFDF2DF"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3.32</w:t>
            </w:r>
          </w:p>
        </w:tc>
        <w:tc>
          <w:tcPr>
            <w:tcW w:w="254" w:type="pct"/>
            <w:tcMar>
              <w:left w:w="105" w:type="dxa"/>
              <w:right w:w="105" w:type="dxa"/>
            </w:tcMar>
          </w:tcPr>
          <w:p w14:paraId="1F5B3F1D"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w:t>
            </w:r>
          </w:p>
        </w:tc>
        <w:tc>
          <w:tcPr>
            <w:tcW w:w="251" w:type="pct"/>
            <w:shd w:val="clear" w:color="auto" w:fill="DADADA" w:themeFill="background2" w:themeFillShade="E6"/>
            <w:tcMar>
              <w:left w:w="105" w:type="dxa"/>
              <w:right w:w="105" w:type="dxa"/>
            </w:tcMar>
          </w:tcPr>
          <w:p w14:paraId="0A90F6CF"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2.97</w:t>
            </w:r>
          </w:p>
        </w:tc>
        <w:tc>
          <w:tcPr>
            <w:tcW w:w="248" w:type="pct"/>
            <w:shd w:val="clear" w:color="auto" w:fill="DADADA" w:themeFill="background2" w:themeFillShade="E6"/>
            <w:tcMar>
              <w:left w:w="105" w:type="dxa"/>
              <w:right w:w="105" w:type="dxa"/>
            </w:tcMar>
          </w:tcPr>
          <w:p w14:paraId="76590A4F"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2.17</w:t>
            </w:r>
          </w:p>
        </w:tc>
      </w:tr>
      <w:tr w:rsidR="002B6683" w:rsidRPr="00DA2128" w14:paraId="53C9D2F5" w14:textId="77777777" w:rsidTr="00B605CC">
        <w:trPr>
          <w:trHeight w:val="300"/>
        </w:trPr>
        <w:tc>
          <w:tcPr>
            <w:tcW w:w="376" w:type="pct"/>
            <w:tcMar>
              <w:left w:w="105" w:type="dxa"/>
              <w:right w:w="105" w:type="dxa"/>
            </w:tcMar>
          </w:tcPr>
          <w:p w14:paraId="4035D3D2"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67</w:t>
            </w:r>
          </w:p>
        </w:tc>
        <w:tc>
          <w:tcPr>
            <w:tcW w:w="275" w:type="pct"/>
            <w:shd w:val="clear" w:color="auto" w:fill="DADADA" w:themeFill="background2" w:themeFillShade="E6"/>
            <w:tcMar>
              <w:left w:w="105" w:type="dxa"/>
              <w:right w:w="105" w:type="dxa"/>
            </w:tcMar>
          </w:tcPr>
          <w:p w14:paraId="6C0C0364"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2.82</w:t>
            </w:r>
          </w:p>
        </w:tc>
        <w:tc>
          <w:tcPr>
            <w:tcW w:w="276" w:type="pct"/>
            <w:shd w:val="clear" w:color="auto" w:fill="DADADA" w:themeFill="background2" w:themeFillShade="E6"/>
            <w:tcMar>
              <w:left w:w="105" w:type="dxa"/>
              <w:right w:w="105" w:type="dxa"/>
            </w:tcMar>
          </w:tcPr>
          <w:p w14:paraId="23EB06F2"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2.68</w:t>
            </w:r>
          </w:p>
        </w:tc>
        <w:tc>
          <w:tcPr>
            <w:tcW w:w="254" w:type="pct"/>
            <w:tcMar>
              <w:left w:w="105" w:type="dxa"/>
              <w:right w:w="105" w:type="dxa"/>
            </w:tcMar>
          </w:tcPr>
          <w:p w14:paraId="0A762FE2"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3.05</w:t>
            </w:r>
          </w:p>
        </w:tc>
        <w:tc>
          <w:tcPr>
            <w:tcW w:w="254" w:type="pct"/>
            <w:tcMar>
              <w:left w:w="105" w:type="dxa"/>
              <w:right w:w="105" w:type="dxa"/>
            </w:tcMar>
          </w:tcPr>
          <w:p w14:paraId="7317ACE4"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2.71</w:t>
            </w:r>
          </w:p>
        </w:tc>
        <w:tc>
          <w:tcPr>
            <w:tcW w:w="254" w:type="pct"/>
            <w:shd w:val="clear" w:color="auto" w:fill="DADADA" w:themeFill="background2" w:themeFillShade="E6"/>
            <w:tcMar>
              <w:left w:w="105" w:type="dxa"/>
              <w:right w:w="105" w:type="dxa"/>
            </w:tcMar>
          </w:tcPr>
          <w:p w14:paraId="6E50A514"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3.05</w:t>
            </w:r>
          </w:p>
        </w:tc>
        <w:tc>
          <w:tcPr>
            <w:tcW w:w="254" w:type="pct"/>
            <w:shd w:val="clear" w:color="auto" w:fill="DADADA" w:themeFill="background2" w:themeFillShade="E6"/>
            <w:tcMar>
              <w:left w:w="105" w:type="dxa"/>
              <w:right w:w="105" w:type="dxa"/>
            </w:tcMar>
          </w:tcPr>
          <w:p w14:paraId="26D9F304"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2.71</w:t>
            </w:r>
          </w:p>
        </w:tc>
        <w:tc>
          <w:tcPr>
            <w:tcW w:w="254" w:type="pct"/>
            <w:tcMar>
              <w:left w:w="105" w:type="dxa"/>
              <w:right w:w="105" w:type="dxa"/>
            </w:tcMar>
          </w:tcPr>
          <w:p w14:paraId="124CB8F2"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2.63</w:t>
            </w:r>
          </w:p>
        </w:tc>
        <w:tc>
          <w:tcPr>
            <w:tcW w:w="254" w:type="pct"/>
            <w:tcMar>
              <w:left w:w="105" w:type="dxa"/>
              <w:right w:w="105" w:type="dxa"/>
            </w:tcMar>
          </w:tcPr>
          <w:p w14:paraId="245FE33F"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2.35</w:t>
            </w:r>
          </w:p>
        </w:tc>
        <w:tc>
          <w:tcPr>
            <w:tcW w:w="254" w:type="pct"/>
            <w:shd w:val="clear" w:color="auto" w:fill="DADADA" w:themeFill="background2" w:themeFillShade="E6"/>
            <w:tcMar>
              <w:left w:w="105" w:type="dxa"/>
              <w:right w:w="105" w:type="dxa"/>
            </w:tcMar>
          </w:tcPr>
          <w:p w14:paraId="0D9DBEBB"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3.34</w:t>
            </w:r>
          </w:p>
        </w:tc>
        <w:tc>
          <w:tcPr>
            <w:tcW w:w="254" w:type="pct"/>
            <w:shd w:val="clear" w:color="auto" w:fill="DADADA" w:themeFill="background2" w:themeFillShade="E6"/>
            <w:tcMar>
              <w:left w:w="105" w:type="dxa"/>
              <w:right w:w="105" w:type="dxa"/>
            </w:tcMar>
          </w:tcPr>
          <w:p w14:paraId="77AAD36A"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3.03</w:t>
            </w:r>
          </w:p>
        </w:tc>
        <w:tc>
          <w:tcPr>
            <w:tcW w:w="254" w:type="pct"/>
            <w:tcMar>
              <w:left w:w="105" w:type="dxa"/>
              <w:right w:w="105" w:type="dxa"/>
            </w:tcMar>
          </w:tcPr>
          <w:p w14:paraId="6F7D6E49"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2.87</w:t>
            </w:r>
          </w:p>
        </w:tc>
        <w:tc>
          <w:tcPr>
            <w:tcW w:w="254" w:type="pct"/>
            <w:tcMar>
              <w:left w:w="105" w:type="dxa"/>
              <w:right w:w="105" w:type="dxa"/>
            </w:tcMar>
          </w:tcPr>
          <w:p w14:paraId="39FCCC33"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2.56</w:t>
            </w:r>
          </w:p>
        </w:tc>
        <w:tc>
          <w:tcPr>
            <w:tcW w:w="262" w:type="pct"/>
            <w:shd w:val="clear" w:color="auto" w:fill="DADADA" w:themeFill="background2" w:themeFillShade="E6"/>
            <w:tcMar>
              <w:left w:w="105" w:type="dxa"/>
              <w:right w:w="105" w:type="dxa"/>
            </w:tcMar>
          </w:tcPr>
          <w:p w14:paraId="323286BC"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2.94</w:t>
            </w:r>
          </w:p>
        </w:tc>
        <w:tc>
          <w:tcPr>
            <w:tcW w:w="262" w:type="pct"/>
            <w:shd w:val="clear" w:color="auto" w:fill="DADADA" w:themeFill="background2" w:themeFillShade="E6"/>
            <w:tcMar>
              <w:left w:w="105" w:type="dxa"/>
              <w:right w:w="105" w:type="dxa"/>
            </w:tcMar>
          </w:tcPr>
          <w:p w14:paraId="5767BBB4"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2.91</w:t>
            </w:r>
          </w:p>
        </w:tc>
        <w:tc>
          <w:tcPr>
            <w:tcW w:w="254" w:type="pct"/>
            <w:tcMar>
              <w:left w:w="105" w:type="dxa"/>
              <w:right w:w="105" w:type="dxa"/>
            </w:tcMar>
          </w:tcPr>
          <w:p w14:paraId="4198C753"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3.12</w:t>
            </w:r>
          </w:p>
        </w:tc>
        <w:tc>
          <w:tcPr>
            <w:tcW w:w="254" w:type="pct"/>
            <w:tcMar>
              <w:left w:w="105" w:type="dxa"/>
              <w:right w:w="105" w:type="dxa"/>
            </w:tcMar>
          </w:tcPr>
          <w:p w14:paraId="1D239A50"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2.92</w:t>
            </w:r>
          </w:p>
        </w:tc>
        <w:tc>
          <w:tcPr>
            <w:tcW w:w="251" w:type="pct"/>
            <w:shd w:val="clear" w:color="auto" w:fill="DADADA" w:themeFill="background2" w:themeFillShade="E6"/>
            <w:tcMar>
              <w:left w:w="105" w:type="dxa"/>
              <w:right w:w="105" w:type="dxa"/>
            </w:tcMar>
          </w:tcPr>
          <w:p w14:paraId="79E3BCC3"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3.05</w:t>
            </w:r>
          </w:p>
        </w:tc>
        <w:tc>
          <w:tcPr>
            <w:tcW w:w="248" w:type="pct"/>
            <w:shd w:val="clear" w:color="auto" w:fill="DADADA" w:themeFill="background2" w:themeFillShade="E6"/>
            <w:tcMar>
              <w:left w:w="105" w:type="dxa"/>
              <w:right w:w="105" w:type="dxa"/>
            </w:tcMar>
          </w:tcPr>
          <w:p w14:paraId="30CD6C8B"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2.68</w:t>
            </w:r>
          </w:p>
        </w:tc>
      </w:tr>
      <w:tr w:rsidR="002B6683" w:rsidRPr="00DA2128" w14:paraId="5F00446E" w14:textId="77777777" w:rsidTr="00B605CC">
        <w:trPr>
          <w:trHeight w:val="300"/>
        </w:trPr>
        <w:tc>
          <w:tcPr>
            <w:tcW w:w="376" w:type="pct"/>
            <w:tcMar>
              <w:left w:w="105" w:type="dxa"/>
              <w:right w:w="105" w:type="dxa"/>
            </w:tcMar>
          </w:tcPr>
          <w:p w14:paraId="00AEDF45"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71</w:t>
            </w:r>
          </w:p>
        </w:tc>
        <w:tc>
          <w:tcPr>
            <w:tcW w:w="275" w:type="pct"/>
            <w:shd w:val="clear" w:color="auto" w:fill="DADADA" w:themeFill="background2" w:themeFillShade="E6"/>
            <w:tcMar>
              <w:left w:w="105" w:type="dxa"/>
              <w:right w:w="105" w:type="dxa"/>
            </w:tcMar>
          </w:tcPr>
          <w:p w14:paraId="4FB7FA82"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2.74</w:t>
            </w:r>
          </w:p>
        </w:tc>
        <w:tc>
          <w:tcPr>
            <w:tcW w:w="276" w:type="pct"/>
            <w:shd w:val="clear" w:color="auto" w:fill="DADADA" w:themeFill="background2" w:themeFillShade="E6"/>
            <w:tcMar>
              <w:left w:w="105" w:type="dxa"/>
              <w:right w:w="105" w:type="dxa"/>
            </w:tcMar>
          </w:tcPr>
          <w:p w14:paraId="60124004"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2.78</w:t>
            </w:r>
          </w:p>
        </w:tc>
        <w:tc>
          <w:tcPr>
            <w:tcW w:w="254" w:type="pct"/>
            <w:tcMar>
              <w:left w:w="105" w:type="dxa"/>
              <w:right w:w="105" w:type="dxa"/>
            </w:tcMar>
          </w:tcPr>
          <w:p w14:paraId="372EC93F"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2.87</w:t>
            </w:r>
          </w:p>
        </w:tc>
        <w:tc>
          <w:tcPr>
            <w:tcW w:w="254" w:type="pct"/>
            <w:tcMar>
              <w:left w:w="105" w:type="dxa"/>
              <w:right w:w="105" w:type="dxa"/>
            </w:tcMar>
          </w:tcPr>
          <w:p w14:paraId="18EB5007"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2.89</w:t>
            </w:r>
          </w:p>
        </w:tc>
        <w:tc>
          <w:tcPr>
            <w:tcW w:w="254" w:type="pct"/>
            <w:shd w:val="clear" w:color="auto" w:fill="DADADA" w:themeFill="background2" w:themeFillShade="E6"/>
            <w:tcMar>
              <w:left w:w="105" w:type="dxa"/>
              <w:right w:w="105" w:type="dxa"/>
            </w:tcMar>
          </w:tcPr>
          <w:p w14:paraId="1669E3BA"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2.87</w:t>
            </w:r>
          </w:p>
        </w:tc>
        <w:tc>
          <w:tcPr>
            <w:tcW w:w="254" w:type="pct"/>
            <w:shd w:val="clear" w:color="auto" w:fill="DADADA" w:themeFill="background2" w:themeFillShade="E6"/>
            <w:tcMar>
              <w:left w:w="105" w:type="dxa"/>
              <w:right w:w="105" w:type="dxa"/>
            </w:tcMar>
          </w:tcPr>
          <w:p w14:paraId="77521F79"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2.97</w:t>
            </w:r>
          </w:p>
        </w:tc>
        <w:tc>
          <w:tcPr>
            <w:tcW w:w="254" w:type="pct"/>
            <w:tcMar>
              <w:left w:w="105" w:type="dxa"/>
              <w:right w:w="105" w:type="dxa"/>
            </w:tcMar>
          </w:tcPr>
          <w:p w14:paraId="248E5B0C"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w:t>
            </w:r>
          </w:p>
        </w:tc>
        <w:tc>
          <w:tcPr>
            <w:tcW w:w="254" w:type="pct"/>
            <w:tcMar>
              <w:left w:w="105" w:type="dxa"/>
              <w:right w:w="105" w:type="dxa"/>
            </w:tcMar>
          </w:tcPr>
          <w:p w14:paraId="04479908" w14:textId="77777777" w:rsidR="002B6683" w:rsidRPr="00DA2128" w:rsidRDefault="002B6683"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color w:val="000000" w:themeColor="text1"/>
                <w:sz w:val="18"/>
                <w:szCs w:val="18"/>
              </w:rPr>
              <w:t>2.94*</w:t>
            </w:r>
          </w:p>
        </w:tc>
        <w:tc>
          <w:tcPr>
            <w:tcW w:w="254" w:type="pct"/>
            <w:shd w:val="clear" w:color="auto" w:fill="DADADA" w:themeFill="background2" w:themeFillShade="E6"/>
            <w:tcMar>
              <w:left w:w="105" w:type="dxa"/>
              <w:right w:w="105" w:type="dxa"/>
            </w:tcMar>
          </w:tcPr>
          <w:p w14:paraId="49C667D3"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3.11</w:t>
            </w:r>
          </w:p>
        </w:tc>
        <w:tc>
          <w:tcPr>
            <w:tcW w:w="254" w:type="pct"/>
            <w:shd w:val="clear" w:color="auto" w:fill="DADADA" w:themeFill="background2" w:themeFillShade="E6"/>
            <w:tcMar>
              <w:left w:w="105" w:type="dxa"/>
              <w:right w:w="105" w:type="dxa"/>
            </w:tcMar>
          </w:tcPr>
          <w:p w14:paraId="5B89F207"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w:t>
            </w:r>
          </w:p>
        </w:tc>
        <w:tc>
          <w:tcPr>
            <w:tcW w:w="254" w:type="pct"/>
            <w:tcMar>
              <w:left w:w="105" w:type="dxa"/>
              <w:right w:w="105" w:type="dxa"/>
            </w:tcMar>
          </w:tcPr>
          <w:p w14:paraId="5616D15B"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3.05</w:t>
            </w:r>
          </w:p>
        </w:tc>
        <w:tc>
          <w:tcPr>
            <w:tcW w:w="254" w:type="pct"/>
            <w:tcMar>
              <w:left w:w="105" w:type="dxa"/>
              <w:right w:w="105" w:type="dxa"/>
            </w:tcMar>
          </w:tcPr>
          <w:p w14:paraId="446A6F98"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2.91</w:t>
            </w:r>
          </w:p>
        </w:tc>
        <w:tc>
          <w:tcPr>
            <w:tcW w:w="262" w:type="pct"/>
            <w:shd w:val="clear" w:color="auto" w:fill="DADADA" w:themeFill="background2" w:themeFillShade="E6"/>
            <w:tcMar>
              <w:left w:w="105" w:type="dxa"/>
              <w:right w:w="105" w:type="dxa"/>
            </w:tcMar>
          </w:tcPr>
          <w:p w14:paraId="4247E466"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2.92</w:t>
            </w:r>
          </w:p>
        </w:tc>
        <w:tc>
          <w:tcPr>
            <w:tcW w:w="262" w:type="pct"/>
            <w:shd w:val="clear" w:color="auto" w:fill="DADADA" w:themeFill="background2" w:themeFillShade="E6"/>
            <w:tcMar>
              <w:left w:w="105" w:type="dxa"/>
              <w:right w:w="105" w:type="dxa"/>
            </w:tcMar>
          </w:tcPr>
          <w:p w14:paraId="5B11F026"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3.17*</w:t>
            </w:r>
          </w:p>
        </w:tc>
        <w:tc>
          <w:tcPr>
            <w:tcW w:w="254" w:type="pct"/>
            <w:tcMar>
              <w:left w:w="105" w:type="dxa"/>
              <w:right w:w="105" w:type="dxa"/>
            </w:tcMar>
          </w:tcPr>
          <w:p w14:paraId="5A36CC80"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w:t>
            </w:r>
          </w:p>
        </w:tc>
        <w:tc>
          <w:tcPr>
            <w:tcW w:w="254" w:type="pct"/>
            <w:tcMar>
              <w:left w:w="105" w:type="dxa"/>
              <w:right w:w="105" w:type="dxa"/>
            </w:tcMar>
          </w:tcPr>
          <w:p w14:paraId="03503D85"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2.96</w:t>
            </w:r>
          </w:p>
        </w:tc>
        <w:tc>
          <w:tcPr>
            <w:tcW w:w="251" w:type="pct"/>
            <w:shd w:val="clear" w:color="auto" w:fill="DADADA" w:themeFill="background2" w:themeFillShade="E6"/>
            <w:tcMar>
              <w:left w:w="105" w:type="dxa"/>
              <w:right w:w="105" w:type="dxa"/>
            </w:tcMar>
          </w:tcPr>
          <w:p w14:paraId="3854C3D3"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2.65</w:t>
            </w:r>
          </w:p>
        </w:tc>
        <w:tc>
          <w:tcPr>
            <w:tcW w:w="248" w:type="pct"/>
            <w:shd w:val="clear" w:color="auto" w:fill="DADADA" w:themeFill="background2" w:themeFillShade="E6"/>
            <w:tcMar>
              <w:left w:w="105" w:type="dxa"/>
              <w:right w:w="105" w:type="dxa"/>
            </w:tcMar>
          </w:tcPr>
          <w:p w14:paraId="26E94B73"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2.57</w:t>
            </w:r>
          </w:p>
        </w:tc>
      </w:tr>
      <w:tr w:rsidR="002B6683" w:rsidRPr="00DA2128" w14:paraId="6CEF439C" w14:textId="77777777" w:rsidTr="00B605CC">
        <w:trPr>
          <w:trHeight w:val="300"/>
        </w:trPr>
        <w:tc>
          <w:tcPr>
            <w:tcW w:w="376" w:type="pct"/>
            <w:tcMar>
              <w:left w:w="105" w:type="dxa"/>
              <w:right w:w="105" w:type="dxa"/>
            </w:tcMar>
          </w:tcPr>
          <w:p w14:paraId="284E1F02"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b/>
                <w:bCs/>
                <w:sz w:val="18"/>
                <w:szCs w:val="18"/>
              </w:rPr>
              <w:t>Cluster 5</w:t>
            </w:r>
          </w:p>
        </w:tc>
        <w:tc>
          <w:tcPr>
            <w:tcW w:w="275" w:type="pct"/>
            <w:shd w:val="clear" w:color="auto" w:fill="DADADA" w:themeFill="background2" w:themeFillShade="E6"/>
            <w:tcMar>
              <w:left w:w="105" w:type="dxa"/>
              <w:right w:w="105" w:type="dxa"/>
            </w:tcMar>
          </w:tcPr>
          <w:p w14:paraId="58084A8B" w14:textId="77777777" w:rsidR="002B6683" w:rsidRPr="00DA2128" w:rsidRDefault="002B6683" w:rsidP="00A937C6">
            <w:pPr>
              <w:spacing w:after="200" w:line="240" w:lineRule="auto"/>
              <w:jc w:val="center"/>
              <w:rPr>
                <w:rFonts w:eastAsia="Aptos" w:cs="Times New Roman"/>
                <w:color w:val="1B2232"/>
                <w:sz w:val="18"/>
                <w:szCs w:val="18"/>
              </w:rPr>
            </w:pPr>
            <w:r w:rsidRPr="00DA2128">
              <w:rPr>
                <w:rStyle w:val="oneUserDefinedStyle"/>
                <w:rFonts w:eastAsia="Aptos" w:cs="Times New Roman"/>
                <w:b/>
                <w:bCs/>
                <w:sz w:val="18"/>
                <w:szCs w:val="18"/>
              </w:rPr>
              <w:t>2.94</w:t>
            </w:r>
          </w:p>
        </w:tc>
        <w:tc>
          <w:tcPr>
            <w:tcW w:w="276" w:type="pct"/>
            <w:shd w:val="clear" w:color="auto" w:fill="DADADA" w:themeFill="background2" w:themeFillShade="E6"/>
            <w:tcMar>
              <w:left w:w="105" w:type="dxa"/>
              <w:right w:w="105" w:type="dxa"/>
            </w:tcMar>
          </w:tcPr>
          <w:p w14:paraId="5120A6E3"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b/>
                <w:bCs/>
                <w:sz w:val="18"/>
                <w:szCs w:val="18"/>
              </w:rPr>
              <w:t>2.48</w:t>
            </w:r>
          </w:p>
        </w:tc>
        <w:tc>
          <w:tcPr>
            <w:tcW w:w="254" w:type="pct"/>
            <w:tcMar>
              <w:left w:w="105" w:type="dxa"/>
              <w:right w:w="105" w:type="dxa"/>
            </w:tcMar>
          </w:tcPr>
          <w:p w14:paraId="6CAF3DFC"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b/>
                <w:bCs/>
                <w:sz w:val="18"/>
                <w:szCs w:val="18"/>
              </w:rPr>
              <w:t>2.93</w:t>
            </w:r>
          </w:p>
        </w:tc>
        <w:tc>
          <w:tcPr>
            <w:tcW w:w="254" w:type="pct"/>
            <w:tcMar>
              <w:left w:w="105" w:type="dxa"/>
              <w:right w:w="105" w:type="dxa"/>
            </w:tcMar>
          </w:tcPr>
          <w:p w14:paraId="19E9DF7D"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b/>
                <w:bCs/>
                <w:sz w:val="18"/>
                <w:szCs w:val="18"/>
              </w:rPr>
              <w:t>2.55</w:t>
            </w:r>
          </w:p>
        </w:tc>
        <w:tc>
          <w:tcPr>
            <w:tcW w:w="254" w:type="pct"/>
            <w:shd w:val="clear" w:color="auto" w:fill="DADADA" w:themeFill="background2" w:themeFillShade="E6"/>
            <w:tcMar>
              <w:left w:w="105" w:type="dxa"/>
              <w:right w:w="105" w:type="dxa"/>
            </w:tcMar>
          </w:tcPr>
          <w:p w14:paraId="3C2F8A77" w14:textId="77777777" w:rsidR="002B6683" w:rsidRPr="00DA2128" w:rsidRDefault="002B6683"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b/>
                <w:bCs/>
                <w:color w:val="000000" w:themeColor="text1"/>
                <w:sz w:val="18"/>
                <w:szCs w:val="18"/>
              </w:rPr>
              <w:t>2.93</w:t>
            </w:r>
          </w:p>
        </w:tc>
        <w:tc>
          <w:tcPr>
            <w:tcW w:w="254" w:type="pct"/>
            <w:shd w:val="clear" w:color="auto" w:fill="DADADA" w:themeFill="background2" w:themeFillShade="E6"/>
            <w:tcMar>
              <w:left w:w="105" w:type="dxa"/>
              <w:right w:w="105" w:type="dxa"/>
            </w:tcMar>
          </w:tcPr>
          <w:p w14:paraId="06DFB8B9" w14:textId="77777777" w:rsidR="002B6683" w:rsidRPr="00DA2128" w:rsidRDefault="002B6683"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b/>
                <w:bCs/>
                <w:color w:val="000000" w:themeColor="text1"/>
                <w:sz w:val="18"/>
                <w:szCs w:val="18"/>
              </w:rPr>
              <w:t>2.2</w:t>
            </w:r>
          </w:p>
        </w:tc>
        <w:tc>
          <w:tcPr>
            <w:tcW w:w="254" w:type="pct"/>
            <w:tcMar>
              <w:left w:w="105" w:type="dxa"/>
              <w:right w:w="105" w:type="dxa"/>
            </w:tcMar>
          </w:tcPr>
          <w:p w14:paraId="4FBE3B3E"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b/>
                <w:bCs/>
                <w:sz w:val="18"/>
                <w:szCs w:val="18"/>
              </w:rPr>
              <w:t>3.04</w:t>
            </w:r>
          </w:p>
        </w:tc>
        <w:tc>
          <w:tcPr>
            <w:tcW w:w="254" w:type="pct"/>
            <w:tcMar>
              <w:left w:w="105" w:type="dxa"/>
              <w:right w:w="105" w:type="dxa"/>
            </w:tcMar>
          </w:tcPr>
          <w:p w14:paraId="4FF38F8A"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b/>
                <w:bCs/>
                <w:sz w:val="18"/>
                <w:szCs w:val="18"/>
              </w:rPr>
              <w:t>2.58</w:t>
            </w:r>
          </w:p>
        </w:tc>
        <w:tc>
          <w:tcPr>
            <w:tcW w:w="254" w:type="pct"/>
            <w:shd w:val="clear" w:color="auto" w:fill="DADADA" w:themeFill="background2" w:themeFillShade="E6"/>
            <w:tcMar>
              <w:left w:w="105" w:type="dxa"/>
              <w:right w:w="105" w:type="dxa"/>
            </w:tcMar>
          </w:tcPr>
          <w:p w14:paraId="4DD68F0D"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b/>
                <w:bCs/>
                <w:sz w:val="18"/>
                <w:szCs w:val="18"/>
              </w:rPr>
              <w:t>3</w:t>
            </w:r>
          </w:p>
        </w:tc>
        <w:tc>
          <w:tcPr>
            <w:tcW w:w="254" w:type="pct"/>
            <w:shd w:val="clear" w:color="auto" w:fill="DADADA" w:themeFill="background2" w:themeFillShade="E6"/>
            <w:tcMar>
              <w:left w:w="105" w:type="dxa"/>
              <w:right w:w="105" w:type="dxa"/>
            </w:tcMar>
          </w:tcPr>
          <w:p w14:paraId="3B3AD178"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b/>
                <w:bCs/>
                <w:sz w:val="18"/>
                <w:szCs w:val="18"/>
              </w:rPr>
              <w:t>2.86</w:t>
            </w:r>
          </w:p>
        </w:tc>
        <w:tc>
          <w:tcPr>
            <w:tcW w:w="254" w:type="pct"/>
            <w:tcMar>
              <w:left w:w="105" w:type="dxa"/>
              <w:right w:w="105" w:type="dxa"/>
            </w:tcMar>
          </w:tcPr>
          <w:p w14:paraId="5A82CA13" w14:textId="77777777" w:rsidR="002B6683" w:rsidRPr="00DA2128" w:rsidRDefault="002B6683" w:rsidP="00A937C6">
            <w:pPr>
              <w:spacing w:after="200" w:line="240" w:lineRule="auto"/>
              <w:jc w:val="center"/>
              <w:rPr>
                <w:rFonts w:eastAsia="Aptos" w:cs="Times New Roman"/>
                <w:color w:val="1B2232"/>
                <w:sz w:val="18"/>
                <w:szCs w:val="18"/>
              </w:rPr>
            </w:pPr>
            <w:r w:rsidRPr="00DA2128">
              <w:rPr>
                <w:rStyle w:val="oneUserDefinedStyle"/>
                <w:rFonts w:eastAsia="Aptos" w:cs="Times New Roman"/>
                <w:b/>
                <w:bCs/>
                <w:sz w:val="18"/>
                <w:szCs w:val="18"/>
              </w:rPr>
              <w:t>3.26</w:t>
            </w:r>
          </w:p>
        </w:tc>
        <w:tc>
          <w:tcPr>
            <w:tcW w:w="254" w:type="pct"/>
            <w:tcMar>
              <w:left w:w="105" w:type="dxa"/>
              <w:right w:w="105" w:type="dxa"/>
            </w:tcMar>
          </w:tcPr>
          <w:p w14:paraId="668F20CE" w14:textId="77777777" w:rsidR="002B6683" w:rsidRPr="00DA2128" w:rsidRDefault="002B6683"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b/>
                <w:bCs/>
                <w:color w:val="000000" w:themeColor="text1"/>
                <w:sz w:val="18"/>
                <w:szCs w:val="18"/>
              </w:rPr>
              <w:t>2.61</w:t>
            </w:r>
          </w:p>
        </w:tc>
        <w:tc>
          <w:tcPr>
            <w:tcW w:w="262" w:type="pct"/>
            <w:shd w:val="clear" w:color="auto" w:fill="DADADA" w:themeFill="background2" w:themeFillShade="E6"/>
            <w:tcMar>
              <w:left w:w="105" w:type="dxa"/>
              <w:right w:w="105" w:type="dxa"/>
            </w:tcMar>
          </w:tcPr>
          <w:p w14:paraId="1BEA59E0" w14:textId="77777777" w:rsidR="002B6683" w:rsidRPr="00DA2128" w:rsidRDefault="002B6683"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b/>
                <w:bCs/>
                <w:color w:val="000000" w:themeColor="text1"/>
                <w:sz w:val="18"/>
                <w:szCs w:val="18"/>
              </w:rPr>
              <w:t>3.08</w:t>
            </w:r>
          </w:p>
        </w:tc>
        <w:tc>
          <w:tcPr>
            <w:tcW w:w="262" w:type="pct"/>
            <w:shd w:val="clear" w:color="auto" w:fill="DADADA" w:themeFill="background2" w:themeFillShade="E6"/>
            <w:tcMar>
              <w:left w:w="105" w:type="dxa"/>
              <w:right w:w="105" w:type="dxa"/>
            </w:tcMar>
          </w:tcPr>
          <w:p w14:paraId="0886B474" w14:textId="77777777" w:rsidR="002B6683" w:rsidRPr="00DA2128" w:rsidRDefault="002B6683"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b/>
                <w:bCs/>
                <w:color w:val="000000" w:themeColor="text1"/>
                <w:sz w:val="18"/>
                <w:szCs w:val="18"/>
              </w:rPr>
              <w:t>2.69</w:t>
            </w:r>
          </w:p>
        </w:tc>
        <w:tc>
          <w:tcPr>
            <w:tcW w:w="254" w:type="pct"/>
            <w:tcMar>
              <w:left w:w="105" w:type="dxa"/>
              <w:right w:w="105" w:type="dxa"/>
            </w:tcMar>
          </w:tcPr>
          <w:p w14:paraId="32C583F5" w14:textId="77777777" w:rsidR="002B6683" w:rsidRPr="00DA2128" w:rsidRDefault="002B6683"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b/>
                <w:bCs/>
                <w:color w:val="000000" w:themeColor="text1"/>
                <w:sz w:val="18"/>
                <w:szCs w:val="18"/>
              </w:rPr>
              <w:t>3.14</w:t>
            </w:r>
          </w:p>
        </w:tc>
        <w:tc>
          <w:tcPr>
            <w:tcW w:w="254" w:type="pct"/>
            <w:tcMar>
              <w:left w:w="105" w:type="dxa"/>
              <w:right w:w="105" w:type="dxa"/>
            </w:tcMar>
          </w:tcPr>
          <w:p w14:paraId="5E642239" w14:textId="77777777" w:rsidR="002B6683" w:rsidRPr="00DA2128" w:rsidRDefault="002B6683"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b/>
                <w:bCs/>
                <w:color w:val="000000" w:themeColor="text1"/>
                <w:sz w:val="18"/>
                <w:szCs w:val="18"/>
              </w:rPr>
              <w:t>2.61</w:t>
            </w:r>
          </w:p>
        </w:tc>
        <w:tc>
          <w:tcPr>
            <w:tcW w:w="251" w:type="pct"/>
            <w:shd w:val="clear" w:color="auto" w:fill="DADADA" w:themeFill="background2" w:themeFillShade="E6"/>
            <w:tcMar>
              <w:left w:w="105" w:type="dxa"/>
              <w:right w:w="105" w:type="dxa"/>
            </w:tcMar>
          </w:tcPr>
          <w:p w14:paraId="4281C4D7" w14:textId="77777777" w:rsidR="002B6683" w:rsidRPr="00DA2128" w:rsidRDefault="002B6683"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b/>
                <w:bCs/>
                <w:color w:val="000000" w:themeColor="text1"/>
                <w:sz w:val="18"/>
                <w:szCs w:val="18"/>
              </w:rPr>
              <w:t>2.81</w:t>
            </w:r>
          </w:p>
        </w:tc>
        <w:tc>
          <w:tcPr>
            <w:tcW w:w="248" w:type="pct"/>
            <w:shd w:val="clear" w:color="auto" w:fill="DADADA" w:themeFill="background2" w:themeFillShade="E6"/>
            <w:tcMar>
              <w:left w:w="105" w:type="dxa"/>
              <w:right w:w="105" w:type="dxa"/>
            </w:tcMar>
          </w:tcPr>
          <w:p w14:paraId="076947AC" w14:textId="77777777" w:rsidR="002B6683" w:rsidRPr="00DA2128" w:rsidRDefault="002B6683"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b/>
                <w:bCs/>
                <w:color w:val="000000" w:themeColor="text1"/>
                <w:sz w:val="18"/>
                <w:szCs w:val="18"/>
              </w:rPr>
              <w:t>2.38</w:t>
            </w:r>
          </w:p>
        </w:tc>
      </w:tr>
      <w:tr w:rsidR="002B6683" w:rsidRPr="00DA2128" w14:paraId="5590202D" w14:textId="77777777" w:rsidTr="00B605CC">
        <w:trPr>
          <w:trHeight w:val="300"/>
        </w:trPr>
        <w:tc>
          <w:tcPr>
            <w:tcW w:w="376" w:type="pct"/>
            <w:tcMar>
              <w:left w:w="105" w:type="dxa"/>
              <w:right w:w="105" w:type="dxa"/>
            </w:tcMar>
          </w:tcPr>
          <w:p w14:paraId="3201A55E"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11</w:t>
            </w:r>
          </w:p>
        </w:tc>
        <w:tc>
          <w:tcPr>
            <w:tcW w:w="275" w:type="pct"/>
            <w:shd w:val="clear" w:color="auto" w:fill="DADADA" w:themeFill="background2" w:themeFillShade="E6"/>
            <w:tcMar>
              <w:left w:w="105" w:type="dxa"/>
              <w:right w:w="105" w:type="dxa"/>
            </w:tcMar>
          </w:tcPr>
          <w:p w14:paraId="0431DDFF"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2.37</w:t>
            </w:r>
          </w:p>
        </w:tc>
        <w:tc>
          <w:tcPr>
            <w:tcW w:w="276" w:type="pct"/>
            <w:shd w:val="clear" w:color="auto" w:fill="DADADA" w:themeFill="background2" w:themeFillShade="E6"/>
            <w:tcMar>
              <w:left w:w="105" w:type="dxa"/>
              <w:right w:w="105" w:type="dxa"/>
            </w:tcMar>
          </w:tcPr>
          <w:p w14:paraId="081E20C2"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2.16</w:t>
            </w:r>
          </w:p>
        </w:tc>
        <w:tc>
          <w:tcPr>
            <w:tcW w:w="254" w:type="pct"/>
            <w:tcMar>
              <w:left w:w="105" w:type="dxa"/>
              <w:right w:w="105" w:type="dxa"/>
            </w:tcMar>
          </w:tcPr>
          <w:p w14:paraId="06DB70E5"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2.73</w:t>
            </w:r>
          </w:p>
        </w:tc>
        <w:tc>
          <w:tcPr>
            <w:tcW w:w="254" w:type="pct"/>
            <w:tcMar>
              <w:left w:w="105" w:type="dxa"/>
              <w:right w:w="105" w:type="dxa"/>
            </w:tcMar>
          </w:tcPr>
          <w:p w14:paraId="2B86C06F"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2.37</w:t>
            </w:r>
          </w:p>
        </w:tc>
        <w:tc>
          <w:tcPr>
            <w:tcW w:w="254" w:type="pct"/>
            <w:shd w:val="clear" w:color="auto" w:fill="DADADA" w:themeFill="background2" w:themeFillShade="E6"/>
            <w:tcMar>
              <w:left w:w="105" w:type="dxa"/>
              <w:right w:w="105" w:type="dxa"/>
            </w:tcMar>
          </w:tcPr>
          <w:p w14:paraId="6B91217D"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2.73</w:t>
            </w:r>
          </w:p>
        </w:tc>
        <w:tc>
          <w:tcPr>
            <w:tcW w:w="254" w:type="pct"/>
            <w:shd w:val="clear" w:color="auto" w:fill="DADADA" w:themeFill="background2" w:themeFillShade="E6"/>
            <w:tcMar>
              <w:left w:w="105" w:type="dxa"/>
              <w:right w:w="105" w:type="dxa"/>
            </w:tcMar>
          </w:tcPr>
          <w:p w14:paraId="39BE96F8"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1.91</w:t>
            </w:r>
          </w:p>
        </w:tc>
        <w:tc>
          <w:tcPr>
            <w:tcW w:w="254" w:type="pct"/>
            <w:tcMar>
              <w:left w:w="105" w:type="dxa"/>
              <w:right w:w="105" w:type="dxa"/>
            </w:tcMar>
          </w:tcPr>
          <w:p w14:paraId="5FB28AEC"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2.6</w:t>
            </w:r>
          </w:p>
        </w:tc>
        <w:tc>
          <w:tcPr>
            <w:tcW w:w="254" w:type="pct"/>
            <w:tcMar>
              <w:left w:w="105" w:type="dxa"/>
              <w:right w:w="105" w:type="dxa"/>
            </w:tcMar>
          </w:tcPr>
          <w:p w14:paraId="5F886FFA"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2.53</w:t>
            </w:r>
          </w:p>
        </w:tc>
        <w:tc>
          <w:tcPr>
            <w:tcW w:w="254" w:type="pct"/>
            <w:shd w:val="clear" w:color="auto" w:fill="DADADA" w:themeFill="background2" w:themeFillShade="E6"/>
            <w:tcMar>
              <w:left w:w="105" w:type="dxa"/>
              <w:right w:w="105" w:type="dxa"/>
            </w:tcMar>
          </w:tcPr>
          <w:p w14:paraId="103CA769"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2.82</w:t>
            </w:r>
          </w:p>
        </w:tc>
        <w:tc>
          <w:tcPr>
            <w:tcW w:w="254" w:type="pct"/>
            <w:shd w:val="clear" w:color="auto" w:fill="DADADA" w:themeFill="background2" w:themeFillShade="E6"/>
            <w:tcMar>
              <w:left w:w="105" w:type="dxa"/>
              <w:right w:w="105" w:type="dxa"/>
            </w:tcMar>
          </w:tcPr>
          <w:p w14:paraId="01EF159B"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2.92</w:t>
            </w:r>
          </w:p>
        </w:tc>
        <w:tc>
          <w:tcPr>
            <w:tcW w:w="254" w:type="pct"/>
            <w:tcMar>
              <w:left w:w="105" w:type="dxa"/>
              <w:right w:w="105" w:type="dxa"/>
            </w:tcMar>
          </w:tcPr>
          <w:p w14:paraId="4C1C8019"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2.71</w:t>
            </w:r>
          </w:p>
        </w:tc>
        <w:tc>
          <w:tcPr>
            <w:tcW w:w="254" w:type="pct"/>
            <w:tcMar>
              <w:left w:w="105" w:type="dxa"/>
              <w:right w:w="105" w:type="dxa"/>
            </w:tcMar>
          </w:tcPr>
          <w:p w14:paraId="7C6B200A"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2.55</w:t>
            </w:r>
          </w:p>
        </w:tc>
        <w:tc>
          <w:tcPr>
            <w:tcW w:w="262" w:type="pct"/>
            <w:shd w:val="clear" w:color="auto" w:fill="DADADA" w:themeFill="background2" w:themeFillShade="E6"/>
            <w:tcMar>
              <w:left w:w="105" w:type="dxa"/>
              <w:right w:w="105" w:type="dxa"/>
            </w:tcMar>
          </w:tcPr>
          <w:p w14:paraId="34B91220"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2.89</w:t>
            </w:r>
          </w:p>
        </w:tc>
        <w:tc>
          <w:tcPr>
            <w:tcW w:w="262" w:type="pct"/>
            <w:shd w:val="clear" w:color="auto" w:fill="DADADA" w:themeFill="background2" w:themeFillShade="E6"/>
            <w:tcMar>
              <w:left w:w="105" w:type="dxa"/>
              <w:right w:w="105" w:type="dxa"/>
            </w:tcMar>
          </w:tcPr>
          <w:p w14:paraId="3AF91E15"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2.76</w:t>
            </w:r>
          </w:p>
        </w:tc>
        <w:tc>
          <w:tcPr>
            <w:tcW w:w="254" w:type="pct"/>
            <w:tcMar>
              <w:left w:w="105" w:type="dxa"/>
              <w:right w:w="105" w:type="dxa"/>
            </w:tcMar>
          </w:tcPr>
          <w:p w14:paraId="0203D7E9"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2.6</w:t>
            </w:r>
          </w:p>
        </w:tc>
        <w:tc>
          <w:tcPr>
            <w:tcW w:w="254" w:type="pct"/>
            <w:tcMar>
              <w:left w:w="105" w:type="dxa"/>
              <w:right w:w="105" w:type="dxa"/>
            </w:tcMar>
          </w:tcPr>
          <w:p w14:paraId="687EB5AC"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2.65</w:t>
            </w:r>
          </w:p>
        </w:tc>
        <w:tc>
          <w:tcPr>
            <w:tcW w:w="251" w:type="pct"/>
            <w:shd w:val="clear" w:color="auto" w:fill="DADADA" w:themeFill="background2" w:themeFillShade="E6"/>
            <w:tcMar>
              <w:left w:w="105" w:type="dxa"/>
              <w:right w:w="105" w:type="dxa"/>
            </w:tcMar>
          </w:tcPr>
          <w:p w14:paraId="600C71E2"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2.32</w:t>
            </w:r>
          </w:p>
        </w:tc>
        <w:tc>
          <w:tcPr>
            <w:tcW w:w="248" w:type="pct"/>
            <w:shd w:val="clear" w:color="auto" w:fill="DADADA" w:themeFill="background2" w:themeFillShade="E6"/>
            <w:tcMar>
              <w:left w:w="105" w:type="dxa"/>
              <w:right w:w="105" w:type="dxa"/>
            </w:tcMar>
          </w:tcPr>
          <w:p w14:paraId="5879D93F"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2.06</w:t>
            </w:r>
          </w:p>
        </w:tc>
      </w:tr>
      <w:tr w:rsidR="002B6683" w:rsidRPr="00DA2128" w14:paraId="2D3AE01C" w14:textId="77777777" w:rsidTr="00B605CC">
        <w:trPr>
          <w:trHeight w:val="300"/>
        </w:trPr>
        <w:tc>
          <w:tcPr>
            <w:tcW w:w="376" w:type="pct"/>
            <w:tcMar>
              <w:left w:w="105" w:type="dxa"/>
              <w:right w:w="105" w:type="dxa"/>
            </w:tcMar>
          </w:tcPr>
          <w:p w14:paraId="152F3378"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29</w:t>
            </w:r>
          </w:p>
        </w:tc>
        <w:tc>
          <w:tcPr>
            <w:tcW w:w="275" w:type="pct"/>
            <w:shd w:val="clear" w:color="auto" w:fill="DADADA" w:themeFill="background2" w:themeFillShade="E6"/>
            <w:tcMar>
              <w:left w:w="105" w:type="dxa"/>
              <w:right w:w="105" w:type="dxa"/>
            </w:tcMar>
          </w:tcPr>
          <w:p w14:paraId="4ED64342"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2.57</w:t>
            </w:r>
          </w:p>
        </w:tc>
        <w:tc>
          <w:tcPr>
            <w:tcW w:w="276" w:type="pct"/>
            <w:shd w:val="clear" w:color="auto" w:fill="DADADA" w:themeFill="background2" w:themeFillShade="E6"/>
            <w:tcMar>
              <w:left w:w="105" w:type="dxa"/>
              <w:right w:w="105" w:type="dxa"/>
            </w:tcMar>
          </w:tcPr>
          <w:p w14:paraId="0CDF0B74"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2.11</w:t>
            </w:r>
          </w:p>
        </w:tc>
        <w:tc>
          <w:tcPr>
            <w:tcW w:w="254" w:type="pct"/>
            <w:tcMar>
              <w:left w:w="105" w:type="dxa"/>
              <w:right w:w="105" w:type="dxa"/>
            </w:tcMar>
          </w:tcPr>
          <w:p w14:paraId="63C717C3"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2.7</w:t>
            </w:r>
          </w:p>
        </w:tc>
        <w:tc>
          <w:tcPr>
            <w:tcW w:w="254" w:type="pct"/>
            <w:tcMar>
              <w:left w:w="105" w:type="dxa"/>
              <w:right w:w="105" w:type="dxa"/>
            </w:tcMar>
          </w:tcPr>
          <w:p w14:paraId="67E77DA3"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2.37</w:t>
            </w:r>
          </w:p>
        </w:tc>
        <w:tc>
          <w:tcPr>
            <w:tcW w:w="254" w:type="pct"/>
            <w:shd w:val="clear" w:color="auto" w:fill="DADADA" w:themeFill="background2" w:themeFillShade="E6"/>
            <w:tcMar>
              <w:left w:w="105" w:type="dxa"/>
              <w:right w:w="105" w:type="dxa"/>
            </w:tcMar>
          </w:tcPr>
          <w:p w14:paraId="36CBC256"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2.7</w:t>
            </w:r>
          </w:p>
        </w:tc>
        <w:tc>
          <w:tcPr>
            <w:tcW w:w="254" w:type="pct"/>
            <w:shd w:val="clear" w:color="auto" w:fill="DADADA" w:themeFill="background2" w:themeFillShade="E6"/>
            <w:tcMar>
              <w:left w:w="105" w:type="dxa"/>
              <w:right w:w="105" w:type="dxa"/>
            </w:tcMar>
          </w:tcPr>
          <w:p w14:paraId="41EB3B34"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w:t>
            </w:r>
          </w:p>
        </w:tc>
        <w:tc>
          <w:tcPr>
            <w:tcW w:w="254" w:type="pct"/>
            <w:tcMar>
              <w:left w:w="105" w:type="dxa"/>
              <w:right w:w="105" w:type="dxa"/>
            </w:tcMar>
          </w:tcPr>
          <w:p w14:paraId="784B0B2F"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2.78</w:t>
            </w:r>
          </w:p>
        </w:tc>
        <w:tc>
          <w:tcPr>
            <w:tcW w:w="254" w:type="pct"/>
            <w:tcMar>
              <w:left w:w="105" w:type="dxa"/>
              <w:right w:w="105" w:type="dxa"/>
            </w:tcMar>
          </w:tcPr>
          <w:p w14:paraId="71F90D59"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2.08</w:t>
            </w:r>
          </w:p>
        </w:tc>
        <w:tc>
          <w:tcPr>
            <w:tcW w:w="254" w:type="pct"/>
            <w:shd w:val="clear" w:color="auto" w:fill="DADADA" w:themeFill="background2" w:themeFillShade="E6"/>
            <w:tcMar>
              <w:left w:w="105" w:type="dxa"/>
              <w:right w:w="105" w:type="dxa"/>
            </w:tcMar>
          </w:tcPr>
          <w:p w14:paraId="7A81F229"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3.24*</w:t>
            </w:r>
          </w:p>
        </w:tc>
        <w:tc>
          <w:tcPr>
            <w:tcW w:w="254" w:type="pct"/>
            <w:shd w:val="clear" w:color="auto" w:fill="DADADA" w:themeFill="background2" w:themeFillShade="E6"/>
            <w:tcMar>
              <w:left w:w="105" w:type="dxa"/>
              <w:right w:w="105" w:type="dxa"/>
            </w:tcMar>
          </w:tcPr>
          <w:p w14:paraId="6633FF36"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2.81</w:t>
            </w:r>
          </w:p>
        </w:tc>
        <w:tc>
          <w:tcPr>
            <w:tcW w:w="254" w:type="pct"/>
            <w:tcMar>
              <w:left w:w="105" w:type="dxa"/>
              <w:right w:w="105" w:type="dxa"/>
            </w:tcMar>
          </w:tcPr>
          <w:p w14:paraId="73D29F3E"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3.16</w:t>
            </w:r>
          </w:p>
        </w:tc>
        <w:tc>
          <w:tcPr>
            <w:tcW w:w="254" w:type="pct"/>
            <w:tcMar>
              <w:left w:w="105" w:type="dxa"/>
              <w:right w:w="105" w:type="dxa"/>
            </w:tcMar>
          </w:tcPr>
          <w:p w14:paraId="72340B8D"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2.46</w:t>
            </w:r>
          </w:p>
        </w:tc>
        <w:tc>
          <w:tcPr>
            <w:tcW w:w="262" w:type="pct"/>
            <w:shd w:val="clear" w:color="auto" w:fill="DADADA" w:themeFill="background2" w:themeFillShade="E6"/>
            <w:tcMar>
              <w:left w:w="105" w:type="dxa"/>
              <w:right w:w="105" w:type="dxa"/>
            </w:tcMar>
          </w:tcPr>
          <w:p w14:paraId="51AC0E24"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2.69</w:t>
            </w:r>
          </w:p>
        </w:tc>
        <w:tc>
          <w:tcPr>
            <w:tcW w:w="262" w:type="pct"/>
            <w:shd w:val="clear" w:color="auto" w:fill="DADADA" w:themeFill="background2" w:themeFillShade="E6"/>
            <w:tcMar>
              <w:left w:w="105" w:type="dxa"/>
              <w:right w:w="105" w:type="dxa"/>
            </w:tcMar>
          </w:tcPr>
          <w:p w14:paraId="50A766E6"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2.66</w:t>
            </w:r>
          </w:p>
        </w:tc>
        <w:tc>
          <w:tcPr>
            <w:tcW w:w="254" w:type="pct"/>
            <w:tcMar>
              <w:left w:w="105" w:type="dxa"/>
              <w:right w:w="105" w:type="dxa"/>
            </w:tcMar>
          </w:tcPr>
          <w:p w14:paraId="41236E01"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w:t>
            </w:r>
          </w:p>
        </w:tc>
        <w:tc>
          <w:tcPr>
            <w:tcW w:w="254" w:type="pct"/>
            <w:tcMar>
              <w:left w:w="105" w:type="dxa"/>
              <w:right w:w="105" w:type="dxa"/>
            </w:tcMar>
          </w:tcPr>
          <w:p w14:paraId="073FFE26"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2.28</w:t>
            </w:r>
          </w:p>
        </w:tc>
        <w:tc>
          <w:tcPr>
            <w:tcW w:w="251" w:type="pct"/>
            <w:shd w:val="clear" w:color="auto" w:fill="DADADA" w:themeFill="background2" w:themeFillShade="E6"/>
            <w:tcMar>
              <w:left w:w="105" w:type="dxa"/>
              <w:right w:w="105" w:type="dxa"/>
            </w:tcMar>
          </w:tcPr>
          <w:p w14:paraId="3D05ACDB"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2.43</w:t>
            </w:r>
          </w:p>
        </w:tc>
        <w:tc>
          <w:tcPr>
            <w:tcW w:w="248" w:type="pct"/>
            <w:shd w:val="clear" w:color="auto" w:fill="DADADA" w:themeFill="background2" w:themeFillShade="E6"/>
            <w:tcMar>
              <w:left w:w="105" w:type="dxa"/>
              <w:right w:w="105" w:type="dxa"/>
            </w:tcMar>
          </w:tcPr>
          <w:p w14:paraId="1DC5181D"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1.89</w:t>
            </w:r>
          </w:p>
        </w:tc>
      </w:tr>
      <w:tr w:rsidR="002B6683" w:rsidRPr="00DA2128" w14:paraId="4377FFB4" w14:textId="77777777" w:rsidTr="00B605CC">
        <w:trPr>
          <w:trHeight w:val="300"/>
        </w:trPr>
        <w:tc>
          <w:tcPr>
            <w:tcW w:w="376" w:type="pct"/>
            <w:tcMar>
              <w:left w:w="105" w:type="dxa"/>
              <w:right w:w="105" w:type="dxa"/>
            </w:tcMar>
          </w:tcPr>
          <w:p w14:paraId="46B46844"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32</w:t>
            </w:r>
          </w:p>
        </w:tc>
        <w:tc>
          <w:tcPr>
            <w:tcW w:w="275" w:type="pct"/>
            <w:shd w:val="clear" w:color="auto" w:fill="DADADA" w:themeFill="background2" w:themeFillShade="E6"/>
            <w:tcMar>
              <w:left w:w="105" w:type="dxa"/>
              <w:right w:w="105" w:type="dxa"/>
            </w:tcMar>
          </w:tcPr>
          <w:p w14:paraId="1210C73B"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3.21</w:t>
            </w:r>
          </w:p>
        </w:tc>
        <w:tc>
          <w:tcPr>
            <w:tcW w:w="276" w:type="pct"/>
            <w:shd w:val="clear" w:color="auto" w:fill="DADADA" w:themeFill="background2" w:themeFillShade="E6"/>
            <w:tcMar>
              <w:left w:w="105" w:type="dxa"/>
              <w:right w:w="105" w:type="dxa"/>
            </w:tcMar>
          </w:tcPr>
          <w:p w14:paraId="28B7E3B3"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2.59</w:t>
            </w:r>
          </w:p>
        </w:tc>
        <w:tc>
          <w:tcPr>
            <w:tcW w:w="254" w:type="pct"/>
            <w:tcMar>
              <w:left w:w="105" w:type="dxa"/>
              <w:right w:w="105" w:type="dxa"/>
            </w:tcMar>
          </w:tcPr>
          <w:p w14:paraId="31A70586"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3.1</w:t>
            </w:r>
          </w:p>
        </w:tc>
        <w:tc>
          <w:tcPr>
            <w:tcW w:w="254" w:type="pct"/>
            <w:tcMar>
              <w:left w:w="105" w:type="dxa"/>
              <w:right w:w="105" w:type="dxa"/>
            </w:tcMar>
          </w:tcPr>
          <w:p w14:paraId="6F8BA1B2"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2.6</w:t>
            </w:r>
          </w:p>
        </w:tc>
        <w:tc>
          <w:tcPr>
            <w:tcW w:w="254" w:type="pct"/>
            <w:shd w:val="clear" w:color="auto" w:fill="DADADA" w:themeFill="background2" w:themeFillShade="E6"/>
            <w:tcMar>
              <w:left w:w="105" w:type="dxa"/>
              <w:right w:w="105" w:type="dxa"/>
            </w:tcMar>
          </w:tcPr>
          <w:p w14:paraId="5AC71675"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3.1</w:t>
            </w:r>
          </w:p>
        </w:tc>
        <w:tc>
          <w:tcPr>
            <w:tcW w:w="254" w:type="pct"/>
            <w:shd w:val="clear" w:color="auto" w:fill="DADADA" w:themeFill="background2" w:themeFillShade="E6"/>
            <w:tcMar>
              <w:left w:w="105" w:type="dxa"/>
              <w:right w:w="105" w:type="dxa"/>
            </w:tcMar>
          </w:tcPr>
          <w:p w14:paraId="22B57CD1"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2.34</w:t>
            </w:r>
          </w:p>
        </w:tc>
        <w:tc>
          <w:tcPr>
            <w:tcW w:w="254" w:type="pct"/>
            <w:tcMar>
              <w:left w:w="105" w:type="dxa"/>
              <w:right w:w="105" w:type="dxa"/>
            </w:tcMar>
          </w:tcPr>
          <w:p w14:paraId="27823080"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3.44</w:t>
            </w:r>
          </w:p>
        </w:tc>
        <w:tc>
          <w:tcPr>
            <w:tcW w:w="254" w:type="pct"/>
            <w:tcMar>
              <w:left w:w="105" w:type="dxa"/>
              <w:right w:w="105" w:type="dxa"/>
            </w:tcMar>
          </w:tcPr>
          <w:p w14:paraId="488B586B"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2.97</w:t>
            </w:r>
          </w:p>
        </w:tc>
        <w:tc>
          <w:tcPr>
            <w:tcW w:w="254" w:type="pct"/>
            <w:shd w:val="clear" w:color="auto" w:fill="DADADA" w:themeFill="background2" w:themeFillShade="E6"/>
            <w:tcMar>
              <w:left w:w="105" w:type="dxa"/>
              <w:right w:w="105" w:type="dxa"/>
            </w:tcMar>
          </w:tcPr>
          <w:p w14:paraId="24CBEA5F"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3.16</w:t>
            </w:r>
          </w:p>
        </w:tc>
        <w:tc>
          <w:tcPr>
            <w:tcW w:w="254" w:type="pct"/>
            <w:shd w:val="clear" w:color="auto" w:fill="DADADA" w:themeFill="background2" w:themeFillShade="E6"/>
            <w:tcMar>
              <w:left w:w="105" w:type="dxa"/>
              <w:right w:w="105" w:type="dxa"/>
            </w:tcMar>
          </w:tcPr>
          <w:p w14:paraId="3DEB0EC3"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2.94</w:t>
            </w:r>
          </w:p>
        </w:tc>
        <w:tc>
          <w:tcPr>
            <w:tcW w:w="254" w:type="pct"/>
            <w:tcMar>
              <w:left w:w="105" w:type="dxa"/>
              <w:right w:w="105" w:type="dxa"/>
            </w:tcMar>
          </w:tcPr>
          <w:p w14:paraId="7DA216EB"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3.63*</w:t>
            </w:r>
          </w:p>
        </w:tc>
        <w:tc>
          <w:tcPr>
            <w:tcW w:w="254" w:type="pct"/>
            <w:tcMar>
              <w:left w:w="105" w:type="dxa"/>
              <w:right w:w="105" w:type="dxa"/>
            </w:tcMar>
          </w:tcPr>
          <w:p w14:paraId="4E562B88"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2.56</w:t>
            </w:r>
          </w:p>
        </w:tc>
        <w:tc>
          <w:tcPr>
            <w:tcW w:w="262" w:type="pct"/>
            <w:shd w:val="clear" w:color="auto" w:fill="DADADA" w:themeFill="background2" w:themeFillShade="E6"/>
            <w:tcMar>
              <w:left w:w="105" w:type="dxa"/>
              <w:right w:w="105" w:type="dxa"/>
            </w:tcMar>
          </w:tcPr>
          <w:p w14:paraId="5AD0EB7A"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3.25</w:t>
            </w:r>
          </w:p>
        </w:tc>
        <w:tc>
          <w:tcPr>
            <w:tcW w:w="262" w:type="pct"/>
            <w:shd w:val="clear" w:color="auto" w:fill="DADADA" w:themeFill="background2" w:themeFillShade="E6"/>
            <w:tcMar>
              <w:left w:w="105" w:type="dxa"/>
              <w:right w:w="105" w:type="dxa"/>
            </w:tcMar>
          </w:tcPr>
          <w:p w14:paraId="1BE696D1"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2.49</w:t>
            </w:r>
          </w:p>
        </w:tc>
        <w:tc>
          <w:tcPr>
            <w:tcW w:w="254" w:type="pct"/>
            <w:tcMar>
              <w:left w:w="105" w:type="dxa"/>
              <w:right w:w="105" w:type="dxa"/>
            </w:tcMar>
          </w:tcPr>
          <w:p w14:paraId="78348E30"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3.36</w:t>
            </w:r>
          </w:p>
        </w:tc>
        <w:tc>
          <w:tcPr>
            <w:tcW w:w="254" w:type="pct"/>
            <w:tcMar>
              <w:left w:w="105" w:type="dxa"/>
              <w:right w:w="105" w:type="dxa"/>
            </w:tcMar>
          </w:tcPr>
          <w:p w14:paraId="133FC578"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2.69</w:t>
            </w:r>
          </w:p>
        </w:tc>
        <w:tc>
          <w:tcPr>
            <w:tcW w:w="251" w:type="pct"/>
            <w:shd w:val="clear" w:color="auto" w:fill="DADADA" w:themeFill="background2" w:themeFillShade="E6"/>
            <w:tcMar>
              <w:left w:w="105" w:type="dxa"/>
              <w:right w:w="105" w:type="dxa"/>
            </w:tcMar>
          </w:tcPr>
          <w:p w14:paraId="10875427"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3.14</w:t>
            </w:r>
          </w:p>
        </w:tc>
        <w:tc>
          <w:tcPr>
            <w:tcW w:w="248" w:type="pct"/>
            <w:shd w:val="clear" w:color="auto" w:fill="DADADA" w:themeFill="background2" w:themeFillShade="E6"/>
            <w:tcMar>
              <w:left w:w="105" w:type="dxa"/>
              <w:right w:w="105" w:type="dxa"/>
            </w:tcMar>
          </w:tcPr>
          <w:p w14:paraId="32B4218D"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2.51</w:t>
            </w:r>
          </w:p>
        </w:tc>
      </w:tr>
      <w:tr w:rsidR="002B6683" w:rsidRPr="00DA2128" w14:paraId="1A07052F" w14:textId="77777777" w:rsidTr="00B605CC">
        <w:trPr>
          <w:trHeight w:val="300"/>
        </w:trPr>
        <w:tc>
          <w:tcPr>
            <w:tcW w:w="376" w:type="pct"/>
            <w:tcMar>
              <w:left w:w="105" w:type="dxa"/>
              <w:right w:w="105" w:type="dxa"/>
            </w:tcMar>
          </w:tcPr>
          <w:p w14:paraId="6D99824A"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33</w:t>
            </w:r>
          </w:p>
        </w:tc>
        <w:tc>
          <w:tcPr>
            <w:tcW w:w="275" w:type="pct"/>
            <w:shd w:val="clear" w:color="auto" w:fill="DADADA" w:themeFill="background2" w:themeFillShade="E6"/>
            <w:tcMar>
              <w:left w:w="105" w:type="dxa"/>
              <w:right w:w="105" w:type="dxa"/>
            </w:tcMar>
          </w:tcPr>
          <w:p w14:paraId="35285249"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3.18</w:t>
            </w:r>
          </w:p>
        </w:tc>
        <w:tc>
          <w:tcPr>
            <w:tcW w:w="276" w:type="pct"/>
            <w:shd w:val="clear" w:color="auto" w:fill="DADADA" w:themeFill="background2" w:themeFillShade="E6"/>
            <w:tcMar>
              <w:left w:w="105" w:type="dxa"/>
              <w:right w:w="105" w:type="dxa"/>
            </w:tcMar>
          </w:tcPr>
          <w:p w14:paraId="66E988AB"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2.59</w:t>
            </w:r>
          </w:p>
        </w:tc>
        <w:tc>
          <w:tcPr>
            <w:tcW w:w="254" w:type="pct"/>
            <w:tcMar>
              <w:left w:w="105" w:type="dxa"/>
              <w:right w:w="105" w:type="dxa"/>
            </w:tcMar>
          </w:tcPr>
          <w:p w14:paraId="282CF345"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2.97</w:t>
            </w:r>
          </w:p>
        </w:tc>
        <w:tc>
          <w:tcPr>
            <w:tcW w:w="254" w:type="pct"/>
            <w:tcMar>
              <w:left w:w="105" w:type="dxa"/>
              <w:right w:w="105" w:type="dxa"/>
            </w:tcMar>
          </w:tcPr>
          <w:p w14:paraId="5F7D6E2A"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2.54</w:t>
            </w:r>
          </w:p>
        </w:tc>
        <w:tc>
          <w:tcPr>
            <w:tcW w:w="254" w:type="pct"/>
            <w:shd w:val="clear" w:color="auto" w:fill="DADADA" w:themeFill="background2" w:themeFillShade="E6"/>
            <w:tcMar>
              <w:left w:w="105" w:type="dxa"/>
              <w:right w:w="105" w:type="dxa"/>
            </w:tcMar>
          </w:tcPr>
          <w:p w14:paraId="69F821C3"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2.97</w:t>
            </w:r>
          </w:p>
        </w:tc>
        <w:tc>
          <w:tcPr>
            <w:tcW w:w="254" w:type="pct"/>
            <w:shd w:val="clear" w:color="auto" w:fill="DADADA" w:themeFill="background2" w:themeFillShade="E6"/>
            <w:tcMar>
              <w:left w:w="105" w:type="dxa"/>
              <w:right w:w="105" w:type="dxa"/>
            </w:tcMar>
          </w:tcPr>
          <w:p w14:paraId="6F34343E"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2.44</w:t>
            </w:r>
          </w:p>
        </w:tc>
        <w:tc>
          <w:tcPr>
            <w:tcW w:w="254" w:type="pct"/>
            <w:tcMar>
              <w:left w:w="105" w:type="dxa"/>
              <w:right w:w="105" w:type="dxa"/>
            </w:tcMar>
          </w:tcPr>
          <w:p w14:paraId="40C518C6"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3.03</w:t>
            </w:r>
          </w:p>
        </w:tc>
        <w:tc>
          <w:tcPr>
            <w:tcW w:w="254" w:type="pct"/>
            <w:tcMar>
              <w:left w:w="105" w:type="dxa"/>
              <w:right w:w="105" w:type="dxa"/>
            </w:tcMar>
          </w:tcPr>
          <w:p w14:paraId="64542D48"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2.68</w:t>
            </w:r>
          </w:p>
        </w:tc>
        <w:tc>
          <w:tcPr>
            <w:tcW w:w="254" w:type="pct"/>
            <w:shd w:val="clear" w:color="auto" w:fill="DADADA" w:themeFill="background2" w:themeFillShade="E6"/>
            <w:tcMar>
              <w:left w:w="105" w:type="dxa"/>
              <w:right w:w="105" w:type="dxa"/>
            </w:tcMar>
          </w:tcPr>
          <w:p w14:paraId="0C5A1CB2"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2.97</w:t>
            </w:r>
          </w:p>
        </w:tc>
        <w:tc>
          <w:tcPr>
            <w:tcW w:w="254" w:type="pct"/>
            <w:shd w:val="clear" w:color="auto" w:fill="DADADA" w:themeFill="background2" w:themeFillShade="E6"/>
            <w:tcMar>
              <w:left w:w="105" w:type="dxa"/>
              <w:right w:w="105" w:type="dxa"/>
            </w:tcMar>
          </w:tcPr>
          <w:p w14:paraId="780B7D9A"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3.03*</w:t>
            </w:r>
          </w:p>
        </w:tc>
        <w:tc>
          <w:tcPr>
            <w:tcW w:w="254" w:type="pct"/>
            <w:tcMar>
              <w:left w:w="105" w:type="dxa"/>
              <w:right w:w="105" w:type="dxa"/>
            </w:tcMar>
          </w:tcPr>
          <w:p w14:paraId="6BDE6BD6"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3.32</w:t>
            </w:r>
          </w:p>
        </w:tc>
        <w:tc>
          <w:tcPr>
            <w:tcW w:w="254" w:type="pct"/>
            <w:tcMar>
              <w:left w:w="105" w:type="dxa"/>
              <w:right w:w="105" w:type="dxa"/>
            </w:tcMar>
          </w:tcPr>
          <w:p w14:paraId="4EDBEA5A"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2.71</w:t>
            </w:r>
          </w:p>
        </w:tc>
        <w:tc>
          <w:tcPr>
            <w:tcW w:w="262" w:type="pct"/>
            <w:shd w:val="clear" w:color="auto" w:fill="DADADA" w:themeFill="background2" w:themeFillShade="E6"/>
            <w:tcMar>
              <w:left w:w="105" w:type="dxa"/>
              <w:right w:w="105" w:type="dxa"/>
            </w:tcMar>
          </w:tcPr>
          <w:p w14:paraId="65BA510A"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3.06</w:t>
            </w:r>
          </w:p>
        </w:tc>
        <w:tc>
          <w:tcPr>
            <w:tcW w:w="262" w:type="pct"/>
            <w:shd w:val="clear" w:color="auto" w:fill="DADADA" w:themeFill="background2" w:themeFillShade="E6"/>
            <w:tcMar>
              <w:left w:w="105" w:type="dxa"/>
              <w:right w:w="105" w:type="dxa"/>
            </w:tcMar>
          </w:tcPr>
          <w:p w14:paraId="37C3DE60"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2.74</w:t>
            </w:r>
          </w:p>
        </w:tc>
        <w:tc>
          <w:tcPr>
            <w:tcW w:w="254" w:type="pct"/>
            <w:tcMar>
              <w:left w:w="105" w:type="dxa"/>
              <w:right w:w="105" w:type="dxa"/>
            </w:tcMar>
          </w:tcPr>
          <w:p w14:paraId="7036D85F"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3.26</w:t>
            </w:r>
          </w:p>
        </w:tc>
        <w:tc>
          <w:tcPr>
            <w:tcW w:w="254" w:type="pct"/>
            <w:tcMar>
              <w:left w:w="105" w:type="dxa"/>
              <w:right w:w="105" w:type="dxa"/>
            </w:tcMar>
          </w:tcPr>
          <w:p w14:paraId="0317AA01"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2.64</w:t>
            </w:r>
          </w:p>
        </w:tc>
        <w:tc>
          <w:tcPr>
            <w:tcW w:w="251" w:type="pct"/>
            <w:shd w:val="clear" w:color="auto" w:fill="DADADA" w:themeFill="background2" w:themeFillShade="E6"/>
            <w:tcMar>
              <w:left w:w="105" w:type="dxa"/>
              <w:right w:w="105" w:type="dxa"/>
            </w:tcMar>
          </w:tcPr>
          <w:p w14:paraId="3DE194A5"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2.7</w:t>
            </w:r>
          </w:p>
        </w:tc>
        <w:tc>
          <w:tcPr>
            <w:tcW w:w="248" w:type="pct"/>
            <w:shd w:val="clear" w:color="auto" w:fill="DADADA" w:themeFill="background2" w:themeFillShade="E6"/>
            <w:tcMar>
              <w:left w:w="105" w:type="dxa"/>
              <w:right w:w="105" w:type="dxa"/>
            </w:tcMar>
          </w:tcPr>
          <w:p w14:paraId="12106533"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2.54</w:t>
            </w:r>
          </w:p>
        </w:tc>
      </w:tr>
      <w:tr w:rsidR="002B6683" w:rsidRPr="00DA2128" w14:paraId="40CE77C9" w14:textId="77777777" w:rsidTr="00B605CC">
        <w:trPr>
          <w:trHeight w:val="300"/>
        </w:trPr>
        <w:tc>
          <w:tcPr>
            <w:tcW w:w="376" w:type="pct"/>
            <w:tcMar>
              <w:left w:w="105" w:type="dxa"/>
              <w:right w:w="105" w:type="dxa"/>
            </w:tcMar>
          </w:tcPr>
          <w:p w14:paraId="1A5EA3A2"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lastRenderedPageBreak/>
              <w:t>34</w:t>
            </w:r>
          </w:p>
        </w:tc>
        <w:tc>
          <w:tcPr>
            <w:tcW w:w="275" w:type="pct"/>
            <w:shd w:val="clear" w:color="auto" w:fill="DADADA" w:themeFill="background2" w:themeFillShade="E6"/>
            <w:tcMar>
              <w:left w:w="105" w:type="dxa"/>
              <w:right w:w="105" w:type="dxa"/>
            </w:tcMar>
          </w:tcPr>
          <w:p w14:paraId="3BB8433C"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3.05</w:t>
            </w:r>
          </w:p>
        </w:tc>
        <w:tc>
          <w:tcPr>
            <w:tcW w:w="276" w:type="pct"/>
            <w:shd w:val="clear" w:color="auto" w:fill="DADADA" w:themeFill="background2" w:themeFillShade="E6"/>
            <w:tcMar>
              <w:left w:w="105" w:type="dxa"/>
              <w:right w:w="105" w:type="dxa"/>
            </w:tcMar>
          </w:tcPr>
          <w:p w14:paraId="26F83648"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2.57</w:t>
            </w:r>
          </w:p>
        </w:tc>
        <w:tc>
          <w:tcPr>
            <w:tcW w:w="254" w:type="pct"/>
            <w:tcMar>
              <w:left w:w="105" w:type="dxa"/>
              <w:right w:w="105" w:type="dxa"/>
            </w:tcMar>
          </w:tcPr>
          <w:p w14:paraId="1B4727B3"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3.05</w:t>
            </w:r>
          </w:p>
        </w:tc>
        <w:tc>
          <w:tcPr>
            <w:tcW w:w="254" w:type="pct"/>
            <w:tcMar>
              <w:left w:w="105" w:type="dxa"/>
              <w:right w:w="105" w:type="dxa"/>
            </w:tcMar>
          </w:tcPr>
          <w:p w14:paraId="13CAB2B4"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2.71</w:t>
            </w:r>
          </w:p>
        </w:tc>
        <w:tc>
          <w:tcPr>
            <w:tcW w:w="254" w:type="pct"/>
            <w:shd w:val="clear" w:color="auto" w:fill="DADADA" w:themeFill="background2" w:themeFillShade="E6"/>
            <w:tcMar>
              <w:left w:w="105" w:type="dxa"/>
              <w:right w:w="105" w:type="dxa"/>
            </w:tcMar>
          </w:tcPr>
          <w:p w14:paraId="62367177"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3.05</w:t>
            </w:r>
          </w:p>
        </w:tc>
        <w:tc>
          <w:tcPr>
            <w:tcW w:w="254" w:type="pct"/>
            <w:shd w:val="clear" w:color="auto" w:fill="DADADA" w:themeFill="background2" w:themeFillShade="E6"/>
            <w:tcMar>
              <w:left w:w="105" w:type="dxa"/>
              <w:right w:w="105" w:type="dxa"/>
            </w:tcMar>
          </w:tcPr>
          <w:p w14:paraId="5DABC668"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2.59*</w:t>
            </w:r>
          </w:p>
        </w:tc>
        <w:tc>
          <w:tcPr>
            <w:tcW w:w="254" w:type="pct"/>
            <w:tcMar>
              <w:left w:w="105" w:type="dxa"/>
              <w:right w:w="105" w:type="dxa"/>
            </w:tcMar>
          </w:tcPr>
          <w:p w14:paraId="21E77E5E"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2.69</w:t>
            </w:r>
          </w:p>
        </w:tc>
        <w:tc>
          <w:tcPr>
            <w:tcW w:w="254" w:type="pct"/>
            <w:tcMar>
              <w:left w:w="105" w:type="dxa"/>
              <w:right w:w="105" w:type="dxa"/>
            </w:tcMar>
          </w:tcPr>
          <w:p w14:paraId="48E795EB"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2.68</w:t>
            </w:r>
          </w:p>
        </w:tc>
        <w:tc>
          <w:tcPr>
            <w:tcW w:w="254" w:type="pct"/>
            <w:shd w:val="clear" w:color="auto" w:fill="DADADA" w:themeFill="background2" w:themeFillShade="E6"/>
            <w:tcMar>
              <w:left w:w="105" w:type="dxa"/>
              <w:right w:w="105" w:type="dxa"/>
            </w:tcMar>
          </w:tcPr>
          <w:p w14:paraId="776F33EE"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2.89</w:t>
            </w:r>
          </w:p>
        </w:tc>
        <w:tc>
          <w:tcPr>
            <w:tcW w:w="254" w:type="pct"/>
            <w:shd w:val="clear" w:color="auto" w:fill="DADADA" w:themeFill="background2" w:themeFillShade="E6"/>
            <w:tcMar>
              <w:left w:w="105" w:type="dxa"/>
              <w:right w:w="105" w:type="dxa"/>
            </w:tcMar>
          </w:tcPr>
          <w:p w14:paraId="00283052"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2.92</w:t>
            </w:r>
          </w:p>
        </w:tc>
        <w:tc>
          <w:tcPr>
            <w:tcW w:w="254" w:type="pct"/>
            <w:tcMar>
              <w:left w:w="105" w:type="dxa"/>
              <w:right w:w="105" w:type="dxa"/>
            </w:tcMar>
          </w:tcPr>
          <w:p w14:paraId="20D25AD6"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3.18</w:t>
            </w:r>
          </w:p>
        </w:tc>
        <w:tc>
          <w:tcPr>
            <w:tcW w:w="254" w:type="pct"/>
            <w:tcMar>
              <w:left w:w="105" w:type="dxa"/>
              <w:right w:w="105" w:type="dxa"/>
            </w:tcMar>
          </w:tcPr>
          <w:p w14:paraId="40F37B31"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2.79*</w:t>
            </w:r>
          </w:p>
        </w:tc>
        <w:tc>
          <w:tcPr>
            <w:tcW w:w="262" w:type="pct"/>
            <w:shd w:val="clear" w:color="auto" w:fill="DADADA" w:themeFill="background2" w:themeFillShade="E6"/>
            <w:tcMar>
              <w:left w:w="105" w:type="dxa"/>
              <w:right w:w="105" w:type="dxa"/>
            </w:tcMar>
          </w:tcPr>
          <w:p w14:paraId="57C9D88C"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2.92</w:t>
            </w:r>
          </w:p>
        </w:tc>
        <w:tc>
          <w:tcPr>
            <w:tcW w:w="262" w:type="pct"/>
            <w:shd w:val="clear" w:color="auto" w:fill="DADADA" w:themeFill="background2" w:themeFillShade="E6"/>
            <w:tcMar>
              <w:left w:w="105" w:type="dxa"/>
              <w:right w:w="105" w:type="dxa"/>
            </w:tcMar>
          </w:tcPr>
          <w:p w14:paraId="75855337"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2.71</w:t>
            </w:r>
          </w:p>
        </w:tc>
        <w:tc>
          <w:tcPr>
            <w:tcW w:w="254" w:type="pct"/>
            <w:tcMar>
              <w:left w:w="105" w:type="dxa"/>
              <w:right w:w="105" w:type="dxa"/>
            </w:tcMar>
          </w:tcPr>
          <w:p w14:paraId="16D65573"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3.14</w:t>
            </w:r>
          </w:p>
        </w:tc>
        <w:tc>
          <w:tcPr>
            <w:tcW w:w="254" w:type="pct"/>
            <w:tcMar>
              <w:left w:w="105" w:type="dxa"/>
              <w:right w:w="105" w:type="dxa"/>
            </w:tcMar>
          </w:tcPr>
          <w:p w14:paraId="3798E8FB"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2.58</w:t>
            </w:r>
          </w:p>
        </w:tc>
        <w:tc>
          <w:tcPr>
            <w:tcW w:w="251" w:type="pct"/>
            <w:shd w:val="clear" w:color="auto" w:fill="DADADA" w:themeFill="background2" w:themeFillShade="E6"/>
            <w:tcMar>
              <w:left w:w="105" w:type="dxa"/>
              <w:right w:w="105" w:type="dxa"/>
            </w:tcMar>
          </w:tcPr>
          <w:p w14:paraId="002EB49D"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2.89</w:t>
            </w:r>
          </w:p>
        </w:tc>
        <w:tc>
          <w:tcPr>
            <w:tcW w:w="248" w:type="pct"/>
            <w:shd w:val="clear" w:color="auto" w:fill="DADADA" w:themeFill="background2" w:themeFillShade="E6"/>
            <w:tcMar>
              <w:left w:w="105" w:type="dxa"/>
              <w:right w:w="105" w:type="dxa"/>
            </w:tcMar>
          </w:tcPr>
          <w:p w14:paraId="1AD38CD5"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2.51</w:t>
            </w:r>
          </w:p>
        </w:tc>
      </w:tr>
      <w:tr w:rsidR="002B6683" w:rsidRPr="00DA2128" w14:paraId="65945B28" w14:textId="77777777" w:rsidTr="00B605CC">
        <w:trPr>
          <w:trHeight w:val="300"/>
        </w:trPr>
        <w:tc>
          <w:tcPr>
            <w:tcW w:w="376" w:type="pct"/>
            <w:tcMar>
              <w:left w:w="105" w:type="dxa"/>
              <w:right w:w="105" w:type="dxa"/>
            </w:tcMar>
          </w:tcPr>
          <w:p w14:paraId="4BD628EB"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35</w:t>
            </w:r>
          </w:p>
        </w:tc>
        <w:tc>
          <w:tcPr>
            <w:tcW w:w="275" w:type="pct"/>
            <w:shd w:val="clear" w:color="auto" w:fill="DADADA" w:themeFill="background2" w:themeFillShade="E6"/>
            <w:tcMar>
              <w:left w:w="105" w:type="dxa"/>
              <w:right w:w="105" w:type="dxa"/>
            </w:tcMar>
          </w:tcPr>
          <w:p w14:paraId="71ECA379"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2.87</w:t>
            </w:r>
          </w:p>
        </w:tc>
        <w:tc>
          <w:tcPr>
            <w:tcW w:w="276" w:type="pct"/>
            <w:shd w:val="clear" w:color="auto" w:fill="DADADA" w:themeFill="background2" w:themeFillShade="E6"/>
            <w:tcMar>
              <w:left w:w="105" w:type="dxa"/>
              <w:right w:w="105" w:type="dxa"/>
            </w:tcMar>
          </w:tcPr>
          <w:p w14:paraId="1E484C93"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2.38</w:t>
            </w:r>
          </w:p>
        </w:tc>
        <w:tc>
          <w:tcPr>
            <w:tcW w:w="254" w:type="pct"/>
            <w:tcMar>
              <w:left w:w="105" w:type="dxa"/>
              <w:right w:w="105" w:type="dxa"/>
            </w:tcMar>
          </w:tcPr>
          <w:p w14:paraId="56AE615E"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2.68</w:t>
            </w:r>
          </w:p>
        </w:tc>
        <w:tc>
          <w:tcPr>
            <w:tcW w:w="254" w:type="pct"/>
            <w:tcMar>
              <w:left w:w="105" w:type="dxa"/>
              <w:right w:w="105" w:type="dxa"/>
            </w:tcMar>
          </w:tcPr>
          <w:p w14:paraId="7ADA354D"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2.4</w:t>
            </w:r>
          </w:p>
        </w:tc>
        <w:tc>
          <w:tcPr>
            <w:tcW w:w="254" w:type="pct"/>
            <w:shd w:val="clear" w:color="auto" w:fill="DADADA" w:themeFill="background2" w:themeFillShade="E6"/>
            <w:tcMar>
              <w:left w:w="105" w:type="dxa"/>
              <w:right w:w="105" w:type="dxa"/>
            </w:tcMar>
          </w:tcPr>
          <w:p w14:paraId="203BC93B"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2.68</w:t>
            </w:r>
          </w:p>
        </w:tc>
        <w:tc>
          <w:tcPr>
            <w:tcW w:w="254" w:type="pct"/>
            <w:shd w:val="clear" w:color="auto" w:fill="DADADA" w:themeFill="background2" w:themeFillShade="E6"/>
            <w:tcMar>
              <w:left w:w="105" w:type="dxa"/>
              <w:right w:w="105" w:type="dxa"/>
            </w:tcMar>
          </w:tcPr>
          <w:p w14:paraId="30A39275"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2.29</w:t>
            </w:r>
          </w:p>
        </w:tc>
        <w:tc>
          <w:tcPr>
            <w:tcW w:w="254" w:type="pct"/>
            <w:tcMar>
              <w:left w:w="105" w:type="dxa"/>
              <w:right w:w="105" w:type="dxa"/>
            </w:tcMar>
          </w:tcPr>
          <w:p w14:paraId="0E366AEC"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3.03</w:t>
            </w:r>
          </w:p>
        </w:tc>
        <w:tc>
          <w:tcPr>
            <w:tcW w:w="254" w:type="pct"/>
            <w:tcMar>
              <w:left w:w="105" w:type="dxa"/>
              <w:right w:w="105" w:type="dxa"/>
            </w:tcMar>
          </w:tcPr>
          <w:p w14:paraId="58B0A019"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2.43</w:t>
            </w:r>
          </w:p>
        </w:tc>
        <w:tc>
          <w:tcPr>
            <w:tcW w:w="254" w:type="pct"/>
            <w:shd w:val="clear" w:color="auto" w:fill="DADADA" w:themeFill="background2" w:themeFillShade="E6"/>
            <w:tcMar>
              <w:left w:w="105" w:type="dxa"/>
              <w:right w:w="105" w:type="dxa"/>
            </w:tcMar>
          </w:tcPr>
          <w:p w14:paraId="0AFABA0C"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3.05</w:t>
            </w:r>
          </w:p>
        </w:tc>
        <w:tc>
          <w:tcPr>
            <w:tcW w:w="254" w:type="pct"/>
            <w:shd w:val="clear" w:color="auto" w:fill="DADADA" w:themeFill="background2" w:themeFillShade="E6"/>
            <w:tcMar>
              <w:left w:w="105" w:type="dxa"/>
              <w:right w:w="105" w:type="dxa"/>
            </w:tcMar>
          </w:tcPr>
          <w:p w14:paraId="4FC02577"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2.92</w:t>
            </w:r>
          </w:p>
        </w:tc>
        <w:tc>
          <w:tcPr>
            <w:tcW w:w="254" w:type="pct"/>
            <w:tcMar>
              <w:left w:w="105" w:type="dxa"/>
              <w:right w:w="105" w:type="dxa"/>
            </w:tcMar>
          </w:tcPr>
          <w:p w14:paraId="196A2E89"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3.37</w:t>
            </w:r>
          </w:p>
        </w:tc>
        <w:tc>
          <w:tcPr>
            <w:tcW w:w="254" w:type="pct"/>
            <w:tcMar>
              <w:left w:w="105" w:type="dxa"/>
              <w:right w:w="105" w:type="dxa"/>
            </w:tcMar>
          </w:tcPr>
          <w:p w14:paraId="1987EB41"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2.59</w:t>
            </w:r>
          </w:p>
        </w:tc>
        <w:tc>
          <w:tcPr>
            <w:tcW w:w="262" w:type="pct"/>
            <w:shd w:val="clear" w:color="auto" w:fill="DADADA" w:themeFill="background2" w:themeFillShade="E6"/>
            <w:tcMar>
              <w:left w:w="105" w:type="dxa"/>
              <w:right w:w="105" w:type="dxa"/>
            </w:tcMar>
          </w:tcPr>
          <w:p w14:paraId="0E58D9E8"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3.22</w:t>
            </w:r>
          </w:p>
        </w:tc>
        <w:tc>
          <w:tcPr>
            <w:tcW w:w="262" w:type="pct"/>
            <w:shd w:val="clear" w:color="auto" w:fill="DADADA" w:themeFill="background2" w:themeFillShade="E6"/>
            <w:tcMar>
              <w:left w:w="105" w:type="dxa"/>
              <w:right w:w="105" w:type="dxa"/>
            </w:tcMar>
          </w:tcPr>
          <w:p w14:paraId="01AC6317"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2.6</w:t>
            </w:r>
          </w:p>
        </w:tc>
        <w:tc>
          <w:tcPr>
            <w:tcW w:w="254" w:type="pct"/>
            <w:tcMar>
              <w:left w:w="105" w:type="dxa"/>
              <w:right w:w="105" w:type="dxa"/>
            </w:tcMar>
          </w:tcPr>
          <w:p w14:paraId="4D62199C"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3.22</w:t>
            </w:r>
          </w:p>
        </w:tc>
        <w:tc>
          <w:tcPr>
            <w:tcW w:w="254" w:type="pct"/>
            <w:tcMar>
              <w:left w:w="105" w:type="dxa"/>
              <w:right w:w="105" w:type="dxa"/>
            </w:tcMar>
          </w:tcPr>
          <w:p w14:paraId="477D4E9D"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2.58</w:t>
            </w:r>
          </w:p>
        </w:tc>
        <w:tc>
          <w:tcPr>
            <w:tcW w:w="251" w:type="pct"/>
            <w:shd w:val="clear" w:color="auto" w:fill="DADADA" w:themeFill="background2" w:themeFillShade="E6"/>
            <w:tcMar>
              <w:left w:w="105" w:type="dxa"/>
              <w:right w:w="105" w:type="dxa"/>
            </w:tcMar>
          </w:tcPr>
          <w:p w14:paraId="2D3DBED1"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2.65</w:t>
            </w:r>
          </w:p>
        </w:tc>
        <w:tc>
          <w:tcPr>
            <w:tcW w:w="248" w:type="pct"/>
            <w:shd w:val="clear" w:color="auto" w:fill="DADADA" w:themeFill="background2" w:themeFillShade="E6"/>
            <w:tcMar>
              <w:left w:w="105" w:type="dxa"/>
              <w:right w:w="105" w:type="dxa"/>
            </w:tcMar>
          </w:tcPr>
          <w:p w14:paraId="34CE3357"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2.34</w:t>
            </w:r>
          </w:p>
        </w:tc>
      </w:tr>
      <w:tr w:rsidR="002B6683" w:rsidRPr="00DA2128" w14:paraId="03C7FEE6" w14:textId="77777777" w:rsidTr="00B605CC">
        <w:trPr>
          <w:trHeight w:val="300"/>
        </w:trPr>
        <w:tc>
          <w:tcPr>
            <w:tcW w:w="376" w:type="pct"/>
            <w:tcMar>
              <w:left w:w="105" w:type="dxa"/>
              <w:right w:w="105" w:type="dxa"/>
            </w:tcMar>
          </w:tcPr>
          <w:p w14:paraId="077A0379"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50</w:t>
            </w:r>
          </w:p>
        </w:tc>
        <w:tc>
          <w:tcPr>
            <w:tcW w:w="275" w:type="pct"/>
            <w:shd w:val="clear" w:color="auto" w:fill="DADADA" w:themeFill="background2" w:themeFillShade="E6"/>
            <w:tcMar>
              <w:left w:w="105" w:type="dxa"/>
              <w:right w:w="105" w:type="dxa"/>
            </w:tcMar>
          </w:tcPr>
          <w:p w14:paraId="6EE3E8AF"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2.95</w:t>
            </w:r>
          </w:p>
        </w:tc>
        <w:tc>
          <w:tcPr>
            <w:tcW w:w="276" w:type="pct"/>
            <w:shd w:val="clear" w:color="auto" w:fill="DADADA" w:themeFill="background2" w:themeFillShade="E6"/>
            <w:tcMar>
              <w:left w:w="105" w:type="dxa"/>
              <w:right w:w="105" w:type="dxa"/>
            </w:tcMar>
          </w:tcPr>
          <w:p w14:paraId="38627677"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2.5</w:t>
            </w:r>
          </w:p>
        </w:tc>
        <w:tc>
          <w:tcPr>
            <w:tcW w:w="254" w:type="pct"/>
            <w:tcMar>
              <w:left w:w="105" w:type="dxa"/>
              <w:right w:w="105" w:type="dxa"/>
            </w:tcMar>
          </w:tcPr>
          <w:p w14:paraId="3467747E"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2.9</w:t>
            </w:r>
          </w:p>
        </w:tc>
        <w:tc>
          <w:tcPr>
            <w:tcW w:w="254" w:type="pct"/>
            <w:tcMar>
              <w:left w:w="105" w:type="dxa"/>
              <w:right w:w="105" w:type="dxa"/>
            </w:tcMar>
          </w:tcPr>
          <w:p w14:paraId="7FECE7A0"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2.69</w:t>
            </w:r>
          </w:p>
        </w:tc>
        <w:tc>
          <w:tcPr>
            <w:tcW w:w="254" w:type="pct"/>
            <w:shd w:val="clear" w:color="auto" w:fill="DADADA" w:themeFill="background2" w:themeFillShade="E6"/>
            <w:tcMar>
              <w:left w:w="105" w:type="dxa"/>
              <w:right w:w="105" w:type="dxa"/>
            </w:tcMar>
          </w:tcPr>
          <w:p w14:paraId="3E7EEDDF"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w:t>
            </w:r>
          </w:p>
        </w:tc>
        <w:tc>
          <w:tcPr>
            <w:tcW w:w="254" w:type="pct"/>
            <w:shd w:val="clear" w:color="auto" w:fill="DADADA" w:themeFill="background2" w:themeFillShade="E6"/>
            <w:tcMar>
              <w:left w:w="105" w:type="dxa"/>
              <w:right w:w="105" w:type="dxa"/>
            </w:tcMar>
          </w:tcPr>
          <w:p w14:paraId="26784A85"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2.3</w:t>
            </w:r>
          </w:p>
        </w:tc>
        <w:tc>
          <w:tcPr>
            <w:tcW w:w="254" w:type="pct"/>
            <w:tcMar>
              <w:left w:w="105" w:type="dxa"/>
              <w:right w:w="105" w:type="dxa"/>
            </w:tcMar>
          </w:tcPr>
          <w:p w14:paraId="6FCFA73B"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3.03</w:t>
            </w:r>
          </w:p>
        </w:tc>
        <w:tc>
          <w:tcPr>
            <w:tcW w:w="254" w:type="pct"/>
            <w:tcMar>
              <w:left w:w="105" w:type="dxa"/>
              <w:right w:w="105" w:type="dxa"/>
            </w:tcMar>
          </w:tcPr>
          <w:p w14:paraId="0C4F7740"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2.38</w:t>
            </w:r>
          </w:p>
        </w:tc>
        <w:tc>
          <w:tcPr>
            <w:tcW w:w="254" w:type="pct"/>
            <w:shd w:val="clear" w:color="auto" w:fill="DADADA" w:themeFill="background2" w:themeFillShade="E6"/>
            <w:tcMar>
              <w:left w:w="105" w:type="dxa"/>
              <w:right w:w="105" w:type="dxa"/>
            </w:tcMar>
          </w:tcPr>
          <w:p w14:paraId="5F9E8C9E"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2.89</w:t>
            </w:r>
          </w:p>
        </w:tc>
        <w:tc>
          <w:tcPr>
            <w:tcW w:w="254" w:type="pct"/>
            <w:shd w:val="clear" w:color="auto" w:fill="DADADA" w:themeFill="background2" w:themeFillShade="E6"/>
            <w:tcMar>
              <w:left w:w="105" w:type="dxa"/>
              <w:right w:w="105" w:type="dxa"/>
            </w:tcMar>
          </w:tcPr>
          <w:p w14:paraId="60857658"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2.76</w:t>
            </w:r>
          </w:p>
        </w:tc>
        <w:tc>
          <w:tcPr>
            <w:tcW w:w="254" w:type="pct"/>
            <w:tcMar>
              <w:left w:w="105" w:type="dxa"/>
              <w:right w:w="105" w:type="dxa"/>
            </w:tcMar>
          </w:tcPr>
          <w:p w14:paraId="7B19EBDA"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3.11</w:t>
            </w:r>
          </w:p>
        </w:tc>
        <w:tc>
          <w:tcPr>
            <w:tcW w:w="254" w:type="pct"/>
            <w:tcMar>
              <w:left w:w="105" w:type="dxa"/>
              <w:right w:w="105" w:type="dxa"/>
            </w:tcMar>
          </w:tcPr>
          <w:p w14:paraId="2C79FAE4"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2.63</w:t>
            </w:r>
          </w:p>
        </w:tc>
        <w:tc>
          <w:tcPr>
            <w:tcW w:w="262" w:type="pct"/>
            <w:shd w:val="clear" w:color="auto" w:fill="DADADA" w:themeFill="background2" w:themeFillShade="E6"/>
            <w:tcMar>
              <w:left w:w="105" w:type="dxa"/>
              <w:right w:w="105" w:type="dxa"/>
            </w:tcMar>
          </w:tcPr>
          <w:p w14:paraId="5E9AB77F"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3.17</w:t>
            </w:r>
          </w:p>
        </w:tc>
        <w:tc>
          <w:tcPr>
            <w:tcW w:w="262" w:type="pct"/>
            <w:shd w:val="clear" w:color="auto" w:fill="DADADA" w:themeFill="background2" w:themeFillShade="E6"/>
            <w:tcMar>
              <w:left w:w="105" w:type="dxa"/>
              <w:right w:w="105" w:type="dxa"/>
            </w:tcMar>
          </w:tcPr>
          <w:p w14:paraId="707E6597"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2.63</w:t>
            </w:r>
          </w:p>
        </w:tc>
        <w:tc>
          <w:tcPr>
            <w:tcW w:w="254" w:type="pct"/>
            <w:tcMar>
              <w:left w:w="105" w:type="dxa"/>
              <w:right w:w="105" w:type="dxa"/>
            </w:tcMar>
          </w:tcPr>
          <w:p w14:paraId="3C0C459F"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3.04</w:t>
            </w:r>
          </w:p>
        </w:tc>
        <w:tc>
          <w:tcPr>
            <w:tcW w:w="254" w:type="pct"/>
            <w:tcMar>
              <w:left w:w="105" w:type="dxa"/>
              <w:right w:w="105" w:type="dxa"/>
            </w:tcMar>
          </w:tcPr>
          <w:p w14:paraId="3DD7B0AA"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2.67</w:t>
            </w:r>
          </w:p>
        </w:tc>
        <w:tc>
          <w:tcPr>
            <w:tcW w:w="251" w:type="pct"/>
            <w:shd w:val="clear" w:color="auto" w:fill="DADADA" w:themeFill="background2" w:themeFillShade="E6"/>
            <w:tcMar>
              <w:left w:w="105" w:type="dxa"/>
              <w:right w:w="105" w:type="dxa"/>
            </w:tcMar>
          </w:tcPr>
          <w:p w14:paraId="16A143AD"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2.81</w:t>
            </w:r>
          </w:p>
        </w:tc>
        <w:tc>
          <w:tcPr>
            <w:tcW w:w="248" w:type="pct"/>
            <w:shd w:val="clear" w:color="auto" w:fill="DADADA" w:themeFill="background2" w:themeFillShade="E6"/>
            <w:tcMar>
              <w:left w:w="105" w:type="dxa"/>
              <w:right w:w="105" w:type="dxa"/>
            </w:tcMar>
          </w:tcPr>
          <w:p w14:paraId="43ADF620"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2.26</w:t>
            </w:r>
          </w:p>
        </w:tc>
      </w:tr>
      <w:tr w:rsidR="002B6683" w:rsidRPr="00DA2128" w14:paraId="4BDD0F9C" w14:textId="77777777" w:rsidTr="00B605CC">
        <w:trPr>
          <w:trHeight w:val="300"/>
        </w:trPr>
        <w:tc>
          <w:tcPr>
            <w:tcW w:w="376" w:type="pct"/>
            <w:tcMar>
              <w:left w:w="105" w:type="dxa"/>
              <w:right w:w="105" w:type="dxa"/>
            </w:tcMar>
          </w:tcPr>
          <w:p w14:paraId="2A8A65CB"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59</w:t>
            </w:r>
          </w:p>
        </w:tc>
        <w:tc>
          <w:tcPr>
            <w:tcW w:w="275" w:type="pct"/>
            <w:shd w:val="clear" w:color="auto" w:fill="DADADA" w:themeFill="background2" w:themeFillShade="E6"/>
            <w:tcMar>
              <w:left w:w="105" w:type="dxa"/>
              <w:right w:w="105" w:type="dxa"/>
            </w:tcMar>
          </w:tcPr>
          <w:p w14:paraId="1A6FE4FB"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2.76</w:t>
            </w:r>
          </w:p>
        </w:tc>
        <w:tc>
          <w:tcPr>
            <w:tcW w:w="276" w:type="pct"/>
            <w:shd w:val="clear" w:color="auto" w:fill="DADADA" w:themeFill="background2" w:themeFillShade="E6"/>
            <w:tcMar>
              <w:left w:w="105" w:type="dxa"/>
              <w:right w:w="105" w:type="dxa"/>
            </w:tcMar>
          </w:tcPr>
          <w:p w14:paraId="51B0288E"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2.38</w:t>
            </w:r>
          </w:p>
        </w:tc>
        <w:tc>
          <w:tcPr>
            <w:tcW w:w="254" w:type="pct"/>
            <w:tcMar>
              <w:left w:w="105" w:type="dxa"/>
              <w:right w:w="105" w:type="dxa"/>
            </w:tcMar>
          </w:tcPr>
          <w:p w14:paraId="6E10B257"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2.93</w:t>
            </w:r>
          </w:p>
        </w:tc>
        <w:tc>
          <w:tcPr>
            <w:tcW w:w="254" w:type="pct"/>
            <w:tcMar>
              <w:left w:w="105" w:type="dxa"/>
              <w:right w:w="105" w:type="dxa"/>
            </w:tcMar>
          </w:tcPr>
          <w:p w14:paraId="11969CE2"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2.34</w:t>
            </w:r>
          </w:p>
        </w:tc>
        <w:tc>
          <w:tcPr>
            <w:tcW w:w="254" w:type="pct"/>
            <w:shd w:val="clear" w:color="auto" w:fill="DADADA" w:themeFill="background2" w:themeFillShade="E6"/>
            <w:tcMar>
              <w:left w:w="105" w:type="dxa"/>
              <w:right w:w="105" w:type="dxa"/>
            </w:tcMar>
          </w:tcPr>
          <w:p w14:paraId="5A0D4585"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2.93</w:t>
            </w:r>
          </w:p>
        </w:tc>
        <w:tc>
          <w:tcPr>
            <w:tcW w:w="254" w:type="pct"/>
            <w:shd w:val="clear" w:color="auto" w:fill="DADADA" w:themeFill="background2" w:themeFillShade="E6"/>
            <w:tcMar>
              <w:left w:w="105" w:type="dxa"/>
              <w:right w:w="105" w:type="dxa"/>
            </w:tcMar>
          </w:tcPr>
          <w:p w14:paraId="4A30DABB"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2.26</w:t>
            </w:r>
          </w:p>
        </w:tc>
        <w:tc>
          <w:tcPr>
            <w:tcW w:w="254" w:type="pct"/>
            <w:tcMar>
              <w:left w:w="105" w:type="dxa"/>
              <w:right w:w="105" w:type="dxa"/>
            </w:tcMar>
          </w:tcPr>
          <w:p w14:paraId="4F44027D"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w:t>
            </w:r>
          </w:p>
        </w:tc>
        <w:tc>
          <w:tcPr>
            <w:tcW w:w="254" w:type="pct"/>
            <w:tcMar>
              <w:left w:w="105" w:type="dxa"/>
              <w:right w:w="105" w:type="dxa"/>
            </w:tcMar>
          </w:tcPr>
          <w:p w14:paraId="7F2044FB"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2.65</w:t>
            </w:r>
          </w:p>
        </w:tc>
        <w:tc>
          <w:tcPr>
            <w:tcW w:w="254" w:type="pct"/>
            <w:shd w:val="clear" w:color="auto" w:fill="DADADA" w:themeFill="background2" w:themeFillShade="E6"/>
            <w:tcMar>
              <w:left w:w="105" w:type="dxa"/>
              <w:right w:w="105" w:type="dxa"/>
            </w:tcMar>
          </w:tcPr>
          <w:p w14:paraId="14034DA4"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2.97</w:t>
            </w:r>
          </w:p>
        </w:tc>
        <w:tc>
          <w:tcPr>
            <w:tcW w:w="254" w:type="pct"/>
            <w:shd w:val="clear" w:color="auto" w:fill="DADADA" w:themeFill="background2" w:themeFillShade="E6"/>
            <w:tcMar>
              <w:left w:w="105" w:type="dxa"/>
              <w:right w:w="105" w:type="dxa"/>
            </w:tcMar>
          </w:tcPr>
          <w:p w14:paraId="5DC65B2D"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2.84</w:t>
            </w:r>
          </w:p>
        </w:tc>
        <w:tc>
          <w:tcPr>
            <w:tcW w:w="254" w:type="pct"/>
            <w:tcMar>
              <w:left w:w="105" w:type="dxa"/>
              <w:right w:w="105" w:type="dxa"/>
            </w:tcMar>
          </w:tcPr>
          <w:p w14:paraId="1DA4BBF2"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3.16</w:t>
            </w:r>
          </w:p>
        </w:tc>
        <w:tc>
          <w:tcPr>
            <w:tcW w:w="254" w:type="pct"/>
            <w:tcMar>
              <w:left w:w="105" w:type="dxa"/>
              <w:right w:w="105" w:type="dxa"/>
            </w:tcMar>
          </w:tcPr>
          <w:p w14:paraId="53CAEA49"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2.54</w:t>
            </w:r>
          </w:p>
        </w:tc>
        <w:tc>
          <w:tcPr>
            <w:tcW w:w="262" w:type="pct"/>
            <w:shd w:val="clear" w:color="auto" w:fill="DADADA" w:themeFill="background2" w:themeFillShade="E6"/>
            <w:tcMar>
              <w:left w:w="105" w:type="dxa"/>
              <w:right w:w="105" w:type="dxa"/>
            </w:tcMar>
          </w:tcPr>
          <w:p w14:paraId="2A8AD547"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3.08</w:t>
            </w:r>
          </w:p>
        </w:tc>
        <w:tc>
          <w:tcPr>
            <w:tcW w:w="262" w:type="pct"/>
            <w:shd w:val="clear" w:color="auto" w:fill="DADADA" w:themeFill="background2" w:themeFillShade="E6"/>
            <w:tcMar>
              <w:left w:w="105" w:type="dxa"/>
              <w:right w:w="105" w:type="dxa"/>
            </w:tcMar>
          </w:tcPr>
          <w:p w14:paraId="2B24C7B5"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2.77</w:t>
            </w:r>
          </w:p>
        </w:tc>
        <w:tc>
          <w:tcPr>
            <w:tcW w:w="254" w:type="pct"/>
            <w:tcMar>
              <w:left w:w="105" w:type="dxa"/>
              <w:right w:w="105" w:type="dxa"/>
            </w:tcMar>
          </w:tcPr>
          <w:p w14:paraId="3D0E2619"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3.12</w:t>
            </w:r>
          </w:p>
        </w:tc>
        <w:tc>
          <w:tcPr>
            <w:tcW w:w="254" w:type="pct"/>
            <w:tcMar>
              <w:left w:w="105" w:type="dxa"/>
              <w:right w:w="105" w:type="dxa"/>
            </w:tcMar>
          </w:tcPr>
          <w:p w14:paraId="62D86186"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2.66</w:t>
            </w:r>
          </w:p>
        </w:tc>
        <w:tc>
          <w:tcPr>
            <w:tcW w:w="251" w:type="pct"/>
            <w:shd w:val="clear" w:color="auto" w:fill="DADADA" w:themeFill="background2" w:themeFillShade="E6"/>
            <w:tcMar>
              <w:left w:w="105" w:type="dxa"/>
              <w:right w:w="105" w:type="dxa"/>
            </w:tcMar>
          </w:tcPr>
          <w:p w14:paraId="222246B8"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2.68</w:t>
            </w:r>
          </w:p>
        </w:tc>
        <w:tc>
          <w:tcPr>
            <w:tcW w:w="248" w:type="pct"/>
            <w:shd w:val="clear" w:color="auto" w:fill="DADADA" w:themeFill="background2" w:themeFillShade="E6"/>
            <w:tcMar>
              <w:left w:w="105" w:type="dxa"/>
              <w:right w:w="105" w:type="dxa"/>
            </w:tcMar>
          </w:tcPr>
          <w:p w14:paraId="17FFD00C"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2.46</w:t>
            </w:r>
          </w:p>
        </w:tc>
      </w:tr>
      <w:tr w:rsidR="002B6683" w:rsidRPr="00DA2128" w14:paraId="4AB44B65" w14:textId="77777777" w:rsidTr="00B605CC">
        <w:trPr>
          <w:trHeight w:val="300"/>
        </w:trPr>
        <w:tc>
          <w:tcPr>
            <w:tcW w:w="376" w:type="pct"/>
            <w:tcMar>
              <w:left w:w="105" w:type="dxa"/>
              <w:right w:w="105" w:type="dxa"/>
            </w:tcMar>
          </w:tcPr>
          <w:p w14:paraId="7AACB6CC"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61</w:t>
            </w:r>
          </w:p>
        </w:tc>
        <w:tc>
          <w:tcPr>
            <w:tcW w:w="275" w:type="pct"/>
            <w:shd w:val="clear" w:color="auto" w:fill="DADADA" w:themeFill="background2" w:themeFillShade="E6"/>
            <w:tcMar>
              <w:left w:w="105" w:type="dxa"/>
              <w:right w:w="105" w:type="dxa"/>
            </w:tcMar>
          </w:tcPr>
          <w:p w14:paraId="4EEDBC3A"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3.26*</w:t>
            </w:r>
          </w:p>
        </w:tc>
        <w:tc>
          <w:tcPr>
            <w:tcW w:w="276" w:type="pct"/>
            <w:shd w:val="clear" w:color="auto" w:fill="DADADA" w:themeFill="background2" w:themeFillShade="E6"/>
            <w:tcMar>
              <w:left w:w="105" w:type="dxa"/>
              <w:right w:w="105" w:type="dxa"/>
            </w:tcMar>
          </w:tcPr>
          <w:p w14:paraId="115ACA53"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2.69</w:t>
            </w:r>
          </w:p>
        </w:tc>
        <w:tc>
          <w:tcPr>
            <w:tcW w:w="254" w:type="pct"/>
            <w:tcMar>
              <w:left w:w="105" w:type="dxa"/>
              <w:right w:w="105" w:type="dxa"/>
            </w:tcMar>
          </w:tcPr>
          <w:p w14:paraId="6310900B"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3.23*</w:t>
            </w:r>
          </w:p>
        </w:tc>
        <w:tc>
          <w:tcPr>
            <w:tcW w:w="254" w:type="pct"/>
            <w:tcMar>
              <w:left w:w="105" w:type="dxa"/>
              <w:right w:w="105" w:type="dxa"/>
            </w:tcMar>
          </w:tcPr>
          <w:p w14:paraId="0D72D130"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2.71</w:t>
            </w:r>
          </w:p>
        </w:tc>
        <w:tc>
          <w:tcPr>
            <w:tcW w:w="254" w:type="pct"/>
            <w:shd w:val="clear" w:color="auto" w:fill="DADADA" w:themeFill="background2" w:themeFillShade="E6"/>
            <w:tcMar>
              <w:left w:w="105" w:type="dxa"/>
              <w:right w:w="105" w:type="dxa"/>
            </w:tcMar>
          </w:tcPr>
          <w:p w14:paraId="08CFD417"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3.23*</w:t>
            </w:r>
          </w:p>
        </w:tc>
        <w:tc>
          <w:tcPr>
            <w:tcW w:w="254" w:type="pct"/>
            <w:shd w:val="clear" w:color="auto" w:fill="DADADA" w:themeFill="background2" w:themeFillShade="E6"/>
            <w:tcMar>
              <w:left w:w="105" w:type="dxa"/>
              <w:right w:w="105" w:type="dxa"/>
            </w:tcMar>
          </w:tcPr>
          <w:p w14:paraId="28082BEE"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2.21</w:t>
            </w:r>
          </w:p>
        </w:tc>
        <w:tc>
          <w:tcPr>
            <w:tcW w:w="254" w:type="pct"/>
            <w:tcMar>
              <w:left w:w="105" w:type="dxa"/>
              <w:right w:w="105" w:type="dxa"/>
            </w:tcMar>
          </w:tcPr>
          <w:p w14:paraId="5C8A1E6E"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3.46*</w:t>
            </w:r>
          </w:p>
        </w:tc>
        <w:tc>
          <w:tcPr>
            <w:tcW w:w="254" w:type="pct"/>
            <w:tcMar>
              <w:left w:w="105" w:type="dxa"/>
              <w:right w:w="105" w:type="dxa"/>
            </w:tcMar>
          </w:tcPr>
          <w:p w14:paraId="39BE3B0D"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2.42</w:t>
            </w:r>
          </w:p>
        </w:tc>
        <w:tc>
          <w:tcPr>
            <w:tcW w:w="254" w:type="pct"/>
            <w:shd w:val="clear" w:color="auto" w:fill="DADADA" w:themeFill="background2" w:themeFillShade="E6"/>
            <w:tcMar>
              <w:left w:w="105" w:type="dxa"/>
              <w:right w:w="105" w:type="dxa"/>
            </w:tcMar>
          </w:tcPr>
          <w:p w14:paraId="51EC3A70"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2.92</w:t>
            </w:r>
          </w:p>
        </w:tc>
        <w:tc>
          <w:tcPr>
            <w:tcW w:w="254" w:type="pct"/>
            <w:shd w:val="clear" w:color="auto" w:fill="DADADA" w:themeFill="background2" w:themeFillShade="E6"/>
            <w:tcMar>
              <w:left w:w="105" w:type="dxa"/>
              <w:right w:w="105" w:type="dxa"/>
            </w:tcMar>
          </w:tcPr>
          <w:p w14:paraId="6E8AB6EC"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2.68</w:t>
            </w:r>
          </w:p>
        </w:tc>
        <w:tc>
          <w:tcPr>
            <w:tcW w:w="254" w:type="pct"/>
            <w:tcMar>
              <w:left w:w="105" w:type="dxa"/>
              <w:right w:w="105" w:type="dxa"/>
            </w:tcMar>
          </w:tcPr>
          <w:p w14:paraId="5A986C93"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3.42</w:t>
            </w:r>
          </w:p>
        </w:tc>
        <w:tc>
          <w:tcPr>
            <w:tcW w:w="254" w:type="pct"/>
            <w:tcMar>
              <w:left w:w="105" w:type="dxa"/>
              <w:right w:w="105" w:type="dxa"/>
            </w:tcMar>
          </w:tcPr>
          <w:p w14:paraId="248A3286"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2.62</w:t>
            </w:r>
          </w:p>
        </w:tc>
        <w:tc>
          <w:tcPr>
            <w:tcW w:w="262" w:type="pct"/>
            <w:shd w:val="clear" w:color="auto" w:fill="DADADA" w:themeFill="background2" w:themeFillShade="E6"/>
            <w:tcMar>
              <w:left w:w="105" w:type="dxa"/>
              <w:right w:w="105" w:type="dxa"/>
            </w:tcMar>
          </w:tcPr>
          <w:p w14:paraId="64C10077"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3.17</w:t>
            </w:r>
          </w:p>
        </w:tc>
        <w:tc>
          <w:tcPr>
            <w:tcW w:w="262" w:type="pct"/>
            <w:shd w:val="clear" w:color="auto" w:fill="DADADA" w:themeFill="background2" w:themeFillShade="E6"/>
            <w:tcMar>
              <w:left w:w="105" w:type="dxa"/>
              <w:right w:w="105" w:type="dxa"/>
            </w:tcMar>
          </w:tcPr>
          <w:p w14:paraId="5B3BC180"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2.74</w:t>
            </w:r>
          </w:p>
        </w:tc>
        <w:tc>
          <w:tcPr>
            <w:tcW w:w="254" w:type="pct"/>
            <w:tcMar>
              <w:left w:w="105" w:type="dxa"/>
              <w:right w:w="105" w:type="dxa"/>
            </w:tcMar>
          </w:tcPr>
          <w:p w14:paraId="1E7B3766"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3.36*</w:t>
            </w:r>
          </w:p>
        </w:tc>
        <w:tc>
          <w:tcPr>
            <w:tcW w:w="254" w:type="pct"/>
            <w:tcMar>
              <w:left w:w="105" w:type="dxa"/>
              <w:right w:w="105" w:type="dxa"/>
            </w:tcMar>
          </w:tcPr>
          <w:p w14:paraId="78090D1B"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2.75*</w:t>
            </w:r>
          </w:p>
        </w:tc>
        <w:tc>
          <w:tcPr>
            <w:tcW w:w="251" w:type="pct"/>
            <w:shd w:val="clear" w:color="auto" w:fill="DADADA" w:themeFill="background2" w:themeFillShade="E6"/>
            <w:tcMar>
              <w:left w:w="105" w:type="dxa"/>
              <w:right w:w="105" w:type="dxa"/>
            </w:tcMar>
          </w:tcPr>
          <w:p w14:paraId="0E48C8D6"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3.22</w:t>
            </w:r>
          </w:p>
        </w:tc>
        <w:tc>
          <w:tcPr>
            <w:tcW w:w="248" w:type="pct"/>
            <w:shd w:val="clear" w:color="auto" w:fill="DADADA" w:themeFill="background2" w:themeFillShade="E6"/>
            <w:tcMar>
              <w:left w:w="105" w:type="dxa"/>
              <w:right w:w="105" w:type="dxa"/>
            </w:tcMar>
          </w:tcPr>
          <w:p w14:paraId="194D6F52"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2.51</w:t>
            </w:r>
          </w:p>
        </w:tc>
      </w:tr>
      <w:tr w:rsidR="002B6683" w:rsidRPr="00DA2128" w14:paraId="6405ACEE" w14:textId="77777777" w:rsidTr="00B605CC">
        <w:trPr>
          <w:trHeight w:val="300"/>
        </w:trPr>
        <w:tc>
          <w:tcPr>
            <w:tcW w:w="376" w:type="pct"/>
            <w:tcMar>
              <w:left w:w="105" w:type="dxa"/>
              <w:right w:w="105" w:type="dxa"/>
            </w:tcMar>
          </w:tcPr>
          <w:p w14:paraId="01BD3AC9"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78</w:t>
            </w:r>
          </w:p>
        </w:tc>
        <w:tc>
          <w:tcPr>
            <w:tcW w:w="275" w:type="pct"/>
            <w:shd w:val="clear" w:color="auto" w:fill="DADADA" w:themeFill="background2" w:themeFillShade="E6"/>
            <w:tcMar>
              <w:left w:w="105" w:type="dxa"/>
              <w:right w:w="105" w:type="dxa"/>
            </w:tcMar>
          </w:tcPr>
          <w:p w14:paraId="5384E35F"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3.21</w:t>
            </w:r>
          </w:p>
        </w:tc>
        <w:tc>
          <w:tcPr>
            <w:tcW w:w="276" w:type="pct"/>
            <w:shd w:val="clear" w:color="auto" w:fill="DADADA" w:themeFill="background2" w:themeFillShade="E6"/>
            <w:tcMar>
              <w:left w:w="105" w:type="dxa"/>
              <w:right w:w="105" w:type="dxa"/>
            </w:tcMar>
          </w:tcPr>
          <w:p w14:paraId="2C138FC1"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2.78*</w:t>
            </w:r>
          </w:p>
        </w:tc>
        <w:tc>
          <w:tcPr>
            <w:tcW w:w="254" w:type="pct"/>
            <w:tcMar>
              <w:left w:w="105" w:type="dxa"/>
              <w:right w:w="105" w:type="dxa"/>
            </w:tcMar>
          </w:tcPr>
          <w:p w14:paraId="057E9A3C"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3.03</w:t>
            </w:r>
          </w:p>
        </w:tc>
        <w:tc>
          <w:tcPr>
            <w:tcW w:w="254" w:type="pct"/>
            <w:tcMar>
              <w:left w:w="105" w:type="dxa"/>
              <w:right w:w="105" w:type="dxa"/>
            </w:tcMar>
          </w:tcPr>
          <w:p w14:paraId="64EFAF56"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2.74*</w:t>
            </w:r>
          </w:p>
        </w:tc>
        <w:tc>
          <w:tcPr>
            <w:tcW w:w="254" w:type="pct"/>
            <w:shd w:val="clear" w:color="auto" w:fill="DADADA" w:themeFill="background2" w:themeFillShade="E6"/>
            <w:tcMar>
              <w:left w:w="105" w:type="dxa"/>
              <w:right w:w="105" w:type="dxa"/>
            </w:tcMar>
          </w:tcPr>
          <w:p w14:paraId="5A265147"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3.03</w:t>
            </w:r>
          </w:p>
        </w:tc>
        <w:tc>
          <w:tcPr>
            <w:tcW w:w="254" w:type="pct"/>
            <w:shd w:val="clear" w:color="auto" w:fill="DADADA" w:themeFill="background2" w:themeFillShade="E6"/>
            <w:tcMar>
              <w:left w:w="105" w:type="dxa"/>
              <w:right w:w="105" w:type="dxa"/>
            </w:tcMar>
          </w:tcPr>
          <w:p w14:paraId="0B09053C"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2.53</w:t>
            </w:r>
          </w:p>
        </w:tc>
        <w:tc>
          <w:tcPr>
            <w:tcW w:w="254" w:type="pct"/>
            <w:tcMar>
              <w:left w:w="105" w:type="dxa"/>
              <w:right w:w="105" w:type="dxa"/>
            </w:tcMar>
          </w:tcPr>
          <w:p w14:paraId="741A8C9C"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3.36</w:t>
            </w:r>
          </w:p>
        </w:tc>
        <w:tc>
          <w:tcPr>
            <w:tcW w:w="254" w:type="pct"/>
            <w:tcMar>
              <w:left w:w="105" w:type="dxa"/>
              <w:right w:w="105" w:type="dxa"/>
            </w:tcMar>
          </w:tcPr>
          <w:p w14:paraId="39913741"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3.03*</w:t>
            </w:r>
          </w:p>
        </w:tc>
        <w:tc>
          <w:tcPr>
            <w:tcW w:w="254" w:type="pct"/>
            <w:shd w:val="clear" w:color="auto" w:fill="DADADA" w:themeFill="background2" w:themeFillShade="E6"/>
            <w:tcMar>
              <w:left w:w="105" w:type="dxa"/>
              <w:right w:w="105" w:type="dxa"/>
            </w:tcMar>
          </w:tcPr>
          <w:p w14:paraId="130198C0"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3.11</w:t>
            </w:r>
          </w:p>
        </w:tc>
        <w:tc>
          <w:tcPr>
            <w:tcW w:w="254" w:type="pct"/>
            <w:shd w:val="clear" w:color="auto" w:fill="DADADA" w:themeFill="background2" w:themeFillShade="E6"/>
            <w:tcMar>
              <w:left w:w="105" w:type="dxa"/>
              <w:right w:w="105" w:type="dxa"/>
            </w:tcMar>
          </w:tcPr>
          <w:p w14:paraId="3F4DB2F3"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2.78</w:t>
            </w:r>
          </w:p>
        </w:tc>
        <w:tc>
          <w:tcPr>
            <w:tcW w:w="254" w:type="pct"/>
            <w:tcMar>
              <w:left w:w="105" w:type="dxa"/>
              <w:right w:w="105" w:type="dxa"/>
            </w:tcMar>
          </w:tcPr>
          <w:p w14:paraId="22D6ECC5"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3.53</w:t>
            </w:r>
          </w:p>
        </w:tc>
        <w:tc>
          <w:tcPr>
            <w:tcW w:w="254" w:type="pct"/>
            <w:tcMar>
              <w:left w:w="105" w:type="dxa"/>
              <w:right w:w="105" w:type="dxa"/>
            </w:tcMar>
          </w:tcPr>
          <w:p w14:paraId="2A4608E6"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2.65</w:t>
            </w:r>
          </w:p>
        </w:tc>
        <w:tc>
          <w:tcPr>
            <w:tcW w:w="262" w:type="pct"/>
            <w:shd w:val="clear" w:color="auto" w:fill="DADADA" w:themeFill="background2" w:themeFillShade="E6"/>
            <w:tcMar>
              <w:left w:w="105" w:type="dxa"/>
              <w:right w:w="105" w:type="dxa"/>
            </w:tcMar>
          </w:tcPr>
          <w:p w14:paraId="5BD03665"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3.37*</w:t>
            </w:r>
          </w:p>
        </w:tc>
        <w:tc>
          <w:tcPr>
            <w:tcW w:w="262" w:type="pct"/>
            <w:shd w:val="clear" w:color="auto" w:fill="DADADA" w:themeFill="background2" w:themeFillShade="E6"/>
            <w:tcMar>
              <w:left w:w="105" w:type="dxa"/>
              <w:right w:w="105" w:type="dxa"/>
            </w:tcMar>
          </w:tcPr>
          <w:p w14:paraId="5DC3AE89"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2.8*</w:t>
            </w:r>
          </w:p>
        </w:tc>
        <w:tc>
          <w:tcPr>
            <w:tcW w:w="254" w:type="pct"/>
            <w:tcMar>
              <w:left w:w="105" w:type="dxa"/>
              <w:right w:w="105" w:type="dxa"/>
            </w:tcMar>
          </w:tcPr>
          <w:p w14:paraId="370BA28D"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3.31</w:t>
            </w:r>
          </w:p>
        </w:tc>
        <w:tc>
          <w:tcPr>
            <w:tcW w:w="254" w:type="pct"/>
            <w:tcMar>
              <w:left w:w="105" w:type="dxa"/>
              <w:right w:w="105" w:type="dxa"/>
            </w:tcMar>
          </w:tcPr>
          <w:p w14:paraId="5467BA76"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2.65</w:t>
            </w:r>
          </w:p>
        </w:tc>
        <w:tc>
          <w:tcPr>
            <w:tcW w:w="251" w:type="pct"/>
            <w:shd w:val="clear" w:color="auto" w:fill="DADADA" w:themeFill="background2" w:themeFillShade="E6"/>
            <w:tcMar>
              <w:left w:w="105" w:type="dxa"/>
              <w:right w:w="105" w:type="dxa"/>
            </w:tcMar>
          </w:tcPr>
          <w:p w14:paraId="2A692666"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3.24*</w:t>
            </w:r>
          </w:p>
        </w:tc>
        <w:tc>
          <w:tcPr>
            <w:tcW w:w="248" w:type="pct"/>
            <w:shd w:val="clear" w:color="auto" w:fill="DADADA" w:themeFill="background2" w:themeFillShade="E6"/>
            <w:tcMar>
              <w:left w:w="105" w:type="dxa"/>
              <w:right w:w="105" w:type="dxa"/>
            </w:tcMar>
          </w:tcPr>
          <w:p w14:paraId="1EF2CF41"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2.69*</w:t>
            </w:r>
          </w:p>
        </w:tc>
      </w:tr>
      <w:tr w:rsidR="002B6683" w:rsidRPr="00DA2128" w14:paraId="148930CE" w14:textId="77777777" w:rsidTr="00B605CC">
        <w:trPr>
          <w:trHeight w:val="300"/>
        </w:trPr>
        <w:tc>
          <w:tcPr>
            <w:tcW w:w="376" w:type="pct"/>
            <w:tcMar>
              <w:left w:w="105" w:type="dxa"/>
              <w:right w:w="105" w:type="dxa"/>
            </w:tcMar>
          </w:tcPr>
          <w:p w14:paraId="48C808C4"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b/>
                <w:bCs/>
                <w:sz w:val="18"/>
                <w:szCs w:val="18"/>
              </w:rPr>
              <w:t>Cluster 6</w:t>
            </w:r>
          </w:p>
        </w:tc>
        <w:tc>
          <w:tcPr>
            <w:tcW w:w="275" w:type="pct"/>
            <w:shd w:val="clear" w:color="auto" w:fill="DADADA" w:themeFill="background2" w:themeFillShade="E6"/>
            <w:tcMar>
              <w:left w:w="105" w:type="dxa"/>
              <w:right w:w="105" w:type="dxa"/>
            </w:tcMar>
          </w:tcPr>
          <w:p w14:paraId="3D052D08"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b/>
                <w:bCs/>
                <w:sz w:val="18"/>
                <w:szCs w:val="18"/>
              </w:rPr>
              <w:t>2.85</w:t>
            </w:r>
          </w:p>
        </w:tc>
        <w:tc>
          <w:tcPr>
            <w:tcW w:w="276" w:type="pct"/>
            <w:shd w:val="clear" w:color="auto" w:fill="DADADA" w:themeFill="background2" w:themeFillShade="E6"/>
            <w:tcMar>
              <w:left w:w="105" w:type="dxa"/>
              <w:right w:w="105" w:type="dxa"/>
            </w:tcMar>
          </w:tcPr>
          <w:p w14:paraId="0A9D5FFB"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b/>
                <w:bCs/>
                <w:sz w:val="18"/>
                <w:szCs w:val="18"/>
              </w:rPr>
              <w:t>2.66</w:t>
            </w:r>
          </w:p>
        </w:tc>
        <w:tc>
          <w:tcPr>
            <w:tcW w:w="254" w:type="pct"/>
            <w:tcMar>
              <w:left w:w="105" w:type="dxa"/>
              <w:right w:w="105" w:type="dxa"/>
            </w:tcMar>
          </w:tcPr>
          <w:p w14:paraId="5277CC04"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b/>
                <w:bCs/>
                <w:sz w:val="18"/>
                <w:szCs w:val="18"/>
              </w:rPr>
              <w:t>2.95</w:t>
            </w:r>
          </w:p>
        </w:tc>
        <w:tc>
          <w:tcPr>
            <w:tcW w:w="254" w:type="pct"/>
            <w:tcMar>
              <w:left w:w="105" w:type="dxa"/>
              <w:right w:w="105" w:type="dxa"/>
            </w:tcMar>
          </w:tcPr>
          <w:p w14:paraId="58DA9942"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b/>
                <w:bCs/>
                <w:sz w:val="18"/>
                <w:szCs w:val="18"/>
              </w:rPr>
              <w:t>2.67</w:t>
            </w:r>
          </w:p>
        </w:tc>
        <w:tc>
          <w:tcPr>
            <w:tcW w:w="254" w:type="pct"/>
            <w:shd w:val="clear" w:color="auto" w:fill="DADADA" w:themeFill="background2" w:themeFillShade="E6"/>
            <w:tcMar>
              <w:left w:w="105" w:type="dxa"/>
              <w:right w:w="105" w:type="dxa"/>
            </w:tcMar>
          </w:tcPr>
          <w:p w14:paraId="553650B7" w14:textId="77777777" w:rsidR="002B6683" w:rsidRPr="00DA2128" w:rsidRDefault="002B6683"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b/>
                <w:bCs/>
                <w:color w:val="000000" w:themeColor="text1"/>
                <w:sz w:val="18"/>
                <w:szCs w:val="18"/>
              </w:rPr>
              <w:t>2.95</w:t>
            </w:r>
          </w:p>
        </w:tc>
        <w:tc>
          <w:tcPr>
            <w:tcW w:w="254" w:type="pct"/>
            <w:shd w:val="clear" w:color="auto" w:fill="DADADA" w:themeFill="background2" w:themeFillShade="E6"/>
            <w:tcMar>
              <w:left w:w="105" w:type="dxa"/>
              <w:right w:w="105" w:type="dxa"/>
            </w:tcMar>
          </w:tcPr>
          <w:p w14:paraId="1FC37139" w14:textId="77777777" w:rsidR="002B6683" w:rsidRPr="00DA2128" w:rsidRDefault="002B6683"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b/>
                <w:bCs/>
                <w:color w:val="000000" w:themeColor="text1"/>
                <w:sz w:val="18"/>
                <w:szCs w:val="18"/>
              </w:rPr>
              <w:t>2.56</w:t>
            </w:r>
          </w:p>
        </w:tc>
        <w:tc>
          <w:tcPr>
            <w:tcW w:w="254" w:type="pct"/>
            <w:tcMar>
              <w:left w:w="105" w:type="dxa"/>
              <w:right w:w="105" w:type="dxa"/>
            </w:tcMar>
          </w:tcPr>
          <w:p w14:paraId="27DB4B09"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b/>
                <w:bCs/>
                <w:sz w:val="18"/>
                <w:szCs w:val="18"/>
              </w:rPr>
              <w:t>2.91</w:t>
            </w:r>
          </w:p>
        </w:tc>
        <w:tc>
          <w:tcPr>
            <w:tcW w:w="254" w:type="pct"/>
            <w:tcMar>
              <w:left w:w="105" w:type="dxa"/>
              <w:right w:w="105" w:type="dxa"/>
            </w:tcMar>
          </w:tcPr>
          <w:p w14:paraId="22DA5C02"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b/>
                <w:bCs/>
                <w:sz w:val="18"/>
                <w:szCs w:val="18"/>
              </w:rPr>
              <w:t>2.74</w:t>
            </w:r>
          </w:p>
        </w:tc>
        <w:tc>
          <w:tcPr>
            <w:tcW w:w="254" w:type="pct"/>
            <w:shd w:val="clear" w:color="auto" w:fill="DADADA" w:themeFill="background2" w:themeFillShade="E6"/>
            <w:tcMar>
              <w:left w:w="105" w:type="dxa"/>
              <w:right w:w="105" w:type="dxa"/>
            </w:tcMar>
          </w:tcPr>
          <w:p w14:paraId="2E0873FF"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b/>
                <w:bCs/>
                <w:sz w:val="18"/>
                <w:szCs w:val="18"/>
              </w:rPr>
              <w:t>3</w:t>
            </w:r>
          </w:p>
        </w:tc>
        <w:tc>
          <w:tcPr>
            <w:tcW w:w="254" w:type="pct"/>
            <w:shd w:val="clear" w:color="auto" w:fill="DADADA" w:themeFill="background2" w:themeFillShade="E6"/>
            <w:tcMar>
              <w:left w:w="105" w:type="dxa"/>
              <w:right w:w="105" w:type="dxa"/>
            </w:tcMar>
          </w:tcPr>
          <w:p w14:paraId="1556CB1E"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b/>
                <w:bCs/>
                <w:sz w:val="18"/>
                <w:szCs w:val="18"/>
              </w:rPr>
              <w:t>2.94</w:t>
            </w:r>
          </w:p>
        </w:tc>
        <w:tc>
          <w:tcPr>
            <w:tcW w:w="254" w:type="pct"/>
            <w:tcMar>
              <w:left w:w="105" w:type="dxa"/>
              <w:right w:w="105" w:type="dxa"/>
            </w:tcMar>
          </w:tcPr>
          <w:p w14:paraId="3DBAEA55"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b/>
                <w:bCs/>
                <w:sz w:val="18"/>
                <w:szCs w:val="18"/>
              </w:rPr>
              <w:t>3.12</w:t>
            </w:r>
          </w:p>
        </w:tc>
        <w:tc>
          <w:tcPr>
            <w:tcW w:w="254" w:type="pct"/>
            <w:tcMar>
              <w:left w:w="105" w:type="dxa"/>
              <w:right w:w="105" w:type="dxa"/>
            </w:tcMar>
          </w:tcPr>
          <w:p w14:paraId="46BC8DB4" w14:textId="77777777" w:rsidR="002B6683" w:rsidRPr="00DA2128" w:rsidRDefault="002B6683"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b/>
                <w:bCs/>
                <w:color w:val="000000" w:themeColor="text1"/>
                <w:sz w:val="18"/>
                <w:szCs w:val="18"/>
              </w:rPr>
              <w:t>2.8</w:t>
            </w:r>
          </w:p>
        </w:tc>
        <w:tc>
          <w:tcPr>
            <w:tcW w:w="262" w:type="pct"/>
            <w:shd w:val="clear" w:color="auto" w:fill="DADADA" w:themeFill="background2" w:themeFillShade="E6"/>
            <w:tcMar>
              <w:left w:w="105" w:type="dxa"/>
              <w:right w:w="105" w:type="dxa"/>
            </w:tcMar>
          </w:tcPr>
          <w:p w14:paraId="4A950F87" w14:textId="77777777" w:rsidR="002B6683" w:rsidRPr="00DA2128" w:rsidRDefault="002B6683"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b/>
                <w:bCs/>
                <w:color w:val="000000" w:themeColor="text1"/>
                <w:sz w:val="18"/>
                <w:szCs w:val="18"/>
              </w:rPr>
              <w:t>3.02</w:t>
            </w:r>
          </w:p>
        </w:tc>
        <w:tc>
          <w:tcPr>
            <w:tcW w:w="262" w:type="pct"/>
            <w:shd w:val="clear" w:color="auto" w:fill="DADADA" w:themeFill="background2" w:themeFillShade="E6"/>
            <w:tcMar>
              <w:left w:w="105" w:type="dxa"/>
              <w:right w:w="105" w:type="dxa"/>
            </w:tcMar>
          </w:tcPr>
          <w:p w14:paraId="53817F6A" w14:textId="77777777" w:rsidR="002B6683" w:rsidRPr="00DA2128" w:rsidRDefault="002B6683"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b/>
                <w:bCs/>
                <w:color w:val="000000" w:themeColor="text1"/>
                <w:sz w:val="18"/>
                <w:szCs w:val="18"/>
              </w:rPr>
              <w:t>2.87</w:t>
            </w:r>
          </w:p>
        </w:tc>
        <w:tc>
          <w:tcPr>
            <w:tcW w:w="254" w:type="pct"/>
            <w:tcMar>
              <w:left w:w="105" w:type="dxa"/>
              <w:right w:w="105" w:type="dxa"/>
            </w:tcMar>
          </w:tcPr>
          <w:p w14:paraId="2A01E964" w14:textId="77777777" w:rsidR="002B6683" w:rsidRPr="00DA2128" w:rsidRDefault="002B6683"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b/>
                <w:bCs/>
                <w:color w:val="000000" w:themeColor="text1"/>
                <w:sz w:val="18"/>
                <w:szCs w:val="18"/>
              </w:rPr>
              <w:t>3.05</w:t>
            </w:r>
          </w:p>
        </w:tc>
        <w:tc>
          <w:tcPr>
            <w:tcW w:w="254" w:type="pct"/>
            <w:tcMar>
              <w:left w:w="105" w:type="dxa"/>
              <w:right w:w="105" w:type="dxa"/>
            </w:tcMar>
          </w:tcPr>
          <w:p w14:paraId="266359AD" w14:textId="77777777" w:rsidR="002B6683" w:rsidRPr="00DA2128" w:rsidRDefault="002B6683"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b/>
                <w:bCs/>
                <w:color w:val="000000" w:themeColor="text1"/>
                <w:sz w:val="18"/>
                <w:szCs w:val="18"/>
              </w:rPr>
              <w:t>2.79</w:t>
            </w:r>
          </w:p>
        </w:tc>
        <w:tc>
          <w:tcPr>
            <w:tcW w:w="251" w:type="pct"/>
            <w:shd w:val="clear" w:color="auto" w:fill="DADADA" w:themeFill="background2" w:themeFillShade="E6"/>
            <w:tcMar>
              <w:left w:w="105" w:type="dxa"/>
              <w:right w:w="105" w:type="dxa"/>
            </w:tcMar>
          </w:tcPr>
          <w:p w14:paraId="4C740C1A" w14:textId="77777777" w:rsidR="002B6683" w:rsidRPr="00DA2128" w:rsidRDefault="002B6683"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b/>
                <w:bCs/>
                <w:color w:val="000000" w:themeColor="text1"/>
                <w:sz w:val="18"/>
                <w:szCs w:val="18"/>
              </w:rPr>
              <w:t>2.68</w:t>
            </w:r>
          </w:p>
        </w:tc>
        <w:tc>
          <w:tcPr>
            <w:tcW w:w="248" w:type="pct"/>
            <w:shd w:val="clear" w:color="auto" w:fill="DADADA" w:themeFill="background2" w:themeFillShade="E6"/>
            <w:tcMar>
              <w:left w:w="105" w:type="dxa"/>
              <w:right w:w="105" w:type="dxa"/>
            </w:tcMar>
          </w:tcPr>
          <w:p w14:paraId="1B011B83" w14:textId="77777777" w:rsidR="002B6683" w:rsidRPr="00DA2128" w:rsidRDefault="002B6683"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b/>
                <w:bCs/>
                <w:color w:val="000000" w:themeColor="text1"/>
                <w:sz w:val="18"/>
                <w:szCs w:val="18"/>
              </w:rPr>
              <w:t>2.53</w:t>
            </w:r>
          </w:p>
        </w:tc>
      </w:tr>
      <w:tr w:rsidR="002B6683" w:rsidRPr="00DA2128" w14:paraId="6DC0D43D" w14:textId="77777777" w:rsidTr="00B605CC">
        <w:trPr>
          <w:trHeight w:val="300"/>
        </w:trPr>
        <w:tc>
          <w:tcPr>
            <w:tcW w:w="376" w:type="pct"/>
            <w:tcMar>
              <w:left w:w="105" w:type="dxa"/>
              <w:right w:w="105" w:type="dxa"/>
            </w:tcMar>
          </w:tcPr>
          <w:p w14:paraId="6E221BDC"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12</w:t>
            </w:r>
          </w:p>
        </w:tc>
        <w:tc>
          <w:tcPr>
            <w:tcW w:w="275" w:type="pct"/>
            <w:shd w:val="clear" w:color="auto" w:fill="DADADA" w:themeFill="background2" w:themeFillShade="E6"/>
            <w:tcMar>
              <w:left w:w="105" w:type="dxa"/>
              <w:right w:w="105" w:type="dxa"/>
            </w:tcMar>
          </w:tcPr>
          <w:p w14:paraId="2D93BCA3"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3.24</w:t>
            </w:r>
          </w:p>
        </w:tc>
        <w:tc>
          <w:tcPr>
            <w:tcW w:w="276" w:type="pct"/>
            <w:shd w:val="clear" w:color="auto" w:fill="DADADA" w:themeFill="background2" w:themeFillShade="E6"/>
            <w:tcMar>
              <w:left w:w="105" w:type="dxa"/>
              <w:right w:w="105" w:type="dxa"/>
            </w:tcMar>
          </w:tcPr>
          <w:p w14:paraId="17B87A7B"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2.97</w:t>
            </w:r>
          </w:p>
        </w:tc>
        <w:tc>
          <w:tcPr>
            <w:tcW w:w="254" w:type="pct"/>
            <w:tcMar>
              <w:left w:w="105" w:type="dxa"/>
              <w:right w:w="105" w:type="dxa"/>
            </w:tcMar>
          </w:tcPr>
          <w:p w14:paraId="1B3F7C2E"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2.95</w:t>
            </w:r>
          </w:p>
        </w:tc>
        <w:tc>
          <w:tcPr>
            <w:tcW w:w="254" w:type="pct"/>
            <w:tcMar>
              <w:left w:w="105" w:type="dxa"/>
              <w:right w:w="105" w:type="dxa"/>
            </w:tcMar>
          </w:tcPr>
          <w:p w14:paraId="6D8BACBA"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2.8</w:t>
            </w:r>
          </w:p>
        </w:tc>
        <w:tc>
          <w:tcPr>
            <w:tcW w:w="254" w:type="pct"/>
            <w:shd w:val="clear" w:color="auto" w:fill="DADADA" w:themeFill="background2" w:themeFillShade="E6"/>
            <w:tcMar>
              <w:left w:w="105" w:type="dxa"/>
              <w:right w:w="105" w:type="dxa"/>
            </w:tcMar>
          </w:tcPr>
          <w:p w14:paraId="226E485E"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2.95</w:t>
            </w:r>
          </w:p>
        </w:tc>
        <w:tc>
          <w:tcPr>
            <w:tcW w:w="254" w:type="pct"/>
            <w:shd w:val="clear" w:color="auto" w:fill="DADADA" w:themeFill="background2" w:themeFillShade="E6"/>
            <w:tcMar>
              <w:left w:w="105" w:type="dxa"/>
              <w:right w:w="105" w:type="dxa"/>
            </w:tcMar>
          </w:tcPr>
          <w:p w14:paraId="7BDB0E18"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2.68</w:t>
            </w:r>
          </w:p>
        </w:tc>
        <w:tc>
          <w:tcPr>
            <w:tcW w:w="254" w:type="pct"/>
            <w:tcMar>
              <w:left w:w="105" w:type="dxa"/>
              <w:right w:w="105" w:type="dxa"/>
            </w:tcMar>
          </w:tcPr>
          <w:p w14:paraId="1DB8A7A8"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3.03</w:t>
            </w:r>
          </w:p>
        </w:tc>
        <w:tc>
          <w:tcPr>
            <w:tcW w:w="254" w:type="pct"/>
            <w:tcMar>
              <w:left w:w="105" w:type="dxa"/>
              <w:right w:w="105" w:type="dxa"/>
            </w:tcMar>
          </w:tcPr>
          <w:p w14:paraId="5004921A"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2.86</w:t>
            </w:r>
          </w:p>
        </w:tc>
        <w:tc>
          <w:tcPr>
            <w:tcW w:w="254" w:type="pct"/>
            <w:shd w:val="clear" w:color="auto" w:fill="DADADA" w:themeFill="background2" w:themeFillShade="E6"/>
            <w:tcMar>
              <w:left w:w="105" w:type="dxa"/>
              <w:right w:w="105" w:type="dxa"/>
            </w:tcMar>
          </w:tcPr>
          <w:p w14:paraId="5A65C084"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2.95</w:t>
            </w:r>
          </w:p>
        </w:tc>
        <w:tc>
          <w:tcPr>
            <w:tcW w:w="254" w:type="pct"/>
            <w:shd w:val="clear" w:color="auto" w:fill="DADADA" w:themeFill="background2" w:themeFillShade="E6"/>
            <w:tcMar>
              <w:left w:w="105" w:type="dxa"/>
              <w:right w:w="105" w:type="dxa"/>
            </w:tcMar>
          </w:tcPr>
          <w:p w14:paraId="0C977653"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2.97</w:t>
            </w:r>
          </w:p>
        </w:tc>
        <w:tc>
          <w:tcPr>
            <w:tcW w:w="254" w:type="pct"/>
            <w:tcMar>
              <w:left w:w="105" w:type="dxa"/>
              <w:right w:w="105" w:type="dxa"/>
            </w:tcMar>
          </w:tcPr>
          <w:p w14:paraId="29A316FC"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3.24</w:t>
            </w:r>
          </w:p>
        </w:tc>
        <w:tc>
          <w:tcPr>
            <w:tcW w:w="254" w:type="pct"/>
            <w:tcMar>
              <w:left w:w="105" w:type="dxa"/>
              <w:right w:w="105" w:type="dxa"/>
            </w:tcMar>
          </w:tcPr>
          <w:p w14:paraId="70B58A4D"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2.74</w:t>
            </w:r>
          </w:p>
        </w:tc>
        <w:tc>
          <w:tcPr>
            <w:tcW w:w="262" w:type="pct"/>
            <w:shd w:val="clear" w:color="auto" w:fill="DADADA" w:themeFill="background2" w:themeFillShade="E6"/>
            <w:tcMar>
              <w:left w:w="105" w:type="dxa"/>
              <w:right w:w="105" w:type="dxa"/>
            </w:tcMar>
          </w:tcPr>
          <w:p w14:paraId="7F87941F"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3.17</w:t>
            </w:r>
          </w:p>
        </w:tc>
        <w:tc>
          <w:tcPr>
            <w:tcW w:w="262" w:type="pct"/>
            <w:shd w:val="clear" w:color="auto" w:fill="DADADA" w:themeFill="background2" w:themeFillShade="E6"/>
            <w:tcMar>
              <w:left w:w="105" w:type="dxa"/>
              <w:right w:w="105" w:type="dxa"/>
            </w:tcMar>
          </w:tcPr>
          <w:p w14:paraId="0F4A55B0"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2.91</w:t>
            </w:r>
          </w:p>
        </w:tc>
        <w:tc>
          <w:tcPr>
            <w:tcW w:w="254" w:type="pct"/>
            <w:tcMar>
              <w:left w:w="105" w:type="dxa"/>
              <w:right w:w="105" w:type="dxa"/>
            </w:tcMar>
          </w:tcPr>
          <w:p w14:paraId="31C5EE1F"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3.12</w:t>
            </w:r>
          </w:p>
        </w:tc>
        <w:tc>
          <w:tcPr>
            <w:tcW w:w="254" w:type="pct"/>
            <w:tcMar>
              <w:left w:w="105" w:type="dxa"/>
              <w:right w:w="105" w:type="dxa"/>
            </w:tcMar>
          </w:tcPr>
          <w:p w14:paraId="114CE30C"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2.83</w:t>
            </w:r>
          </w:p>
        </w:tc>
        <w:tc>
          <w:tcPr>
            <w:tcW w:w="251" w:type="pct"/>
            <w:shd w:val="clear" w:color="auto" w:fill="DADADA" w:themeFill="background2" w:themeFillShade="E6"/>
            <w:tcMar>
              <w:left w:w="105" w:type="dxa"/>
              <w:right w:w="105" w:type="dxa"/>
            </w:tcMar>
          </w:tcPr>
          <w:p w14:paraId="4DAEF749"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2.73</w:t>
            </w:r>
          </w:p>
        </w:tc>
        <w:tc>
          <w:tcPr>
            <w:tcW w:w="248" w:type="pct"/>
            <w:shd w:val="clear" w:color="auto" w:fill="DADADA" w:themeFill="background2" w:themeFillShade="E6"/>
            <w:tcMar>
              <w:left w:w="105" w:type="dxa"/>
              <w:right w:w="105" w:type="dxa"/>
            </w:tcMar>
          </w:tcPr>
          <w:p w14:paraId="4C5180A3"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2.6</w:t>
            </w:r>
          </w:p>
        </w:tc>
      </w:tr>
      <w:tr w:rsidR="002B6683" w:rsidRPr="00DA2128" w14:paraId="48E25B24" w14:textId="77777777" w:rsidTr="00B605CC">
        <w:trPr>
          <w:trHeight w:val="300"/>
        </w:trPr>
        <w:tc>
          <w:tcPr>
            <w:tcW w:w="376" w:type="pct"/>
            <w:tcMar>
              <w:left w:w="105" w:type="dxa"/>
              <w:right w:w="105" w:type="dxa"/>
            </w:tcMar>
          </w:tcPr>
          <w:p w14:paraId="199B1F00"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19</w:t>
            </w:r>
          </w:p>
        </w:tc>
        <w:tc>
          <w:tcPr>
            <w:tcW w:w="275" w:type="pct"/>
            <w:shd w:val="clear" w:color="auto" w:fill="DADADA" w:themeFill="background2" w:themeFillShade="E6"/>
            <w:tcMar>
              <w:left w:w="105" w:type="dxa"/>
              <w:right w:w="105" w:type="dxa"/>
            </w:tcMar>
          </w:tcPr>
          <w:p w14:paraId="6F00F9C5"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w:t>
            </w:r>
          </w:p>
        </w:tc>
        <w:tc>
          <w:tcPr>
            <w:tcW w:w="276" w:type="pct"/>
            <w:shd w:val="clear" w:color="auto" w:fill="DADADA" w:themeFill="background2" w:themeFillShade="E6"/>
            <w:tcMar>
              <w:left w:w="105" w:type="dxa"/>
              <w:right w:w="105" w:type="dxa"/>
            </w:tcMar>
          </w:tcPr>
          <w:p w14:paraId="137AF24E"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1.92</w:t>
            </w:r>
          </w:p>
        </w:tc>
        <w:tc>
          <w:tcPr>
            <w:tcW w:w="254" w:type="pct"/>
            <w:tcMar>
              <w:left w:w="105" w:type="dxa"/>
              <w:right w:w="105" w:type="dxa"/>
            </w:tcMar>
          </w:tcPr>
          <w:p w14:paraId="6EAE5800"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2.68</w:t>
            </w:r>
          </w:p>
        </w:tc>
        <w:tc>
          <w:tcPr>
            <w:tcW w:w="254" w:type="pct"/>
            <w:tcMar>
              <w:left w:w="105" w:type="dxa"/>
              <w:right w:w="105" w:type="dxa"/>
            </w:tcMar>
          </w:tcPr>
          <w:p w14:paraId="3172E4A6"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2.51</w:t>
            </w:r>
          </w:p>
        </w:tc>
        <w:tc>
          <w:tcPr>
            <w:tcW w:w="254" w:type="pct"/>
            <w:shd w:val="clear" w:color="auto" w:fill="DADADA" w:themeFill="background2" w:themeFillShade="E6"/>
            <w:tcMar>
              <w:left w:w="105" w:type="dxa"/>
              <w:right w:w="105" w:type="dxa"/>
            </w:tcMar>
          </w:tcPr>
          <w:p w14:paraId="1FBA7678"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2.68</w:t>
            </w:r>
          </w:p>
        </w:tc>
        <w:tc>
          <w:tcPr>
            <w:tcW w:w="254" w:type="pct"/>
            <w:shd w:val="clear" w:color="auto" w:fill="DADADA" w:themeFill="background2" w:themeFillShade="E6"/>
            <w:tcMar>
              <w:left w:w="105" w:type="dxa"/>
              <w:right w:w="105" w:type="dxa"/>
            </w:tcMar>
          </w:tcPr>
          <w:p w14:paraId="4F5F9BFB"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1.97</w:t>
            </w:r>
          </w:p>
        </w:tc>
        <w:tc>
          <w:tcPr>
            <w:tcW w:w="254" w:type="pct"/>
            <w:tcMar>
              <w:left w:w="105" w:type="dxa"/>
              <w:right w:w="105" w:type="dxa"/>
            </w:tcMar>
          </w:tcPr>
          <w:p w14:paraId="21EFC37A"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2.44</w:t>
            </w:r>
          </w:p>
        </w:tc>
        <w:tc>
          <w:tcPr>
            <w:tcW w:w="254" w:type="pct"/>
            <w:tcMar>
              <w:left w:w="105" w:type="dxa"/>
              <w:right w:w="105" w:type="dxa"/>
            </w:tcMar>
          </w:tcPr>
          <w:p w14:paraId="062AEA41"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2.19</w:t>
            </w:r>
          </w:p>
        </w:tc>
        <w:tc>
          <w:tcPr>
            <w:tcW w:w="254" w:type="pct"/>
            <w:shd w:val="clear" w:color="auto" w:fill="DADADA" w:themeFill="background2" w:themeFillShade="E6"/>
            <w:tcMar>
              <w:left w:w="105" w:type="dxa"/>
              <w:right w:w="105" w:type="dxa"/>
            </w:tcMar>
          </w:tcPr>
          <w:p w14:paraId="3769654E"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3.03</w:t>
            </w:r>
          </w:p>
        </w:tc>
        <w:tc>
          <w:tcPr>
            <w:tcW w:w="254" w:type="pct"/>
            <w:shd w:val="clear" w:color="auto" w:fill="DADADA" w:themeFill="background2" w:themeFillShade="E6"/>
            <w:tcMar>
              <w:left w:w="105" w:type="dxa"/>
              <w:right w:w="105" w:type="dxa"/>
            </w:tcMar>
          </w:tcPr>
          <w:p w14:paraId="616022D2"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2.86</w:t>
            </w:r>
          </w:p>
        </w:tc>
        <w:tc>
          <w:tcPr>
            <w:tcW w:w="254" w:type="pct"/>
            <w:tcMar>
              <w:left w:w="105" w:type="dxa"/>
              <w:right w:w="105" w:type="dxa"/>
            </w:tcMar>
          </w:tcPr>
          <w:p w14:paraId="4024C90D"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2.5</w:t>
            </w:r>
          </w:p>
        </w:tc>
        <w:tc>
          <w:tcPr>
            <w:tcW w:w="254" w:type="pct"/>
            <w:tcMar>
              <w:left w:w="105" w:type="dxa"/>
              <w:right w:w="105" w:type="dxa"/>
            </w:tcMar>
          </w:tcPr>
          <w:p w14:paraId="5E41CDBD"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2.45</w:t>
            </w:r>
          </w:p>
        </w:tc>
        <w:tc>
          <w:tcPr>
            <w:tcW w:w="262" w:type="pct"/>
            <w:shd w:val="clear" w:color="auto" w:fill="DADADA" w:themeFill="background2" w:themeFillShade="E6"/>
            <w:tcMar>
              <w:left w:w="105" w:type="dxa"/>
              <w:right w:w="105" w:type="dxa"/>
            </w:tcMar>
          </w:tcPr>
          <w:p w14:paraId="1D7EB995"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2.72</w:t>
            </w:r>
          </w:p>
        </w:tc>
        <w:tc>
          <w:tcPr>
            <w:tcW w:w="262" w:type="pct"/>
            <w:shd w:val="clear" w:color="auto" w:fill="DADADA" w:themeFill="background2" w:themeFillShade="E6"/>
            <w:tcMar>
              <w:left w:w="105" w:type="dxa"/>
              <w:right w:w="105" w:type="dxa"/>
            </w:tcMar>
          </w:tcPr>
          <w:p w14:paraId="21A24E84"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3.03</w:t>
            </w:r>
          </w:p>
        </w:tc>
        <w:tc>
          <w:tcPr>
            <w:tcW w:w="254" w:type="pct"/>
            <w:tcMar>
              <w:left w:w="105" w:type="dxa"/>
              <w:right w:w="105" w:type="dxa"/>
            </w:tcMar>
          </w:tcPr>
          <w:p w14:paraId="6AAAD912"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2.08</w:t>
            </w:r>
          </w:p>
        </w:tc>
        <w:tc>
          <w:tcPr>
            <w:tcW w:w="254" w:type="pct"/>
            <w:tcMar>
              <w:left w:w="105" w:type="dxa"/>
              <w:right w:w="105" w:type="dxa"/>
            </w:tcMar>
          </w:tcPr>
          <w:p w14:paraId="37566D71"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2.04</w:t>
            </w:r>
          </w:p>
        </w:tc>
        <w:tc>
          <w:tcPr>
            <w:tcW w:w="251" w:type="pct"/>
            <w:shd w:val="clear" w:color="auto" w:fill="DADADA" w:themeFill="background2" w:themeFillShade="E6"/>
            <w:tcMar>
              <w:left w:w="105" w:type="dxa"/>
              <w:right w:w="105" w:type="dxa"/>
            </w:tcMar>
          </w:tcPr>
          <w:p w14:paraId="09B16318"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1.92</w:t>
            </w:r>
          </w:p>
        </w:tc>
        <w:tc>
          <w:tcPr>
            <w:tcW w:w="248" w:type="pct"/>
            <w:shd w:val="clear" w:color="auto" w:fill="DADADA" w:themeFill="background2" w:themeFillShade="E6"/>
            <w:tcMar>
              <w:left w:w="105" w:type="dxa"/>
              <w:right w:w="105" w:type="dxa"/>
            </w:tcMar>
          </w:tcPr>
          <w:p w14:paraId="7533376E"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2.31</w:t>
            </w:r>
          </w:p>
        </w:tc>
      </w:tr>
      <w:tr w:rsidR="002B6683" w:rsidRPr="00DA2128" w14:paraId="198A44D5" w14:textId="77777777" w:rsidTr="00B605CC">
        <w:trPr>
          <w:trHeight w:val="300"/>
        </w:trPr>
        <w:tc>
          <w:tcPr>
            <w:tcW w:w="376" w:type="pct"/>
            <w:tcMar>
              <w:left w:w="105" w:type="dxa"/>
              <w:right w:w="105" w:type="dxa"/>
            </w:tcMar>
          </w:tcPr>
          <w:p w14:paraId="2ECF4860"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20</w:t>
            </w:r>
          </w:p>
        </w:tc>
        <w:tc>
          <w:tcPr>
            <w:tcW w:w="275" w:type="pct"/>
            <w:shd w:val="clear" w:color="auto" w:fill="DADADA" w:themeFill="background2" w:themeFillShade="E6"/>
            <w:tcMar>
              <w:left w:w="105" w:type="dxa"/>
              <w:right w:w="105" w:type="dxa"/>
            </w:tcMar>
          </w:tcPr>
          <w:p w14:paraId="61184B9D"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3.08</w:t>
            </w:r>
          </w:p>
        </w:tc>
        <w:tc>
          <w:tcPr>
            <w:tcW w:w="276" w:type="pct"/>
            <w:shd w:val="clear" w:color="auto" w:fill="DADADA" w:themeFill="background2" w:themeFillShade="E6"/>
            <w:tcMar>
              <w:left w:w="105" w:type="dxa"/>
              <w:right w:w="105" w:type="dxa"/>
            </w:tcMar>
          </w:tcPr>
          <w:p w14:paraId="7C199D79"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2.86</w:t>
            </w:r>
          </w:p>
        </w:tc>
        <w:tc>
          <w:tcPr>
            <w:tcW w:w="254" w:type="pct"/>
            <w:tcMar>
              <w:left w:w="105" w:type="dxa"/>
              <w:right w:w="105" w:type="dxa"/>
            </w:tcMar>
          </w:tcPr>
          <w:p w14:paraId="7DBB2A2F"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3.15</w:t>
            </w:r>
          </w:p>
        </w:tc>
        <w:tc>
          <w:tcPr>
            <w:tcW w:w="254" w:type="pct"/>
            <w:tcMar>
              <w:left w:w="105" w:type="dxa"/>
              <w:right w:w="105" w:type="dxa"/>
            </w:tcMar>
          </w:tcPr>
          <w:p w14:paraId="104E3767"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2.94*</w:t>
            </w:r>
          </w:p>
        </w:tc>
        <w:tc>
          <w:tcPr>
            <w:tcW w:w="254" w:type="pct"/>
            <w:shd w:val="clear" w:color="auto" w:fill="DADADA" w:themeFill="background2" w:themeFillShade="E6"/>
            <w:tcMar>
              <w:left w:w="105" w:type="dxa"/>
              <w:right w:w="105" w:type="dxa"/>
            </w:tcMar>
          </w:tcPr>
          <w:p w14:paraId="23B0144E"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3.15</w:t>
            </w:r>
          </w:p>
        </w:tc>
        <w:tc>
          <w:tcPr>
            <w:tcW w:w="254" w:type="pct"/>
            <w:shd w:val="clear" w:color="auto" w:fill="DADADA" w:themeFill="background2" w:themeFillShade="E6"/>
            <w:tcMar>
              <w:left w:w="105" w:type="dxa"/>
              <w:right w:w="105" w:type="dxa"/>
            </w:tcMar>
          </w:tcPr>
          <w:p w14:paraId="3507BC6B"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2.83</w:t>
            </w:r>
          </w:p>
        </w:tc>
        <w:tc>
          <w:tcPr>
            <w:tcW w:w="254" w:type="pct"/>
            <w:tcMar>
              <w:left w:w="105" w:type="dxa"/>
              <w:right w:w="105" w:type="dxa"/>
            </w:tcMar>
          </w:tcPr>
          <w:p w14:paraId="04D424AC"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3.05</w:t>
            </w:r>
          </w:p>
        </w:tc>
        <w:tc>
          <w:tcPr>
            <w:tcW w:w="254" w:type="pct"/>
            <w:tcMar>
              <w:left w:w="105" w:type="dxa"/>
              <w:right w:w="105" w:type="dxa"/>
            </w:tcMar>
          </w:tcPr>
          <w:p w14:paraId="598F9F1E"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2.95</w:t>
            </w:r>
          </w:p>
        </w:tc>
        <w:tc>
          <w:tcPr>
            <w:tcW w:w="254" w:type="pct"/>
            <w:shd w:val="clear" w:color="auto" w:fill="DADADA" w:themeFill="background2" w:themeFillShade="E6"/>
            <w:tcMar>
              <w:left w:w="105" w:type="dxa"/>
              <w:right w:w="105" w:type="dxa"/>
            </w:tcMar>
          </w:tcPr>
          <w:p w14:paraId="75D82A6C"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3.11</w:t>
            </w:r>
          </w:p>
        </w:tc>
        <w:tc>
          <w:tcPr>
            <w:tcW w:w="254" w:type="pct"/>
            <w:shd w:val="clear" w:color="auto" w:fill="DADADA" w:themeFill="background2" w:themeFillShade="E6"/>
            <w:tcMar>
              <w:left w:w="105" w:type="dxa"/>
              <w:right w:w="105" w:type="dxa"/>
            </w:tcMar>
          </w:tcPr>
          <w:p w14:paraId="00E059FD"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3.16*</w:t>
            </w:r>
          </w:p>
        </w:tc>
        <w:tc>
          <w:tcPr>
            <w:tcW w:w="254" w:type="pct"/>
            <w:tcMar>
              <w:left w:w="105" w:type="dxa"/>
              <w:right w:w="105" w:type="dxa"/>
            </w:tcMar>
          </w:tcPr>
          <w:p w14:paraId="39E8EFFD"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3.11</w:t>
            </w:r>
          </w:p>
        </w:tc>
        <w:tc>
          <w:tcPr>
            <w:tcW w:w="254" w:type="pct"/>
            <w:tcMar>
              <w:left w:w="105" w:type="dxa"/>
              <w:right w:w="105" w:type="dxa"/>
            </w:tcMar>
          </w:tcPr>
          <w:p w14:paraId="384B95C7"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w:t>
            </w:r>
          </w:p>
        </w:tc>
        <w:tc>
          <w:tcPr>
            <w:tcW w:w="262" w:type="pct"/>
            <w:shd w:val="clear" w:color="auto" w:fill="DADADA" w:themeFill="background2" w:themeFillShade="E6"/>
            <w:tcMar>
              <w:left w:w="105" w:type="dxa"/>
              <w:right w:w="105" w:type="dxa"/>
            </w:tcMar>
          </w:tcPr>
          <w:p w14:paraId="46BDC291"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2.97</w:t>
            </w:r>
          </w:p>
        </w:tc>
        <w:tc>
          <w:tcPr>
            <w:tcW w:w="262" w:type="pct"/>
            <w:shd w:val="clear" w:color="auto" w:fill="DADADA" w:themeFill="background2" w:themeFillShade="E6"/>
            <w:tcMar>
              <w:left w:w="105" w:type="dxa"/>
              <w:right w:w="105" w:type="dxa"/>
            </w:tcMar>
          </w:tcPr>
          <w:p w14:paraId="78DE1541"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3.14*</w:t>
            </w:r>
          </w:p>
        </w:tc>
        <w:tc>
          <w:tcPr>
            <w:tcW w:w="254" w:type="pct"/>
            <w:tcMar>
              <w:left w:w="105" w:type="dxa"/>
              <w:right w:w="105" w:type="dxa"/>
            </w:tcMar>
          </w:tcPr>
          <w:p w14:paraId="7AE263FB"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3.14</w:t>
            </w:r>
          </w:p>
        </w:tc>
        <w:tc>
          <w:tcPr>
            <w:tcW w:w="254" w:type="pct"/>
            <w:tcMar>
              <w:left w:w="105" w:type="dxa"/>
              <w:right w:w="105" w:type="dxa"/>
            </w:tcMar>
          </w:tcPr>
          <w:p w14:paraId="5A22A0AC"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3.08*</w:t>
            </w:r>
          </w:p>
        </w:tc>
        <w:tc>
          <w:tcPr>
            <w:tcW w:w="251" w:type="pct"/>
            <w:shd w:val="clear" w:color="auto" w:fill="DADADA" w:themeFill="background2" w:themeFillShade="E6"/>
            <w:tcMar>
              <w:left w:w="105" w:type="dxa"/>
              <w:right w:w="105" w:type="dxa"/>
            </w:tcMar>
          </w:tcPr>
          <w:p w14:paraId="7D7AD680"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3.03</w:t>
            </w:r>
          </w:p>
        </w:tc>
        <w:tc>
          <w:tcPr>
            <w:tcW w:w="248" w:type="pct"/>
            <w:shd w:val="clear" w:color="auto" w:fill="DADADA" w:themeFill="background2" w:themeFillShade="E6"/>
            <w:tcMar>
              <w:left w:w="105" w:type="dxa"/>
              <w:right w:w="105" w:type="dxa"/>
            </w:tcMar>
          </w:tcPr>
          <w:p w14:paraId="6C83DB8B"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2.91</w:t>
            </w:r>
          </w:p>
        </w:tc>
      </w:tr>
      <w:tr w:rsidR="002B6683" w:rsidRPr="00DA2128" w14:paraId="799B4671" w14:textId="77777777" w:rsidTr="00B605CC">
        <w:trPr>
          <w:trHeight w:val="300"/>
        </w:trPr>
        <w:tc>
          <w:tcPr>
            <w:tcW w:w="376" w:type="pct"/>
            <w:tcMar>
              <w:left w:w="105" w:type="dxa"/>
              <w:right w:w="105" w:type="dxa"/>
            </w:tcMar>
          </w:tcPr>
          <w:p w14:paraId="687F510E"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21</w:t>
            </w:r>
          </w:p>
        </w:tc>
        <w:tc>
          <w:tcPr>
            <w:tcW w:w="275" w:type="pct"/>
            <w:shd w:val="clear" w:color="auto" w:fill="DADADA" w:themeFill="background2" w:themeFillShade="E6"/>
            <w:tcMar>
              <w:left w:w="105" w:type="dxa"/>
              <w:right w:w="105" w:type="dxa"/>
            </w:tcMar>
          </w:tcPr>
          <w:p w14:paraId="77557055"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2.87</w:t>
            </w:r>
          </w:p>
        </w:tc>
        <w:tc>
          <w:tcPr>
            <w:tcW w:w="276" w:type="pct"/>
            <w:shd w:val="clear" w:color="auto" w:fill="DADADA" w:themeFill="background2" w:themeFillShade="E6"/>
            <w:tcMar>
              <w:left w:w="105" w:type="dxa"/>
              <w:right w:w="105" w:type="dxa"/>
            </w:tcMar>
          </w:tcPr>
          <w:p w14:paraId="23C35C73"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2.86</w:t>
            </w:r>
          </w:p>
        </w:tc>
        <w:tc>
          <w:tcPr>
            <w:tcW w:w="254" w:type="pct"/>
            <w:tcMar>
              <w:left w:w="105" w:type="dxa"/>
              <w:right w:w="105" w:type="dxa"/>
            </w:tcMar>
          </w:tcPr>
          <w:p w14:paraId="18BE6D17"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3.05</w:t>
            </w:r>
          </w:p>
        </w:tc>
        <w:tc>
          <w:tcPr>
            <w:tcW w:w="254" w:type="pct"/>
            <w:tcMar>
              <w:left w:w="105" w:type="dxa"/>
              <w:right w:w="105" w:type="dxa"/>
            </w:tcMar>
          </w:tcPr>
          <w:p w14:paraId="5C6BBF81"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2.85</w:t>
            </w:r>
          </w:p>
        </w:tc>
        <w:tc>
          <w:tcPr>
            <w:tcW w:w="254" w:type="pct"/>
            <w:shd w:val="clear" w:color="auto" w:fill="DADADA" w:themeFill="background2" w:themeFillShade="E6"/>
            <w:tcMar>
              <w:left w:w="105" w:type="dxa"/>
              <w:right w:w="105" w:type="dxa"/>
            </w:tcMar>
          </w:tcPr>
          <w:p w14:paraId="2C9EA1E3"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3.05</w:t>
            </w:r>
          </w:p>
        </w:tc>
        <w:tc>
          <w:tcPr>
            <w:tcW w:w="254" w:type="pct"/>
            <w:shd w:val="clear" w:color="auto" w:fill="DADADA" w:themeFill="background2" w:themeFillShade="E6"/>
            <w:tcMar>
              <w:left w:w="105" w:type="dxa"/>
              <w:right w:w="105" w:type="dxa"/>
            </w:tcMar>
          </w:tcPr>
          <w:p w14:paraId="5CB55C20"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2.71</w:t>
            </w:r>
          </w:p>
        </w:tc>
        <w:tc>
          <w:tcPr>
            <w:tcW w:w="254" w:type="pct"/>
            <w:tcMar>
              <w:left w:w="105" w:type="dxa"/>
              <w:right w:w="105" w:type="dxa"/>
            </w:tcMar>
          </w:tcPr>
          <w:p w14:paraId="349C2F96"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3.08</w:t>
            </w:r>
          </w:p>
        </w:tc>
        <w:tc>
          <w:tcPr>
            <w:tcW w:w="254" w:type="pct"/>
            <w:tcMar>
              <w:left w:w="105" w:type="dxa"/>
              <w:right w:w="105" w:type="dxa"/>
            </w:tcMar>
          </w:tcPr>
          <w:p w14:paraId="66DA5FE9"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2.89</w:t>
            </w:r>
          </w:p>
        </w:tc>
        <w:tc>
          <w:tcPr>
            <w:tcW w:w="254" w:type="pct"/>
            <w:shd w:val="clear" w:color="auto" w:fill="DADADA" w:themeFill="background2" w:themeFillShade="E6"/>
            <w:tcMar>
              <w:left w:w="105" w:type="dxa"/>
              <w:right w:w="105" w:type="dxa"/>
            </w:tcMar>
          </w:tcPr>
          <w:p w14:paraId="629E665A"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2.95</w:t>
            </w:r>
          </w:p>
        </w:tc>
        <w:tc>
          <w:tcPr>
            <w:tcW w:w="254" w:type="pct"/>
            <w:shd w:val="clear" w:color="auto" w:fill="DADADA" w:themeFill="background2" w:themeFillShade="E6"/>
            <w:tcMar>
              <w:left w:w="105" w:type="dxa"/>
              <w:right w:w="105" w:type="dxa"/>
            </w:tcMar>
          </w:tcPr>
          <w:p w14:paraId="71C97C6F"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2.97</w:t>
            </w:r>
          </w:p>
        </w:tc>
        <w:tc>
          <w:tcPr>
            <w:tcW w:w="254" w:type="pct"/>
            <w:tcMar>
              <w:left w:w="105" w:type="dxa"/>
              <w:right w:w="105" w:type="dxa"/>
            </w:tcMar>
          </w:tcPr>
          <w:p w14:paraId="59B7A42F"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2.92</w:t>
            </w:r>
          </w:p>
        </w:tc>
        <w:tc>
          <w:tcPr>
            <w:tcW w:w="254" w:type="pct"/>
            <w:tcMar>
              <w:left w:w="105" w:type="dxa"/>
              <w:right w:w="105" w:type="dxa"/>
            </w:tcMar>
          </w:tcPr>
          <w:p w14:paraId="752294A2"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3.06*</w:t>
            </w:r>
          </w:p>
        </w:tc>
        <w:tc>
          <w:tcPr>
            <w:tcW w:w="262" w:type="pct"/>
            <w:shd w:val="clear" w:color="auto" w:fill="DADADA" w:themeFill="background2" w:themeFillShade="E6"/>
            <w:tcMar>
              <w:left w:w="105" w:type="dxa"/>
              <w:right w:w="105" w:type="dxa"/>
            </w:tcMar>
          </w:tcPr>
          <w:p w14:paraId="4AAD0AD4"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3.14</w:t>
            </w:r>
          </w:p>
        </w:tc>
        <w:tc>
          <w:tcPr>
            <w:tcW w:w="262" w:type="pct"/>
            <w:shd w:val="clear" w:color="auto" w:fill="DADADA" w:themeFill="background2" w:themeFillShade="E6"/>
            <w:tcMar>
              <w:left w:w="105" w:type="dxa"/>
              <w:right w:w="105" w:type="dxa"/>
            </w:tcMar>
          </w:tcPr>
          <w:p w14:paraId="6B854A25"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w:t>
            </w:r>
          </w:p>
        </w:tc>
        <w:tc>
          <w:tcPr>
            <w:tcW w:w="254" w:type="pct"/>
            <w:tcMar>
              <w:left w:w="105" w:type="dxa"/>
              <w:right w:w="105" w:type="dxa"/>
            </w:tcMar>
          </w:tcPr>
          <w:p w14:paraId="737A5331"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3.04</w:t>
            </w:r>
          </w:p>
        </w:tc>
        <w:tc>
          <w:tcPr>
            <w:tcW w:w="254" w:type="pct"/>
            <w:tcMar>
              <w:left w:w="105" w:type="dxa"/>
              <w:right w:w="105" w:type="dxa"/>
            </w:tcMar>
          </w:tcPr>
          <w:p w14:paraId="36D6726B"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w:t>
            </w:r>
          </w:p>
        </w:tc>
        <w:tc>
          <w:tcPr>
            <w:tcW w:w="251" w:type="pct"/>
            <w:shd w:val="clear" w:color="auto" w:fill="DADADA" w:themeFill="background2" w:themeFillShade="E6"/>
            <w:tcMar>
              <w:left w:w="105" w:type="dxa"/>
              <w:right w:w="105" w:type="dxa"/>
            </w:tcMar>
          </w:tcPr>
          <w:p w14:paraId="5BF030D6"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2.78</w:t>
            </w:r>
          </w:p>
        </w:tc>
        <w:tc>
          <w:tcPr>
            <w:tcW w:w="248" w:type="pct"/>
            <w:shd w:val="clear" w:color="auto" w:fill="DADADA" w:themeFill="background2" w:themeFillShade="E6"/>
            <w:tcMar>
              <w:left w:w="105" w:type="dxa"/>
              <w:right w:w="105" w:type="dxa"/>
            </w:tcMar>
          </w:tcPr>
          <w:p w14:paraId="288E63E6"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2.74</w:t>
            </w:r>
          </w:p>
        </w:tc>
      </w:tr>
      <w:tr w:rsidR="002B6683" w:rsidRPr="00DA2128" w14:paraId="730A5E8E" w14:textId="77777777" w:rsidTr="00B605CC">
        <w:trPr>
          <w:trHeight w:val="300"/>
        </w:trPr>
        <w:tc>
          <w:tcPr>
            <w:tcW w:w="376" w:type="pct"/>
            <w:tcMar>
              <w:left w:w="105" w:type="dxa"/>
              <w:right w:w="105" w:type="dxa"/>
            </w:tcMar>
          </w:tcPr>
          <w:p w14:paraId="54EA5FBA"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22</w:t>
            </w:r>
          </w:p>
        </w:tc>
        <w:tc>
          <w:tcPr>
            <w:tcW w:w="275" w:type="pct"/>
            <w:shd w:val="clear" w:color="auto" w:fill="DADADA" w:themeFill="background2" w:themeFillShade="E6"/>
            <w:tcMar>
              <w:left w:w="105" w:type="dxa"/>
              <w:right w:w="105" w:type="dxa"/>
            </w:tcMar>
          </w:tcPr>
          <w:p w14:paraId="3E673405"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2.89</w:t>
            </w:r>
          </w:p>
        </w:tc>
        <w:tc>
          <w:tcPr>
            <w:tcW w:w="276" w:type="pct"/>
            <w:shd w:val="clear" w:color="auto" w:fill="DADADA" w:themeFill="background2" w:themeFillShade="E6"/>
            <w:tcMar>
              <w:left w:w="105" w:type="dxa"/>
              <w:right w:w="105" w:type="dxa"/>
            </w:tcMar>
          </w:tcPr>
          <w:p w14:paraId="1843684E"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2.73</w:t>
            </w:r>
          </w:p>
        </w:tc>
        <w:tc>
          <w:tcPr>
            <w:tcW w:w="254" w:type="pct"/>
            <w:tcMar>
              <w:left w:w="105" w:type="dxa"/>
              <w:right w:w="105" w:type="dxa"/>
            </w:tcMar>
          </w:tcPr>
          <w:p w14:paraId="6D052C8F"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3.05</w:t>
            </w:r>
          </w:p>
        </w:tc>
        <w:tc>
          <w:tcPr>
            <w:tcW w:w="254" w:type="pct"/>
            <w:tcMar>
              <w:left w:w="105" w:type="dxa"/>
              <w:right w:w="105" w:type="dxa"/>
            </w:tcMar>
          </w:tcPr>
          <w:p w14:paraId="7A8B5AF0"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2.94</w:t>
            </w:r>
          </w:p>
        </w:tc>
        <w:tc>
          <w:tcPr>
            <w:tcW w:w="254" w:type="pct"/>
            <w:shd w:val="clear" w:color="auto" w:fill="DADADA" w:themeFill="background2" w:themeFillShade="E6"/>
            <w:tcMar>
              <w:left w:w="105" w:type="dxa"/>
              <w:right w:w="105" w:type="dxa"/>
            </w:tcMar>
          </w:tcPr>
          <w:p w14:paraId="4F2CA618"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3.05</w:t>
            </w:r>
          </w:p>
        </w:tc>
        <w:tc>
          <w:tcPr>
            <w:tcW w:w="254" w:type="pct"/>
            <w:shd w:val="clear" w:color="auto" w:fill="DADADA" w:themeFill="background2" w:themeFillShade="E6"/>
            <w:tcMar>
              <w:left w:w="105" w:type="dxa"/>
              <w:right w:w="105" w:type="dxa"/>
            </w:tcMar>
          </w:tcPr>
          <w:p w14:paraId="7EECB8C3"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2.76</w:t>
            </w:r>
          </w:p>
        </w:tc>
        <w:tc>
          <w:tcPr>
            <w:tcW w:w="254" w:type="pct"/>
            <w:tcMar>
              <w:left w:w="105" w:type="dxa"/>
              <w:right w:w="105" w:type="dxa"/>
            </w:tcMar>
          </w:tcPr>
          <w:p w14:paraId="5A790D12"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3.08</w:t>
            </w:r>
          </w:p>
        </w:tc>
        <w:tc>
          <w:tcPr>
            <w:tcW w:w="254" w:type="pct"/>
            <w:tcMar>
              <w:left w:w="105" w:type="dxa"/>
              <w:right w:w="105" w:type="dxa"/>
            </w:tcMar>
          </w:tcPr>
          <w:p w14:paraId="70F74BAB"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3.11*</w:t>
            </w:r>
          </w:p>
        </w:tc>
        <w:tc>
          <w:tcPr>
            <w:tcW w:w="254" w:type="pct"/>
            <w:shd w:val="clear" w:color="auto" w:fill="DADADA" w:themeFill="background2" w:themeFillShade="E6"/>
            <w:tcMar>
              <w:left w:w="105" w:type="dxa"/>
              <w:right w:w="105" w:type="dxa"/>
            </w:tcMar>
          </w:tcPr>
          <w:p w14:paraId="5A1EE10C"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2.97</w:t>
            </w:r>
          </w:p>
        </w:tc>
        <w:tc>
          <w:tcPr>
            <w:tcW w:w="254" w:type="pct"/>
            <w:shd w:val="clear" w:color="auto" w:fill="DADADA" w:themeFill="background2" w:themeFillShade="E6"/>
            <w:tcMar>
              <w:left w:w="105" w:type="dxa"/>
              <w:right w:w="105" w:type="dxa"/>
            </w:tcMar>
          </w:tcPr>
          <w:p w14:paraId="6DAC61FF"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3.14</w:t>
            </w:r>
          </w:p>
        </w:tc>
        <w:tc>
          <w:tcPr>
            <w:tcW w:w="254" w:type="pct"/>
            <w:tcMar>
              <w:left w:w="105" w:type="dxa"/>
              <w:right w:w="105" w:type="dxa"/>
            </w:tcMar>
          </w:tcPr>
          <w:p w14:paraId="09386F46"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3.21</w:t>
            </w:r>
          </w:p>
        </w:tc>
        <w:tc>
          <w:tcPr>
            <w:tcW w:w="254" w:type="pct"/>
            <w:tcMar>
              <w:left w:w="105" w:type="dxa"/>
              <w:right w:w="105" w:type="dxa"/>
            </w:tcMar>
          </w:tcPr>
          <w:p w14:paraId="551178D1"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2.88</w:t>
            </w:r>
          </w:p>
        </w:tc>
        <w:tc>
          <w:tcPr>
            <w:tcW w:w="262" w:type="pct"/>
            <w:shd w:val="clear" w:color="auto" w:fill="DADADA" w:themeFill="background2" w:themeFillShade="E6"/>
            <w:tcMar>
              <w:left w:w="105" w:type="dxa"/>
              <w:right w:w="105" w:type="dxa"/>
            </w:tcMar>
          </w:tcPr>
          <w:p w14:paraId="1A54C019"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3.11</w:t>
            </w:r>
          </w:p>
        </w:tc>
        <w:tc>
          <w:tcPr>
            <w:tcW w:w="262" w:type="pct"/>
            <w:shd w:val="clear" w:color="auto" w:fill="DADADA" w:themeFill="background2" w:themeFillShade="E6"/>
            <w:tcMar>
              <w:left w:w="105" w:type="dxa"/>
              <w:right w:w="105" w:type="dxa"/>
            </w:tcMar>
          </w:tcPr>
          <w:p w14:paraId="405A2E36"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2.86</w:t>
            </w:r>
          </w:p>
        </w:tc>
        <w:tc>
          <w:tcPr>
            <w:tcW w:w="254" w:type="pct"/>
            <w:tcMar>
              <w:left w:w="105" w:type="dxa"/>
              <w:right w:w="105" w:type="dxa"/>
            </w:tcMar>
          </w:tcPr>
          <w:p w14:paraId="5EABB11F"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w:t>
            </w:r>
          </w:p>
        </w:tc>
        <w:tc>
          <w:tcPr>
            <w:tcW w:w="254" w:type="pct"/>
            <w:tcMar>
              <w:left w:w="105" w:type="dxa"/>
              <w:right w:w="105" w:type="dxa"/>
            </w:tcMar>
          </w:tcPr>
          <w:p w14:paraId="7BB6D47D"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2.94</w:t>
            </w:r>
          </w:p>
        </w:tc>
        <w:tc>
          <w:tcPr>
            <w:tcW w:w="251" w:type="pct"/>
            <w:shd w:val="clear" w:color="auto" w:fill="DADADA" w:themeFill="background2" w:themeFillShade="E6"/>
            <w:tcMar>
              <w:left w:w="105" w:type="dxa"/>
              <w:right w:w="105" w:type="dxa"/>
            </w:tcMar>
          </w:tcPr>
          <w:p w14:paraId="3002C4A2"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2.84</w:t>
            </w:r>
          </w:p>
        </w:tc>
        <w:tc>
          <w:tcPr>
            <w:tcW w:w="248" w:type="pct"/>
            <w:shd w:val="clear" w:color="auto" w:fill="DADADA" w:themeFill="background2" w:themeFillShade="E6"/>
            <w:tcMar>
              <w:left w:w="105" w:type="dxa"/>
              <w:right w:w="105" w:type="dxa"/>
            </w:tcMar>
          </w:tcPr>
          <w:p w14:paraId="753E5330"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2.66</w:t>
            </w:r>
          </w:p>
        </w:tc>
      </w:tr>
      <w:tr w:rsidR="002B6683" w:rsidRPr="00DA2128" w14:paraId="40D86601" w14:textId="77777777" w:rsidTr="00B605CC">
        <w:trPr>
          <w:trHeight w:val="300"/>
        </w:trPr>
        <w:tc>
          <w:tcPr>
            <w:tcW w:w="376" w:type="pct"/>
            <w:tcMar>
              <w:left w:w="105" w:type="dxa"/>
              <w:right w:w="105" w:type="dxa"/>
            </w:tcMar>
          </w:tcPr>
          <w:p w14:paraId="6FDA732E"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23</w:t>
            </w:r>
          </w:p>
        </w:tc>
        <w:tc>
          <w:tcPr>
            <w:tcW w:w="275" w:type="pct"/>
            <w:shd w:val="clear" w:color="auto" w:fill="DADADA" w:themeFill="background2" w:themeFillShade="E6"/>
            <w:tcMar>
              <w:left w:w="105" w:type="dxa"/>
              <w:right w:w="105" w:type="dxa"/>
            </w:tcMar>
          </w:tcPr>
          <w:p w14:paraId="2A81A6D2"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2.76</w:t>
            </w:r>
          </w:p>
        </w:tc>
        <w:tc>
          <w:tcPr>
            <w:tcW w:w="276" w:type="pct"/>
            <w:shd w:val="clear" w:color="auto" w:fill="DADADA" w:themeFill="background2" w:themeFillShade="E6"/>
            <w:tcMar>
              <w:left w:w="105" w:type="dxa"/>
              <w:right w:w="105" w:type="dxa"/>
            </w:tcMar>
          </w:tcPr>
          <w:p w14:paraId="4AE98A8C"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2.81</w:t>
            </w:r>
          </w:p>
        </w:tc>
        <w:tc>
          <w:tcPr>
            <w:tcW w:w="254" w:type="pct"/>
            <w:tcMar>
              <w:left w:w="105" w:type="dxa"/>
              <w:right w:w="105" w:type="dxa"/>
            </w:tcMar>
          </w:tcPr>
          <w:p w14:paraId="7C7508E7"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2.77</w:t>
            </w:r>
          </w:p>
        </w:tc>
        <w:tc>
          <w:tcPr>
            <w:tcW w:w="254" w:type="pct"/>
            <w:tcMar>
              <w:left w:w="105" w:type="dxa"/>
              <w:right w:w="105" w:type="dxa"/>
            </w:tcMar>
          </w:tcPr>
          <w:p w14:paraId="30E38346"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2.66</w:t>
            </w:r>
          </w:p>
        </w:tc>
        <w:tc>
          <w:tcPr>
            <w:tcW w:w="254" w:type="pct"/>
            <w:shd w:val="clear" w:color="auto" w:fill="DADADA" w:themeFill="background2" w:themeFillShade="E6"/>
            <w:tcMar>
              <w:left w:w="105" w:type="dxa"/>
              <w:right w:w="105" w:type="dxa"/>
            </w:tcMar>
          </w:tcPr>
          <w:p w14:paraId="232FE9ED"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2.77</w:t>
            </w:r>
          </w:p>
        </w:tc>
        <w:tc>
          <w:tcPr>
            <w:tcW w:w="254" w:type="pct"/>
            <w:shd w:val="clear" w:color="auto" w:fill="DADADA" w:themeFill="background2" w:themeFillShade="E6"/>
            <w:tcMar>
              <w:left w:w="105" w:type="dxa"/>
              <w:right w:w="105" w:type="dxa"/>
            </w:tcMar>
          </w:tcPr>
          <w:p w14:paraId="002DE63E"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2.41</w:t>
            </w:r>
          </w:p>
        </w:tc>
        <w:tc>
          <w:tcPr>
            <w:tcW w:w="254" w:type="pct"/>
            <w:tcMar>
              <w:left w:w="105" w:type="dxa"/>
              <w:right w:w="105" w:type="dxa"/>
            </w:tcMar>
          </w:tcPr>
          <w:p w14:paraId="7BE69463"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2.74</w:t>
            </w:r>
          </w:p>
        </w:tc>
        <w:tc>
          <w:tcPr>
            <w:tcW w:w="254" w:type="pct"/>
            <w:tcMar>
              <w:left w:w="105" w:type="dxa"/>
              <w:right w:w="105" w:type="dxa"/>
            </w:tcMar>
          </w:tcPr>
          <w:p w14:paraId="57D79F30"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2.61</w:t>
            </w:r>
          </w:p>
        </w:tc>
        <w:tc>
          <w:tcPr>
            <w:tcW w:w="254" w:type="pct"/>
            <w:shd w:val="clear" w:color="auto" w:fill="DADADA" w:themeFill="background2" w:themeFillShade="E6"/>
            <w:tcMar>
              <w:left w:w="105" w:type="dxa"/>
              <w:right w:w="105" w:type="dxa"/>
            </w:tcMar>
          </w:tcPr>
          <w:p w14:paraId="0602DB05"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2.89</w:t>
            </w:r>
          </w:p>
        </w:tc>
        <w:tc>
          <w:tcPr>
            <w:tcW w:w="254" w:type="pct"/>
            <w:shd w:val="clear" w:color="auto" w:fill="DADADA" w:themeFill="background2" w:themeFillShade="E6"/>
            <w:tcMar>
              <w:left w:w="105" w:type="dxa"/>
              <w:right w:w="105" w:type="dxa"/>
            </w:tcMar>
          </w:tcPr>
          <w:p w14:paraId="3698F57B"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2.92</w:t>
            </w:r>
          </w:p>
        </w:tc>
        <w:tc>
          <w:tcPr>
            <w:tcW w:w="254" w:type="pct"/>
            <w:tcMar>
              <w:left w:w="105" w:type="dxa"/>
              <w:right w:w="105" w:type="dxa"/>
            </w:tcMar>
          </w:tcPr>
          <w:p w14:paraId="250E3F09"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2.92</w:t>
            </w:r>
          </w:p>
        </w:tc>
        <w:tc>
          <w:tcPr>
            <w:tcW w:w="254" w:type="pct"/>
            <w:tcMar>
              <w:left w:w="105" w:type="dxa"/>
              <w:right w:w="105" w:type="dxa"/>
            </w:tcMar>
          </w:tcPr>
          <w:p w14:paraId="2E94FD75"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2.91</w:t>
            </w:r>
          </w:p>
        </w:tc>
        <w:tc>
          <w:tcPr>
            <w:tcW w:w="262" w:type="pct"/>
            <w:shd w:val="clear" w:color="auto" w:fill="DADADA" w:themeFill="background2" w:themeFillShade="E6"/>
            <w:tcMar>
              <w:left w:w="105" w:type="dxa"/>
              <w:right w:w="105" w:type="dxa"/>
            </w:tcMar>
          </w:tcPr>
          <w:p w14:paraId="24CC4C65"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2.83</w:t>
            </w:r>
          </w:p>
        </w:tc>
        <w:tc>
          <w:tcPr>
            <w:tcW w:w="262" w:type="pct"/>
            <w:shd w:val="clear" w:color="auto" w:fill="DADADA" w:themeFill="background2" w:themeFillShade="E6"/>
            <w:tcMar>
              <w:left w:w="105" w:type="dxa"/>
              <w:right w:w="105" w:type="dxa"/>
            </w:tcMar>
          </w:tcPr>
          <w:p w14:paraId="4C9B7ED4"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w:t>
            </w:r>
          </w:p>
        </w:tc>
        <w:tc>
          <w:tcPr>
            <w:tcW w:w="254" w:type="pct"/>
            <w:tcMar>
              <w:left w:w="105" w:type="dxa"/>
              <w:right w:w="105" w:type="dxa"/>
            </w:tcMar>
          </w:tcPr>
          <w:p w14:paraId="045D7771"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2.84</w:t>
            </w:r>
          </w:p>
        </w:tc>
        <w:tc>
          <w:tcPr>
            <w:tcW w:w="254" w:type="pct"/>
            <w:tcMar>
              <w:left w:w="105" w:type="dxa"/>
              <w:right w:w="105" w:type="dxa"/>
            </w:tcMar>
          </w:tcPr>
          <w:p w14:paraId="10BBD729"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2.65</w:t>
            </w:r>
          </w:p>
        </w:tc>
        <w:tc>
          <w:tcPr>
            <w:tcW w:w="251" w:type="pct"/>
            <w:shd w:val="clear" w:color="auto" w:fill="DADADA" w:themeFill="background2" w:themeFillShade="E6"/>
            <w:tcMar>
              <w:left w:w="105" w:type="dxa"/>
              <w:right w:w="105" w:type="dxa"/>
            </w:tcMar>
          </w:tcPr>
          <w:p w14:paraId="113A00B6"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2.65</w:t>
            </w:r>
          </w:p>
        </w:tc>
        <w:tc>
          <w:tcPr>
            <w:tcW w:w="248" w:type="pct"/>
            <w:shd w:val="clear" w:color="auto" w:fill="DADADA" w:themeFill="background2" w:themeFillShade="E6"/>
            <w:tcMar>
              <w:left w:w="105" w:type="dxa"/>
              <w:right w:w="105" w:type="dxa"/>
            </w:tcMar>
          </w:tcPr>
          <w:p w14:paraId="7939FE29"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2.46</w:t>
            </w:r>
          </w:p>
        </w:tc>
      </w:tr>
      <w:tr w:rsidR="002B6683" w:rsidRPr="00DA2128" w14:paraId="7944D567" w14:textId="77777777" w:rsidTr="00B605CC">
        <w:trPr>
          <w:trHeight w:val="300"/>
        </w:trPr>
        <w:tc>
          <w:tcPr>
            <w:tcW w:w="376" w:type="pct"/>
            <w:tcMar>
              <w:left w:w="105" w:type="dxa"/>
              <w:right w:w="105" w:type="dxa"/>
            </w:tcMar>
          </w:tcPr>
          <w:p w14:paraId="48CDF89F"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28</w:t>
            </w:r>
          </w:p>
        </w:tc>
        <w:tc>
          <w:tcPr>
            <w:tcW w:w="275" w:type="pct"/>
            <w:shd w:val="clear" w:color="auto" w:fill="DADADA" w:themeFill="background2" w:themeFillShade="E6"/>
            <w:tcMar>
              <w:left w:w="105" w:type="dxa"/>
              <w:right w:w="105" w:type="dxa"/>
            </w:tcMar>
          </w:tcPr>
          <w:p w14:paraId="20C7D7CF"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3.08</w:t>
            </w:r>
          </w:p>
        </w:tc>
        <w:tc>
          <w:tcPr>
            <w:tcW w:w="276" w:type="pct"/>
            <w:shd w:val="clear" w:color="auto" w:fill="DADADA" w:themeFill="background2" w:themeFillShade="E6"/>
            <w:tcMar>
              <w:left w:w="105" w:type="dxa"/>
              <w:right w:w="105" w:type="dxa"/>
            </w:tcMar>
          </w:tcPr>
          <w:p w14:paraId="2DAEF731"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2.72</w:t>
            </w:r>
          </w:p>
        </w:tc>
        <w:tc>
          <w:tcPr>
            <w:tcW w:w="254" w:type="pct"/>
            <w:tcMar>
              <w:left w:w="105" w:type="dxa"/>
              <w:right w:w="105" w:type="dxa"/>
            </w:tcMar>
          </w:tcPr>
          <w:p w14:paraId="2C4DE838"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2.95</w:t>
            </w:r>
          </w:p>
        </w:tc>
        <w:tc>
          <w:tcPr>
            <w:tcW w:w="254" w:type="pct"/>
            <w:tcMar>
              <w:left w:w="105" w:type="dxa"/>
              <w:right w:w="105" w:type="dxa"/>
            </w:tcMar>
          </w:tcPr>
          <w:p w14:paraId="43D288E1"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2.62</w:t>
            </w:r>
          </w:p>
        </w:tc>
        <w:tc>
          <w:tcPr>
            <w:tcW w:w="254" w:type="pct"/>
            <w:shd w:val="clear" w:color="auto" w:fill="DADADA" w:themeFill="background2" w:themeFillShade="E6"/>
            <w:tcMar>
              <w:left w:w="105" w:type="dxa"/>
              <w:right w:w="105" w:type="dxa"/>
            </w:tcMar>
          </w:tcPr>
          <w:p w14:paraId="7EDA0616"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2.95</w:t>
            </w:r>
          </w:p>
        </w:tc>
        <w:tc>
          <w:tcPr>
            <w:tcW w:w="254" w:type="pct"/>
            <w:shd w:val="clear" w:color="auto" w:fill="DADADA" w:themeFill="background2" w:themeFillShade="E6"/>
            <w:tcMar>
              <w:left w:w="105" w:type="dxa"/>
              <w:right w:w="105" w:type="dxa"/>
            </w:tcMar>
          </w:tcPr>
          <w:p w14:paraId="0D287ED8"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2.77</w:t>
            </w:r>
          </w:p>
        </w:tc>
        <w:tc>
          <w:tcPr>
            <w:tcW w:w="254" w:type="pct"/>
            <w:tcMar>
              <w:left w:w="105" w:type="dxa"/>
              <w:right w:w="105" w:type="dxa"/>
            </w:tcMar>
          </w:tcPr>
          <w:p w14:paraId="6596D9E4"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2.97</w:t>
            </w:r>
          </w:p>
        </w:tc>
        <w:tc>
          <w:tcPr>
            <w:tcW w:w="254" w:type="pct"/>
            <w:tcMar>
              <w:left w:w="105" w:type="dxa"/>
              <w:right w:w="105" w:type="dxa"/>
            </w:tcMar>
          </w:tcPr>
          <w:p w14:paraId="6731ED39"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2.68</w:t>
            </w:r>
          </w:p>
        </w:tc>
        <w:tc>
          <w:tcPr>
            <w:tcW w:w="254" w:type="pct"/>
            <w:shd w:val="clear" w:color="auto" w:fill="DADADA" w:themeFill="background2" w:themeFillShade="E6"/>
            <w:tcMar>
              <w:left w:w="105" w:type="dxa"/>
              <w:right w:w="105" w:type="dxa"/>
            </w:tcMar>
          </w:tcPr>
          <w:p w14:paraId="0166850B"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2.92</w:t>
            </w:r>
          </w:p>
        </w:tc>
        <w:tc>
          <w:tcPr>
            <w:tcW w:w="254" w:type="pct"/>
            <w:shd w:val="clear" w:color="auto" w:fill="DADADA" w:themeFill="background2" w:themeFillShade="E6"/>
            <w:tcMar>
              <w:left w:w="105" w:type="dxa"/>
              <w:right w:w="105" w:type="dxa"/>
            </w:tcMar>
          </w:tcPr>
          <w:p w14:paraId="550AA899"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3.03</w:t>
            </w:r>
          </w:p>
        </w:tc>
        <w:tc>
          <w:tcPr>
            <w:tcW w:w="254" w:type="pct"/>
            <w:tcMar>
              <w:left w:w="105" w:type="dxa"/>
              <w:right w:w="105" w:type="dxa"/>
            </w:tcMar>
          </w:tcPr>
          <w:p w14:paraId="14F2D8DE"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3.34</w:t>
            </w:r>
          </w:p>
        </w:tc>
        <w:tc>
          <w:tcPr>
            <w:tcW w:w="254" w:type="pct"/>
            <w:tcMar>
              <w:left w:w="105" w:type="dxa"/>
              <w:right w:w="105" w:type="dxa"/>
            </w:tcMar>
          </w:tcPr>
          <w:p w14:paraId="43766F13"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2.76</w:t>
            </w:r>
          </w:p>
        </w:tc>
        <w:tc>
          <w:tcPr>
            <w:tcW w:w="262" w:type="pct"/>
            <w:shd w:val="clear" w:color="auto" w:fill="DADADA" w:themeFill="background2" w:themeFillShade="E6"/>
            <w:tcMar>
              <w:left w:w="105" w:type="dxa"/>
              <w:right w:w="105" w:type="dxa"/>
            </w:tcMar>
          </w:tcPr>
          <w:p w14:paraId="31900F1C"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3.2</w:t>
            </w:r>
          </w:p>
        </w:tc>
        <w:tc>
          <w:tcPr>
            <w:tcW w:w="262" w:type="pct"/>
            <w:shd w:val="clear" w:color="auto" w:fill="DADADA" w:themeFill="background2" w:themeFillShade="E6"/>
            <w:tcMar>
              <w:left w:w="105" w:type="dxa"/>
              <w:right w:w="105" w:type="dxa"/>
            </w:tcMar>
          </w:tcPr>
          <w:p w14:paraId="7EA06B87"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2.91</w:t>
            </w:r>
          </w:p>
        </w:tc>
        <w:tc>
          <w:tcPr>
            <w:tcW w:w="254" w:type="pct"/>
            <w:tcMar>
              <w:left w:w="105" w:type="dxa"/>
              <w:right w:w="105" w:type="dxa"/>
            </w:tcMar>
          </w:tcPr>
          <w:p w14:paraId="6B4A0962"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3.02</w:t>
            </w:r>
          </w:p>
        </w:tc>
        <w:tc>
          <w:tcPr>
            <w:tcW w:w="254" w:type="pct"/>
            <w:tcMar>
              <w:left w:w="105" w:type="dxa"/>
              <w:right w:w="105" w:type="dxa"/>
            </w:tcMar>
          </w:tcPr>
          <w:p w14:paraId="1256F1CF"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2.92</w:t>
            </w:r>
          </w:p>
        </w:tc>
        <w:tc>
          <w:tcPr>
            <w:tcW w:w="251" w:type="pct"/>
            <w:shd w:val="clear" w:color="auto" w:fill="DADADA" w:themeFill="background2" w:themeFillShade="E6"/>
            <w:tcMar>
              <w:left w:w="105" w:type="dxa"/>
              <w:right w:w="105" w:type="dxa"/>
            </w:tcMar>
          </w:tcPr>
          <w:p w14:paraId="2C8759C2"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2.89</w:t>
            </w:r>
          </w:p>
        </w:tc>
        <w:tc>
          <w:tcPr>
            <w:tcW w:w="248" w:type="pct"/>
            <w:shd w:val="clear" w:color="auto" w:fill="DADADA" w:themeFill="background2" w:themeFillShade="E6"/>
            <w:tcMar>
              <w:left w:w="105" w:type="dxa"/>
              <w:right w:w="105" w:type="dxa"/>
            </w:tcMar>
          </w:tcPr>
          <w:p w14:paraId="5F8B2CDC"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2.63</w:t>
            </w:r>
          </w:p>
        </w:tc>
      </w:tr>
      <w:tr w:rsidR="002B6683" w:rsidRPr="00DA2128" w14:paraId="71B0D1B3" w14:textId="77777777" w:rsidTr="00B605CC">
        <w:trPr>
          <w:trHeight w:val="300"/>
        </w:trPr>
        <w:tc>
          <w:tcPr>
            <w:tcW w:w="376" w:type="pct"/>
            <w:tcMar>
              <w:left w:w="105" w:type="dxa"/>
              <w:right w:w="105" w:type="dxa"/>
            </w:tcMar>
          </w:tcPr>
          <w:p w14:paraId="60BBB652"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31</w:t>
            </w:r>
          </w:p>
        </w:tc>
        <w:tc>
          <w:tcPr>
            <w:tcW w:w="275" w:type="pct"/>
            <w:shd w:val="clear" w:color="auto" w:fill="DADADA" w:themeFill="background2" w:themeFillShade="E6"/>
            <w:tcMar>
              <w:left w:w="105" w:type="dxa"/>
              <w:right w:w="105" w:type="dxa"/>
            </w:tcMar>
          </w:tcPr>
          <w:p w14:paraId="1C4E42D4"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2.84</w:t>
            </w:r>
          </w:p>
        </w:tc>
        <w:tc>
          <w:tcPr>
            <w:tcW w:w="276" w:type="pct"/>
            <w:shd w:val="clear" w:color="auto" w:fill="DADADA" w:themeFill="background2" w:themeFillShade="E6"/>
            <w:tcMar>
              <w:left w:w="105" w:type="dxa"/>
              <w:right w:w="105" w:type="dxa"/>
            </w:tcMar>
          </w:tcPr>
          <w:p w14:paraId="01668D18"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2.49</w:t>
            </w:r>
          </w:p>
        </w:tc>
        <w:tc>
          <w:tcPr>
            <w:tcW w:w="254" w:type="pct"/>
            <w:tcMar>
              <w:left w:w="105" w:type="dxa"/>
              <w:right w:w="105" w:type="dxa"/>
            </w:tcMar>
          </w:tcPr>
          <w:p w14:paraId="563F8F89"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3.11</w:t>
            </w:r>
          </w:p>
        </w:tc>
        <w:tc>
          <w:tcPr>
            <w:tcW w:w="254" w:type="pct"/>
            <w:tcMar>
              <w:left w:w="105" w:type="dxa"/>
              <w:right w:w="105" w:type="dxa"/>
            </w:tcMar>
          </w:tcPr>
          <w:p w14:paraId="5F724EFD"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2.69</w:t>
            </w:r>
          </w:p>
        </w:tc>
        <w:tc>
          <w:tcPr>
            <w:tcW w:w="254" w:type="pct"/>
            <w:shd w:val="clear" w:color="auto" w:fill="DADADA" w:themeFill="background2" w:themeFillShade="E6"/>
            <w:tcMar>
              <w:left w:w="105" w:type="dxa"/>
              <w:right w:w="105" w:type="dxa"/>
            </w:tcMar>
          </w:tcPr>
          <w:p w14:paraId="3F4D2B82"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3.11</w:t>
            </w:r>
          </w:p>
        </w:tc>
        <w:tc>
          <w:tcPr>
            <w:tcW w:w="254" w:type="pct"/>
            <w:shd w:val="clear" w:color="auto" w:fill="DADADA" w:themeFill="background2" w:themeFillShade="E6"/>
            <w:tcMar>
              <w:left w:w="105" w:type="dxa"/>
              <w:right w:w="105" w:type="dxa"/>
            </w:tcMar>
          </w:tcPr>
          <w:p w14:paraId="0E8AEDC6"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2.41</w:t>
            </w:r>
          </w:p>
        </w:tc>
        <w:tc>
          <w:tcPr>
            <w:tcW w:w="254" w:type="pct"/>
            <w:tcMar>
              <w:left w:w="105" w:type="dxa"/>
              <w:right w:w="105" w:type="dxa"/>
            </w:tcMar>
          </w:tcPr>
          <w:p w14:paraId="02D08CB7"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w:t>
            </w:r>
          </w:p>
        </w:tc>
        <w:tc>
          <w:tcPr>
            <w:tcW w:w="254" w:type="pct"/>
            <w:tcMar>
              <w:left w:w="105" w:type="dxa"/>
              <w:right w:w="105" w:type="dxa"/>
            </w:tcMar>
          </w:tcPr>
          <w:p w14:paraId="15B2FC69"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2.86</w:t>
            </w:r>
          </w:p>
        </w:tc>
        <w:tc>
          <w:tcPr>
            <w:tcW w:w="254" w:type="pct"/>
            <w:shd w:val="clear" w:color="auto" w:fill="DADADA" w:themeFill="background2" w:themeFillShade="E6"/>
            <w:tcMar>
              <w:left w:w="105" w:type="dxa"/>
              <w:right w:w="105" w:type="dxa"/>
            </w:tcMar>
          </w:tcPr>
          <w:p w14:paraId="0E89F6E8"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2.87</w:t>
            </w:r>
          </w:p>
        </w:tc>
        <w:tc>
          <w:tcPr>
            <w:tcW w:w="254" w:type="pct"/>
            <w:shd w:val="clear" w:color="auto" w:fill="DADADA" w:themeFill="background2" w:themeFillShade="E6"/>
            <w:tcMar>
              <w:left w:w="105" w:type="dxa"/>
              <w:right w:w="105" w:type="dxa"/>
            </w:tcMar>
          </w:tcPr>
          <w:p w14:paraId="5DD1D395"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2.81</w:t>
            </w:r>
          </w:p>
        </w:tc>
        <w:tc>
          <w:tcPr>
            <w:tcW w:w="254" w:type="pct"/>
            <w:tcMar>
              <w:left w:w="105" w:type="dxa"/>
              <w:right w:w="105" w:type="dxa"/>
            </w:tcMar>
          </w:tcPr>
          <w:p w14:paraId="55AEE8E6"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3.45</w:t>
            </w:r>
          </w:p>
        </w:tc>
        <w:tc>
          <w:tcPr>
            <w:tcW w:w="254" w:type="pct"/>
            <w:tcMar>
              <w:left w:w="105" w:type="dxa"/>
              <w:right w:w="105" w:type="dxa"/>
            </w:tcMar>
          </w:tcPr>
          <w:p w14:paraId="32299D5E"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2.94</w:t>
            </w:r>
          </w:p>
        </w:tc>
        <w:tc>
          <w:tcPr>
            <w:tcW w:w="262" w:type="pct"/>
            <w:shd w:val="clear" w:color="auto" w:fill="DADADA" w:themeFill="background2" w:themeFillShade="E6"/>
            <w:tcMar>
              <w:left w:w="105" w:type="dxa"/>
              <w:right w:w="105" w:type="dxa"/>
            </w:tcMar>
          </w:tcPr>
          <w:p w14:paraId="0186E283"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3.25</w:t>
            </w:r>
          </w:p>
        </w:tc>
        <w:tc>
          <w:tcPr>
            <w:tcW w:w="262" w:type="pct"/>
            <w:shd w:val="clear" w:color="auto" w:fill="DADADA" w:themeFill="background2" w:themeFillShade="E6"/>
            <w:tcMar>
              <w:left w:w="105" w:type="dxa"/>
              <w:right w:w="105" w:type="dxa"/>
            </w:tcMar>
          </w:tcPr>
          <w:p w14:paraId="2EAC7A62"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2.77</w:t>
            </w:r>
          </w:p>
        </w:tc>
        <w:tc>
          <w:tcPr>
            <w:tcW w:w="254" w:type="pct"/>
            <w:tcMar>
              <w:left w:w="105" w:type="dxa"/>
              <w:right w:w="105" w:type="dxa"/>
            </w:tcMar>
          </w:tcPr>
          <w:p w14:paraId="29DFBD52"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3.25</w:t>
            </w:r>
          </w:p>
        </w:tc>
        <w:tc>
          <w:tcPr>
            <w:tcW w:w="254" w:type="pct"/>
            <w:tcMar>
              <w:left w:w="105" w:type="dxa"/>
              <w:right w:w="105" w:type="dxa"/>
            </w:tcMar>
          </w:tcPr>
          <w:p w14:paraId="076ECF38"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2.74</w:t>
            </w:r>
          </w:p>
        </w:tc>
        <w:tc>
          <w:tcPr>
            <w:tcW w:w="251" w:type="pct"/>
            <w:shd w:val="clear" w:color="auto" w:fill="DADADA" w:themeFill="background2" w:themeFillShade="E6"/>
            <w:tcMar>
              <w:left w:w="105" w:type="dxa"/>
              <w:right w:w="105" w:type="dxa"/>
            </w:tcMar>
          </w:tcPr>
          <w:p w14:paraId="411039B3"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2.57</w:t>
            </w:r>
          </w:p>
        </w:tc>
        <w:tc>
          <w:tcPr>
            <w:tcW w:w="248" w:type="pct"/>
            <w:shd w:val="clear" w:color="auto" w:fill="DADADA" w:themeFill="background2" w:themeFillShade="E6"/>
            <w:tcMar>
              <w:left w:w="105" w:type="dxa"/>
              <w:right w:w="105" w:type="dxa"/>
            </w:tcMar>
          </w:tcPr>
          <w:p w14:paraId="26825984"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2.43</w:t>
            </w:r>
          </w:p>
        </w:tc>
      </w:tr>
      <w:tr w:rsidR="002B6683" w:rsidRPr="00DA2128" w14:paraId="24FE2A57" w14:textId="77777777" w:rsidTr="00B605CC">
        <w:trPr>
          <w:trHeight w:val="300"/>
        </w:trPr>
        <w:tc>
          <w:tcPr>
            <w:tcW w:w="376" w:type="pct"/>
            <w:tcMar>
              <w:left w:w="105" w:type="dxa"/>
              <w:right w:w="105" w:type="dxa"/>
            </w:tcMar>
          </w:tcPr>
          <w:p w14:paraId="2769BB70"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38</w:t>
            </w:r>
          </w:p>
        </w:tc>
        <w:tc>
          <w:tcPr>
            <w:tcW w:w="275" w:type="pct"/>
            <w:shd w:val="clear" w:color="auto" w:fill="DADADA" w:themeFill="background2" w:themeFillShade="E6"/>
            <w:tcMar>
              <w:left w:w="105" w:type="dxa"/>
              <w:right w:w="105" w:type="dxa"/>
            </w:tcMar>
          </w:tcPr>
          <w:p w14:paraId="1E487176"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2.79</w:t>
            </w:r>
          </w:p>
        </w:tc>
        <w:tc>
          <w:tcPr>
            <w:tcW w:w="276" w:type="pct"/>
            <w:shd w:val="clear" w:color="auto" w:fill="DADADA" w:themeFill="background2" w:themeFillShade="E6"/>
            <w:tcMar>
              <w:left w:w="105" w:type="dxa"/>
              <w:right w:w="105" w:type="dxa"/>
            </w:tcMar>
          </w:tcPr>
          <w:p w14:paraId="5C357111"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2.47</w:t>
            </w:r>
          </w:p>
        </w:tc>
        <w:tc>
          <w:tcPr>
            <w:tcW w:w="254" w:type="pct"/>
            <w:tcMar>
              <w:left w:w="105" w:type="dxa"/>
              <w:right w:w="105" w:type="dxa"/>
            </w:tcMar>
          </w:tcPr>
          <w:p w14:paraId="093F71AB"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2.87</w:t>
            </w:r>
          </w:p>
        </w:tc>
        <w:tc>
          <w:tcPr>
            <w:tcW w:w="254" w:type="pct"/>
            <w:tcMar>
              <w:left w:w="105" w:type="dxa"/>
              <w:right w:w="105" w:type="dxa"/>
            </w:tcMar>
          </w:tcPr>
          <w:p w14:paraId="61F87473"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2.51</w:t>
            </w:r>
          </w:p>
        </w:tc>
        <w:tc>
          <w:tcPr>
            <w:tcW w:w="254" w:type="pct"/>
            <w:shd w:val="clear" w:color="auto" w:fill="DADADA" w:themeFill="background2" w:themeFillShade="E6"/>
            <w:tcMar>
              <w:left w:w="105" w:type="dxa"/>
              <w:right w:w="105" w:type="dxa"/>
            </w:tcMar>
          </w:tcPr>
          <w:p w14:paraId="13985CFC"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2.87</w:t>
            </w:r>
          </w:p>
        </w:tc>
        <w:tc>
          <w:tcPr>
            <w:tcW w:w="254" w:type="pct"/>
            <w:shd w:val="clear" w:color="auto" w:fill="DADADA" w:themeFill="background2" w:themeFillShade="E6"/>
            <w:tcMar>
              <w:left w:w="105" w:type="dxa"/>
              <w:right w:w="105" w:type="dxa"/>
            </w:tcMar>
          </w:tcPr>
          <w:p w14:paraId="5733F707"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2.38</w:t>
            </w:r>
          </w:p>
        </w:tc>
        <w:tc>
          <w:tcPr>
            <w:tcW w:w="254" w:type="pct"/>
            <w:tcMar>
              <w:left w:w="105" w:type="dxa"/>
              <w:right w:w="105" w:type="dxa"/>
            </w:tcMar>
          </w:tcPr>
          <w:p w14:paraId="7F98AC51"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2.55</w:t>
            </w:r>
          </w:p>
        </w:tc>
        <w:tc>
          <w:tcPr>
            <w:tcW w:w="254" w:type="pct"/>
            <w:tcMar>
              <w:left w:w="105" w:type="dxa"/>
              <w:right w:w="105" w:type="dxa"/>
            </w:tcMar>
          </w:tcPr>
          <w:p w14:paraId="1F17AB65"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2.68</w:t>
            </w:r>
          </w:p>
        </w:tc>
        <w:tc>
          <w:tcPr>
            <w:tcW w:w="254" w:type="pct"/>
            <w:shd w:val="clear" w:color="auto" w:fill="DADADA" w:themeFill="background2" w:themeFillShade="E6"/>
            <w:tcMar>
              <w:left w:w="105" w:type="dxa"/>
              <w:right w:w="105" w:type="dxa"/>
            </w:tcMar>
          </w:tcPr>
          <w:p w14:paraId="6A1700DB"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w:t>
            </w:r>
          </w:p>
        </w:tc>
        <w:tc>
          <w:tcPr>
            <w:tcW w:w="254" w:type="pct"/>
            <w:shd w:val="clear" w:color="auto" w:fill="DADADA" w:themeFill="background2" w:themeFillShade="E6"/>
            <w:tcMar>
              <w:left w:w="105" w:type="dxa"/>
              <w:right w:w="105" w:type="dxa"/>
            </w:tcMar>
          </w:tcPr>
          <w:p w14:paraId="0F88B01F"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2.84</w:t>
            </w:r>
          </w:p>
        </w:tc>
        <w:tc>
          <w:tcPr>
            <w:tcW w:w="254" w:type="pct"/>
            <w:tcMar>
              <w:left w:w="105" w:type="dxa"/>
              <w:right w:w="105" w:type="dxa"/>
            </w:tcMar>
          </w:tcPr>
          <w:p w14:paraId="09D95195"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2.95</w:t>
            </w:r>
          </w:p>
        </w:tc>
        <w:tc>
          <w:tcPr>
            <w:tcW w:w="254" w:type="pct"/>
            <w:tcMar>
              <w:left w:w="105" w:type="dxa"/>
              <w:right w:w="105" w:type="dxa"/>
            </w:tcMar>
          </w:tcPr>
          <w:p w14:paraId="711B7D12"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2.82</w:t>
            </w:r>
          </w:p>
        </w:tc>
        <w:tc>
          <w:tcPr>
            <w:tcW w:w="262" w:type="pct"/>
            <w:shd w:val="clear" w:color="auto" w:fill="DADADA" w:themeFill="background2" w:themeFillShade="E6"/>
            <w:tcMar>
              <w:left w:w="105" w:type="dxa"/>
              <w:right w:w="105" w:type="dxa"/>
            </w:tcMar>
          </w:tcPr>
          <w:p w14:paraId="469A015E"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w:t>
            </w:r>
          </w:p>
        </w:tc>
        <w:tc>
          <w:tcPr>
            <w:tcW w:w="262" w:type="pct"/>
            <w:shd w:val="clear" w:color="auto" w:fill="DADADA" w:themeFill="background2" w:themeFillShade="E6"/>
            <w:tcMar>
              <w:left w:w="105" w:type="dxa"/>
              <w:right w:w="105" w:type="dxa"/>
            </w:tcMar>
          </w:tcPr>
          <w:p w14:paraId="1D33474C"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3.06</w:t>
            </w:r>
          </w:p>
        </w:tc>
        <w:tc>
          <w:tcPr>
            <w:tcW w:w="254" w:type="pct"/>
            <w:tcMar>
              <w:left w:w="105" w:type="dxa"/>
              <w:right w:w="105" w:type="dxa"/>
            </w:tcMar>
          </w:tcPr>
          <w:p w14:paraId="5342E169"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2.98</w:t>
            </w:r>
          </w:p>
        </w:tc>
        <w:tc>
          <w:tcPr>
            <w:tcW w:w="254" w:type="pct"/>
            <w:tcMar>
              <w:left w:w="105" w:type="dxa"/>
              <w:right w:w="105" w:type="dxa"/>
            </w:tcMar>
          </w:tcPr>
          <w:p w14:paraId="47CE58D4"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2.79</w:t>
            </w:r>
          </w:p>
        </w:tc>
        <w:tc>
          <w:tcPr>
            <w:tcW w:w="251" w:type="pct"/>
            <w:shd w:val="clear" w:color="auto" w:fill="DADADA" w:themeFill="background2" w:themeFillShade="E6"/>
            <w:tcMar>
              <w:left w:w="105" w:type="dxa"/>
              <w:right w:w="105" w:type="dxa"/>
            </w:tcMar>
          </w:tcPr>
          <w:p w14:paraId="52329521"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2.57</w:t>
            </w:r>
          </w:p>
        </w:tc>
        <w:tc>
          <w:tcPr>
            <w:tcW w:w="248" w:type="pct"/>
            <w:shd w:val="clear" w:color="auto" w:fill="DADADA" w:themeFill="background2" w:themeFillShade="E6"/>
            <w:tcMar>
              <w:left w:w="105" w:type="dxa"/>
              <w:right w:w="105" w:type="dxa"/>
            </w:tcMar>
          </w:tcPr>
          <w:p w14:paraId="79900434"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2.54</w:t>
            </w:r>
          </w:p>
        </w:tc>
      </w:tr>
      <w:tr w:rsidR="002B6683" w:rsidRPr="00DA2128" w14:paraId="5C2E7716" w14:textId="77777777" w:rsidTr="00B605CC">
        <w:trPr>
          <w:trHeight w:val="300"/>
        </w:trPr>
        <w:tc>
          <w:tcPr>
            <w:tcW w:w="376" w:type="pct"/>
            <w:tcMar>
              <w:left w:w="105" w:type="dxa"/>
              <w:right w:w="105" w:type="dxa"/>
            </w:tcMar>
          </w:tcPr>
          <w:p w14:paraId="45AB115D"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39</w:t>
            </w:r>
          </w:p>
        </w:tc>
        <w:tc>
          <w:tcPr>
            <w:tcW w:w="275" w:type="pct"/>
            <w:shd w:val="clear" w:color="auto" w:fill="DADADA" w:themeFill="background2" w:themeFillShade="E6"/>
            <w:tcMar>
              <w:left w:w="105" w:type="dxa"/>
              <w:right w:w="105" w:type="dxa"/>
            </w:tcMar>
          </w:tcPr>
          <w:p w14:paraId="4EC5FABF"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2.67</w:t>
            </w:r>
          </w:p>
        </w:tc>
        <w:tc>
          <w:tcPr>
            <w:tcW w:w="276" w:type="pct"/>
            <w:shd w:val="clear" w:color="auto" w:fill="DADADA" w:themeFill="background2" w:themeFillShade="E6"/>
            <w:tcMar>
              <w:left w:w="105" w:type="dxa"/>
              <w:right w:w="105" w:type="dxa"/>
            </w:tcMar>
          </w:tcPr>
          <w:p w14:paraId="1C3142B0"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2.61</w:t>
            </w:r>
          </w:p>
        </w:tc>
        <w:tc>
          <w:tcPr>
            <w:tcW w:w="254" w:type="pct"/>
            <w:tcMar>
              <w:left w:w="105" w:type="dxa"/>
              <w:right w:w="105" w:type="dxa"/>
            </w:tcMar>
          </w:tcPr>
          <w:p w14:paraId="28D8107D"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2.76</w:t>
            </w:r>
          </w:p>
        </w:tc>
        <w:tc>
          <w:tcPr>
            <w:tcW w:w="254" w:type="pct"/>
            <w:tcMar>
              <w:left w:w="105" w:type="dxa"/>
              <w:right w:w="105" w:type="dxa"/>
            </w:tcMar>
          </w:tcPr>
          <w:p w14:paraId="03FD47E2"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2.66</w:t>
            </w:r>
          </w:p>
        </w:tc>
        <w:tc>
          <w:tcPr>
            <w:tcW w:w="254" w:type="pct"/>
            <w:shd w:val="clear" w:color="auto" w:fill="DADADA" w:themeFill="background2" w:themeFillShade="E6"/>
            <w:tcMar>
              <w:left w:w="105" w:type="dxa"/>
              <w:right w:w="105" w:type="dxa"/>
            </w:tcMar>
          </w:tcPr>
          <w:p w14:paraId="26BB4C9F"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2.76</w:t>
            </w:r>
          </w:p>
        </w:tc>
        <w:tc>
          <w:tcPr>
            <w:tcW w:w="254" w:type="pct"/>
            <w:shd w:val="clear" w:color="auto" w:fill="DADADA" w:themeFill="background2" w:themeFillShade="E6"/>
            <w:tcMar>
              <w:left w:w="105" w:type="dxa"/>
              <w:right w:w="105" w:type="dxa"/>
            </w:tcMar>
          </w:tcPr>
          <w:p w14:paraId="7A7726FB"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2.37</w:t>
            </w:r>
          </w:p>
        </w:tc>
        <w:tc>
          <w:tcPr>
            <w:tcW w:w="254" w:type="pct"/>
            <w:tcMar>
              <w:left w:w="105" w:type="dxa"/>
              <w:right w:w="105" w:type="dxa"/>
            </w:tcMar>
          </w:tcPr>
          <w:p w14:paraId="481F665E"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2.78</w:t>
            </w:r>
          </w:p>
        </w:tc>
        <w:tc>
          <w:tcPr>
            <w:tcW w:w="254" w:type="pct"/>
            <w:tcMar>
              <w:left w:w="105" w:type="dxa"/>
              <w:right w:w="105" w:type="dxa"/>
            </w:tcMar>
          </w:tcPr>
          <w:p w14:paraId="77A6EF4C"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2.76</w:t>
            </w:r>
          </w:p>
        </w:tc>
        <w:tc>
          <w:tcPr>
            <w:tcW w:w="254" w:type="pct"/>
            <w:shd w:val="clear" w:color="auto" w:fill="DADADA" w:themeFill="background2" w:themeFillShade="E6"/>
            <w:tcMar>
              <w:left w:w="105" w:type="dxa"/>
              <w:right w:w="105" w:type="dxa"/>
            </w:tcMar>
          </w:tcPr>
          <w:p w14:paraId="5A373DEE"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w:t>
            </w:r>
          </w:p>
        </w:tc>
        <w:tc>
          <w:tcPr>
            <w:tcW w:w="254" w:type="pct"/>
            <w:shd w:val="clear" w:color="auto" w:fill="DADADA" w:themeFill="background2" w:themeFillShade="E6"/>
            <w:tcMar>
              <w:left w:w="105" w:type="dxa"/>
              <w:right w:w="105" w:type="dxa"/>
            </w:tcMar>
          </w:tcPr>
          <w:p w14:paraId="144FAF1A"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2.92</w:t>
            </w:r>
          </w:p>
        </w:tc>
        <w:tc>
          <w:tcPr>
            <w:tcW w:w="254" w:type="pct"/>
            <w:tcMar>
              <w:left w:w="105" w:type="dxa"/>
              <w:right w:w="105" w:type="dxa"/>
            </w:tcMar>
          </w:tcPr>
          <w:p w14:paraId="4FFD318A"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w:t>
            </w:r>
          </w:p>
        </w:tc>
        <w:tc>
          <w:tcPr>
            <w:tcW w:w="254" w:type="pct"/>
            <w:tcMar>
              <w:left w:w="105" w:type="dxa"/>
              <w:right w:w="105" w:type="dxa"/>
            </w:tcMar>
          </w:tcPr>
          <w:p w14:paraId="3F6264B5"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2.74</w:t>
            </w:r>
          </w:p>
        </w:tc>
        <w:tc>
          <w:tcPr>
            <w:tcW w:w="262" w:type="pct"/>
            <w:shd w:val="clear" w:color="auto" w:fill="DADADA" w:themeFill="background2" w:themeFillShade="E6"/>
            <w:tcMar>
              <w:left w:w="105" w:type="dxa"/>
              <w:right w:w="105" w:type="dxa"/>
            </w:tcMar>
          </w:tcPr>
          <w:p w14:paraId="3CBE4AF9"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2.92</w:t>
            </w:r>
          </w:p>
        </w:tc>
        <w:tc>
          <w:tcPr>
            <w:tcW w:w="262" w:type="pct"/>
            <w:shd w:val="clear" w:color="auto" w:fill="DADADA" w:themeFill="background2" w:themeFillShade="E6"/>
            <w:tcMar>
              <w:left w:w="105" w:type="dxa"/>
              <w:right w:w="105" w:type="dxa"/>
            </w:tcMar>
          </w:tcPr>
          <w:p w14:paraId="6B4EF66A"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2.97</w:t>
            </w:r>
          </w:p>
        </w:tc>
        <w:tc>
          <w:tcPr>
            <w:tcW w:w="254" w:type="pct"/>
            <w:tcMar>
              <w:left w:w="105" w:type="dxa"/>
              <w:right w:w="105" w:type="dxa"/>
            </w:tcMar>
          </w:tcPr>
          <w:p w14:paraId="4F50370B"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2.98</w:t>
            </w:r>
          </w:p>
        </w:tc>
        <w:tc>
          <w:tcPr>
            <w:tcW w:w="254" w:type="pct"/>
            <w:tcMar>
              <w:left w:w="105" w:type="dxa"/>
              <w:right w:w="105" w:type="dxa"/>
            </w:tcMar>
          </w:tcPr>
          <w:p w14:paraId="535C889F"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2.73</w:t>
            </w:r>
          </w:p>
        </w:tc>
        <w:tc>
          <w:tcPr>
            <w:tcW w:w="251" w:type="pct"/>
            <w:shd w:val="clear" w:color="auto" w:fill="DADADA" w:themeFill="background2" w:themeFillShade="E6"/>
            <w:tcMar>
              <w:left w:w="105" w:type="dxa"/>
              <w:right w:w="105" w:type="dxa"/>
            </w:tcMar>
          </w:tcPr>
          <w:p w14:paraId="1FF21D9F"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2.54</w:t>
            </w:r>
          </w:p>
        </w:tc>
        <w:tc>
          <w:tcPr>
            <w:tcW w:w="248" w:type="pct"/>
            <w:shd w:val="clear" w:color="auto" w:fill="DADADA" w:themeFill="background2" w:themeFillShade="E6"/>
            <w:tcMar>
              <w:left w:w="105" w:type="dxa"/>
              <w:right w:w="105" w:type="dxa"/>
            </w:tcMar>
          </w:tcPr>
          <w:p w14:paraId="266718C8"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2.54</w:t>
            </w:r>
          </w:p>
        </w:tc>
      </w:tr>
      <w:tr w:rsidR="002B6683" w:rsidRPr="00DA2128" w14:paraId="1526EE27" w14:textId="77777777" w:rsidTr="00B605CC">
        <w:trPr>
          <w:trHeight w:val="300"/>
        </w:trPr>
        <w:tc>
          <w:tcPr>
            <w:tcW w:w="376" w:type="pct"/>
            <w:tcMar>
              <w:left w:w="105" w:type="dxa"/>
              <w:right w:w="105" w:type="dxa"/>
            </w:tcMar>
          </w:tcPr>
          <w:p w14:paraId="7D9B7D4D"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48</w:t>
            </w:r>
          </w:p>
        </w:tc>
        <w:tc>
          <w:tcPr>
            <w:tcW w:w="275" w:type="pct"/>
            <w:shd w:val="clear" w:color="auto" w:fill="DADADA" w:themeFill="background2" w:themeFillShade="E6"/>
            <w:tcMar>
              <w:left w:w="105" w:type="dxa"/>
              <w:right w:w="105" w:type="dxa"/>
            </w:tcMar>
          </w:tcPr>
          <w:p w14:paraId="5122EBE8"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3</w:t>
            </w:r>
          </w:p>
        </w:tc>
        <w:tc>
          <w:tcPr>
            <w:tcW w:w="276" w:type="pct"/>
            <w:shd w:val="clear" w:color="auto" w:fill="DADADA" w:themeFill="background2" w:themeFillShade="E6"/>
            <w:tcMar>
              <w:left w:w="105" w:type="dxa"/>
              <w:right w:w="105" w:type="dxa"/>
            </w:tcMar>
          </w:tcPr>
          <w:p w14:paraId="43C103B7"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2.46</w:t>
            </w:r>
          </w:p>
        </w:tc>
        <w:tc>
          <w:tcPr>
            <w:tcW w:w="254" w:type="pct"/>
            <w:tcMar>
              <w:left w:w="105" w:type="dxa"/>
              <w:right w:w="105" w:type="dxa"/>
            </w:tcMar>
          </w:tcPr>
          <w:p w14:paraId="5EB8548D"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2.95</w:t>
            </w:r>
          </w:p>
        </w:tc>
        <w:tc>
          <w:tcPr>
            <w:tcW w:w="254" w:type="pct"/>
            <w:tcMar>
              <w:left w:w="105" w:type="dxa"/>
              <w:right w:w="105" w:type="dxa"/>
            </w:tcMar>
          </w:tcPr>
          <w:p w14:paraId="60909397"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2.2</w:t>
            </w:r>
          </w:p>
        </w:tc>
        <w:tc>
          <w:tcPr>
            <w:tcW w:w="254" w:type="pct"/>
            <w:shd w:val="clear" w:color="auto" w:fill="DADADA" w:themeFill="background2" w:themeFillShade="E6"/>
            <w:tcMar>
              <w:left w:w="105" w:type="dxa"/>
              <w:right w:w="105" w:type="dxa"/>
            </w:tcMar>
          </w:tcPr>
          <w:p w14:paraId="257AF70D"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2.95</w:t>
            </w:r>
          </w:p>
        </w:tc>
        <w:tc>
          <w:tcPr>
            <w:tcW w:w="254" w:type="pct"/>
            <w:shd w:val="clear" w:color="auto" w:fill="DADADA" w:themeFill="background2" w:themeFillShade="E6"/>
            <w:tcMar>
              <w:left w:w="105" w:type="dxa"/>
              <w:right w:w="105" w:type="dxa"/>
            </w:tcMar>
          </w:tcPr>
          <w:p w14:paraId="7964767A"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1.94</w:t>
            </w:r>
          </w:p>
        </w:tc>
        <w:tc>
          <w:tcPr>
            <w:tcW w:w="254" w:type="pct"/>
            <w:tcMar>
              <w:left w:w="105" w:type="dxa"/>
              <w:right w:w="105" w:type="dxa"/>
            </w:tcMar>
          </w:tcPr>
          <w:p w14:paraId="1E220E79"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3.08</w:t>
            </w:r>
          </w:p>
        </w:tc>
        <w:tc>
          <w:tcPr>
            <w:tcW w:w="254" w:type="pct"/>
            <w:tcMar>
              <w:left w:w="105" w:type="dxa"/>
              <w:right w:w="105" w:type="dxa"/>
            </w:tcMar>
          </w:tcPr>
          <w:p w14:paraId="1B91FE04"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2.14</w:t>
            </w:r>
          </w:p>
        </w:tc>
        <w:tc>
          <w:tcPr>
            <w:tcW w:w="254" w:type="pct"/>
            <w:shd w:val="clear" w:color="auto" w:fill="DADADA" w:themeFill="background2" w:themeFillShade="E6"/>
            <w:tcMar>
              <w:left w:w="105" w:type="dxa"/>
              <w:right w:w="105" w:type="dxa"/>
            </w:tcMar>
          </w:tcPr>
          <w:p w14:paraId="4ACAB2EC"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2.89</w:t>
            </w:r>
          </w:p>
        </w:tc>
        <w:tc>
          <w:tcPr>
            <w:tcW w:w="254" w:type="pct"/>
            <w:shd w:val="clear" w:color="auto" w:fill="DADADA" w:themeFill="background2" w:themeFillShade="E6"/>
            <w:tcMar>
              <w:left w:w="105" w:type="dxa"/>
              <w:right w:w="105" w:type="dxa"/>
            </w:tcMar>
          </w:tcPr>
          <w:p w14:paraId="5D3EEEE9"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2.65</w:t>
            </w:r>
          </w:p>
        </w:tc>
        <w:tc>
          <w:tcPr>
            <w:tcW w:w="254" w:type="pct"/>
            <w:tcMar>
              <w:left w:w="105" w:type="dxa"/>
              <w:right w:w="105" w:type="dxa"/>
            </w:tcMar>
          </w:tcPr>
          <w:p w14:paraId="52603F0E"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3.24</w:t>
            </w:r>
          </w:p>
        </w:tc>
        <w:tc>
          <w:tcPr>
            <w:tcW w:w="254" w:type="pct"/>
            <w:tcMar>
              <w:left w:w="105" w:type="dxa"/>
              <w:right w:w="105" w:type="dxa"/>
            </w:tcMar>
          </w:tcPr>
          <w:p w14:paraId="515FD0D4"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2.21</w:t>
            </w:r>
          </w:p>
        </w:tc>
        <w:tc>
          <w:tcPr>
            <w:tcW w:w="262" w:type="pct"/>
            <w:shd w:val="clear" w:color="auto" w:fill="DADADA" w:themeFill="background2" w:themeFillShade="E6"/>
            <w:tcMar>
              <w:left w:w="105" w:type="dxa"/>
              <w:right w:w="105" w:type="dxa"/>
            </w:tcMar>
          </w:tcPr>
          <w:p w14:paraId="63DB3F90"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3.09</w:t>
            </w:r>
          </w:p>
        </w:tc>
        <w:tc>
          <w:tcPr>
            <w:tcW w:w="262" w:type="pct"/>
            <w:shd w:val="clear" w:color="auto" w:fill="DADADA" w:themeFill="background2" w:themeFillShade="E6"/>
            <w:tcMar>
              <w:left w:w="105" w:type="dxa"/>
              <w:right w:w="105" w:type="dxa"/>
            </w:tcMar>
          </w:tcPr>
          <w:p w14:paraId="6D225C63"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2.46</w:t>
            </w:r>
          </w:p>
        </w:tc>
        <w:tc>
          <w:tcPr>
            <w:tcW w:w="254" w:type="pct"/>
            <w:tcMar>
              <w:left w:w="105" w:type="dxa"/>
              <w:right w:w="105" w:type="dxa"/>
            </w:tcMar>
          </w:tcPr>
          <w:p w14:paraId="5A3F4371"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3.18</w:t>
            </w:r>
          </w:p>
        </w:tc>
        <w:tc>
          <w:tcPr>
            <w:tcW w:w="254" w:type="pct"/>
            <w:tcMar>
              <w:left w:w="105" w:type="dxa"/>
              <w:right w:w="105" w:type="dxa"/>
            </w:tcMar>
          </w:tcPr>
          <w:p w14:paraId="480B1B18"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2.23</w:t>
            </w:r>
          </w:p>
        </w:tc>
        <w:tc>
          <w:tcPr>
            <w:tcW w:w="251" w:type="pct"/>
            <w:shd w:val="clear" w:color="auto" w:fill="DADADA" w:themeFill="background2" w:themeFillShade="E6"/>
            <w:tcMar>
              <w:left w:w="105" w:type="dxa"/>
              <w:right w:w="105" w:type="dxa"/>
            </w:tcMar>
          </w:tcPr>
          <w:p w14:paraId="6D1B47C6"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3.03</w:t>
            </w:r>
          </w:p>
        </w:tc>
        <w:tc>
          <w:tcPr>
            <w:tcW w:w="248" w:type="pct"/>
            <w:shd w:val="clear" w:color="auto" w:fill="DADADA" w:themeFill="background2" w:themeFillShade="E6"/>
            <w:tcMar>
              <w:left w:w="105" w:type="dxa"/>
              <w:right w:w="105" w:type="dxa"/>
            </w:tcMar>
          </w:tcPr>
          <w:p w14:paraId="4A9D71E3"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2.15</w:t>
            </w:r>
          </w:p>
        </w:tc>
      </w:tr>
      <w:tr w:rsidR="002B6683" w:rsidRPr="00DA2128" w14:paraId="042AA6F3" w14:textId="77777777" w:rsidTr="00B605CC">
        <w:trPr>
          <w:trHeight w:val="300"/>
        </w:trPr>
        <w:tc>
          <w:tcPr>
            <w:tcW w:w="376" w:type="pct"/>
            <w:tcMar>
              <w:left w:w="105" w:type="dxa"/>
              <w:right w:w="105" w:type="dxa"/>
            </w:tcMar>
          </w:tcPr>
          <w:p w14:paraId="118B1C19"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49</w:t>
            </w:r>
          </w:p>
        </w:tc>
        <w:tc>
          <w:tcPr>
            <w:tcW w:w="275" w:type="pct"/>
            <w:shd w:val="clear" w:color="auto" w:fill="DADADA" w:themeFill="background2" w:themeFillShade="E6"/>
            <w:tcMar>
              <w:left w:w="105" w:type="dxa"/>
              <w:right w:w="105" w:type="dxa"/>
            </w:tcMar>
          </w:tcPr>
          <w:p w14:paraId="20C19AF7"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2.41</w:t>
            </w:r>
          </w:p>
        </w:tc>
        <w:tc>
          <w:tcPr>
            <w:tcW w:w="276" w:type="pct"/>
            <w:shd w:val="clear" w:color="auto" w:fill="DADADA" w:themeFill="background2" w:themeFillShade="E6"/>
            <w:tcMar>
              <w:left w:w="105" w:type="dxa"/>
              <w:right w:w="105" w:type="dxa"/>
            </w:tcMar>
          </w:tcPr>
          <w:p w14:paraId="3E62ABD4"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2.46</w:t>
            </w:r>
          </w:p>
        </w:tc>
        <w:tc>
          <w:tcPr>
            <w:tcW w:w="254" w:type="pct"/>
            <w:tcMar>
              <w:left w:w="105" w:type="dxa"/>
              <w:right w:w="105" w:type="dxa"/>
            </w:tcMar>
          </w:tcPr>
          <w:p w14:paraId="6A66C366"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2.82</w:t>
            </w:r>
          </w:p>
        </w:tc>
        <w:tc>
          <w:tcPr>
            <w:tcW w:w="254" w:type="pct"/>
            <w:tcMar>
              <w:left w:w="105" w:type="dxa"/>
              <w:right w:w="105" w:type="dxa"/>
            </w:tcMar>
          </w:tcPr>
          <w:p w14:paraId="036302AA"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2.69</w:t>
            </w:r>
          </w:p>
        </w:tc>
        <w:tc>
          <w:tcPr>
            <w:tcW w:w="254" w:type="pct"/>
            <w:shd w:val="clear" w:color="auto" w:fill="DADADA" w:themeFill="background2" w:themeFillShade="E6"/>
            <w:tcMar>
              <w:left w:w="105" w:type="dxa"/>
              <w:right w:w="105" w:type="dxa"/>
            </w:tcMar>
          </w:tcPr>
          <w:p w14:paraId="0869E8BC"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2.82</w:t>
            </w:r>
          </w:p>
        </w:tc>
        <w:tc>
          <w:tcPr>
            <w:tcW w:w="254" w:type="pct"/>
            <w:shd w:val="clear" w:color="auto" w:fill="DADADA" w:themeFill="background2" w:themeFillShade="E6"/>
            <w:tcMar>
              <w:left w:w="105" w:type="dxa"/>
              <w:right w:w="105" w:type="dxa"/>
            </w:tcMar>
          </w:tcPr>
          <w:p w14:paraId="621237E1"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2.62</w:t>
            </w:r>
          </w:p>
        </w:tc>
        <w:tc>
          <w:tcPr>
            <w:tcW w:w="254" w:type="pct"/>
            <w:tcMar>
              <w:left w:w="105" w:type="dxa"/>
              <w:right w:w="105" w:type="dxa"/>
            </w:tcMar>
          </w:tcPr>
          <w:p w14:paraId="6FF6ACCB"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2.7</w:t>
            </w:r>
          </w:p>
        </w:tc>
        <w:tc>
          <w:tcPr>
            <w:tcW w:w="254" w:type="pct"/>
            <w:tcMar>
              <w:left w:w="105" w:type="dxa"/>
              <w:right w:w="105" w:type="dxa"/>
            </w:tcMar>
          </w:tcPr>
          <w:p w14:paraId="654FE3D3"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2.89</w:t>
            </w:r>
          </w:p>
        </w:tc>
        <w:tc>
          <w:tcPr>
            <w:tcW w:w="254" w:type="pct"/>
            <w:shd w:val="clear" w:color="auto" w:fill="DADADA" w:themeFill="background2" w:themeFillShade="E6"/>
            <w:tcMar>
              <w:left w:w="105" w:type="dxa"/>
              <w:right w:w="105" w:type="dxa"/>
            </w:tcMar>
          </w:tcPr>
          <w:p w14:paraId="44E40E10"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w:t>
            </w:r>
          </w:p>
        </w:tc>
        <w:tc>
          <w:tcPr>
            <w:tcW w:w="254" w:type="pct"/>
            <w:shd w:val="clear" w:color="auto" w:fill="DADADA" w:themeFill="background2" w:themeFillShade="E6"/>
            <w:tcMar>
              <w:left w:w="105" w:type="dxa"/>
              <w:right w:w="105" w:type="dxa"/>
            </w:tcMar>
          </w:tcPr>
          <w:p w14:paraId="7BFC51AD"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2.76</w:t>
            </w:r>
          </w:p>
        </w:tc>
        <w:tc>
          <w:tcPr>
            <w:tcW w:w="254" w:type="pct"/>
            <w:tcMar>
              <w:left w:w="105" w:type="dxa"/>
              <w:right w:w="105" w:type="dxa"/>
            </w:tcMar>
          </w:tcPr>
          <w:p w14:paraId="19D66032"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3.11</w:t>
            </w:r>
          </w:p>
        </w:tc>
        <w:tc>
          <w:tcPr>
            <w:tcW w:w="254" w:type="pct"/>
            <w:tcMar>
              <w:left w:w="105" w:type="dxa"/>
              <w:right w:w="105" w:type="dxa"/>
            </w:tcMar>
          </w:tcPr>
          <w:p w14:paraId="50352BDD"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2.88</w:t>
            </w:r>
          </w:p>
        </w:tc>
        <w:tc>
          <w:tcPr>
            <w:tcW w:w="262" w:type="pct"/>
            <w:shd w:val="clear" w:color="auto" w:fill="DADADA" w:themeFill="background2" w:themeFillShade="E6"/>
            <w:tcMar>
              <w:left w:w="105" w:type="dxa"/>
              <w:right w:w="105" w:type="dxa"/>
            </w:tcMar>
          </w:tcPr>
          <w:p w14:paraId="22E0A4FD"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2.86</w:t>
            </w:r>
          </w:p>
        </w:tc>
        <w:tc>
          <w:tcPr>
            <w:tcW w:w="262" w:type="pct"/>
            <w:shd w:val="clear" w:color="auto" w:fill="DADADA" w:themeFill="background2" w:themeFillShade="E6"/>
            <w:tcMar>
              <w:left w:w="105" w:type="dxa"/>
              <w:right w:w="105" w:type="dxa"/>
            </w:tcMar>
          </w:tcPr>
          <w:p w14:paraId="1F264060"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2.97</w:t>
            </w:r>
          </w:p>
        </w:tc>
        <w:tc>
          <w:tcPr>
            <w:tcW w:w="254" w:type="pct"/>
            <w:tcMar>
              <w:left w:w="105" w:type="dxa"/>
              <w:right w:w="105" w:type="dxa"/>
            </w:tcMar>
          </w:tcPr>
          <w:p w14:paraId="19805AC6"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w:t>
            </w:r>
          </w:p>
        </w:tc>
        <w:tc>
          <w:tcPr>
            <w:tcW w:w="254" w:type="pct"/>
            <w:tcMar>
              <w:left w:w="105" w:type="dxa"/>
              <w:right w:w="105" w:type="dxa"/>
            </w:tcMar>
          </w:tcPr>
          <w:p w14:paraId="6C2724BC"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2.98</w:t>
            </w:r>
          </w:p>
        </w:tc>
        <w:tc>
          <w:tcPr>
            <w:tcW w:w="251" w:type="pct"/>
            <w:shd w:val="clear" w:color="auto" w:fill="DADADA" w:themeFill="background2" w:themeFillShade="E6"/>
            <w:tcMar>
              <w:left w:w="105" w:type="dxa"/>
              <w:right w:w="105" w:type="dxa"/>
            </w:tcMar>
          </w:tcPr>
          <w:p w14:paraId="34B93317"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2.22</w:t>
            </w:r>
          </w:p>
        </w:tc>
        <w:tc>
          <w:tcPr>
            <w:tcW w:w="248" w:type="pct"/>
            <w:shd w:val="clear" w:color="auto" w:fill="DADADA" w:themeFill="background2" w:themeFillShade="E6"/>
            <w:tcMar>
              <w:left w:w="105" w:type="dxa"/>
              <w:right w:w="105" w:type="dxa"/>
            </w:tcMar>
          </w:tcPr>
          <w:p w14:paraId="3FE9B752"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2.29</w:t>
            </w:r>
          </w:p>
        </w:tc>
      </w:tr>
      <w:tr w:rsidR="002B6683" w:rsidRPr="00DA2128" w14:paraId="17E8FDEE" w14:textId="77777777" w:rsidTr="00B605CC">
        <w:trPr>
          <w:trHeight w:val="300"/>
        </w:trPr>
        <w:tc>
          <w:tcPr>
            <w:tcW w:w="376" w:type="pct"/>
            <w:tcMar>
              <w:left w:w="105" w:type="dxa"/>
              <w:right w:w="105" w:type="dxa"/>
            </w:tcMar>
          </w:tcPr>
          <w:p w14:paraId="735369CD"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51</w:t>
            </w:r>
          </w:p>
        </w:tc>
        <w:tc>
          <w:tcPr>
            <w:tcW w:w="275" w:type="pct"/>
            <w:shd w:val="clear" w:color="auto" w:fill="DADADA" w:themeFill="background2" w:themeFillShade="E6"/>
            <w:tcMar>
              <w:left w:w="105" w:type="dxa"/>
              <w:right w:w="105" w:type="dxa"/>
            </w:tcMar>
          </w:tcPr>
          <w:p w14:paraId="620EE025"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3.11</w:t>
            </w:r>
          </w:p>
        </w:tc>
        <w:tc>
          <w:tcPr>
            <w:tcW w:w="276" w:type="pct"/>
            <w:shd w:val="clear" w:color="auto" w:fill="DADADA" w:themeFill="background2" w:themeFillShade="E6"/>
            <w:tcMar>
              <w:left w:w="105" w:type="dxa"/>
              <w:right w:w="105" w:type="dxa"/>
            </w:tcMar>
          </w:tcPr>
          <w:p w14:paraId="6FB9E340"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2.76</w:t>
            </w:r>
          </w:p>
        </w:tc>
        <w:tc>
          <w:tcPr>
            <w:tcW w:w="254" w:type="pct"/>
            <w:tcMar>
              <w:left w:w="105" w:type="dxa"/>
              <w:right w:w="105" w:type="dxa"/>
            </w:tcMar>
          </w:tcPr>
          <w:p w14:paraId="494FF919"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2.75</w:t>
            </w:r>
          </w:p>
        </w:tc>
        <w:tc>
          <w:tcPr>
            <w:tcW w:w="254" w:type="pct"/>
            <w:tcMar>
              <w:left w:w="105" w:type="dxa"/>
              <w:right w:w="105" w:type="dxa"/>
            </w:tcMar>
          </w:tcPr>
          <w:p w14:paraId="1C140ED3"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2.54</w:t>
            </w:r>
          </w:p>
        </w:tc>
        <w:tc>
          <w:tcPr>
            <w:tcW w:w="254" w:type="pct"/>
            <w:shd w:val="clear" w:color="auto" w:fill="DADADA" w:themeFill="background2" w:themeFillShade="E6"/>
            <w:tcMar>
              <w:left w:w="105" w:type="dxa"/>
              <w:right w:w="105" w:type="dxa"/>
            </w:tcMar>
          </w:tcPr>
          <w:p w14:paraId="488966DB"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2.75</w:t>
            </w:r>
          </w:p>
        </w:tc>
        <w:tc>
          <w:tcPr>
            <w:tcW w:w="254" w:type="pct"/>
            <w:shd w:val="clear" w:color="auto" w:fill="DADADA" w:themeFill="background2" w:themeFillShade="E6"/>
            <w:tcMar>
              <w:left w:w="105" w:type="dxa"/>
              <w:right w:w="105" w:type="dxa"/>
            </w:tcMar>
          </w:tcPr>
          <w:p w14:paraId="5A3BADDB"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2.56</w:t>
            </w:r>
          </w:p>
        </w:tc>
        <w:tc>
          <w:tcPr>
            <w:tcW w:w="254" w:type="pct"/>
            <w:tcMar>
              <w:left w:w="105" w:type="dxa"/>
              <w:right w:w="105" w:type="dxa"/>
            </w:tcMar>
          </w:tcPr>
          <w:p w14:paraId="3E89A3A5"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3.05</w:t>
            </w:r>
          </w:p>
        </w:tc>
        <w:tc>
          <w:tcPr>
            <w:tcW w:w="254" w:type="pct"/>
            <w:tcMar>
              <w:left w:w="105" w:type="dxa"/>
              <w:right w:w="105" w:type="dxa"/>
            </w:tcMar>
          </w:tcPr>
          <w:p w14:paraId="4157B8CC"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2.84</w:t>
            </w:r>
          </w:p>
        </w:tc>
        <w:tc>
          <w:tcPr>
            <w:tcW w:w="254" w:type="pct"/>
            <w:shd w:val="clear" w:color="auto" w:fill="DADADA" w:themeFill="background2" w:themeFillShade="E6"/>
            <w:tcMar>
              <w:left w:w="105" w:type="dxa"/>
              <w:right w:w="105" w:type="dxa"/>
            </w:tcMar>
          </w:tcPr>
          <w:p w14:paraId="5D594B5D"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2.97</w:t>
            </w:r>
          </w:p>
        </w:tc>
        <w:tc>
          <w:tcPr>
            <w:tcW w:w="254" w:type="pct"/>
            <w:shd w:val="clear" w:color="auto" w:fill="DADADA" w:themeFill="background2" w:themeFillShade="E6"/>
            <w:tcMar>
              <w:left w:w="105" w:type="dxa"/>
              <w:right w:w="105" w:type="dxa"/>
            </w:tcMar>
          </w:tcPr>
          <w:p w14:paraId="45AD2625"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3.05</w:t>
            </w:r>
          </w:p>
        </w:tc>
        <w:tc>
          <w:tcPr>
            <w:tcW w:w="254" w:type="pct"/>
            <w:tcMar>
              <w:left w:w="105" w:type="dxa"/>
              <w:right w:w="105" w:type="dxa"/>
            </w:tcMar>
          </w:tcPr>
          <w:p w14:paraId="1E9D40D8"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3.08</w:t>
            </w:r>
          </w:p>
        </w:tc>
        <w:tc>
          <w:tcPr>
            <w:tcW w:w="254" w:type="pct"/>
            <w:tcMar>
              <w:left w:w="105" w:type="dxa"/>
              <w:right w:w="105" w:type="dxa"/>
            </w:tcMar>
          </w:tcPr>
          <w:p w14:paraId="11CD6B6C"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2.85</w:t>
            </w:r>
          </w:p>
        </w:tc>
        <w:tc>
          <w:tcPr>
            <w:tcW w:w="262" w:type="pct"/>
            <w:shd w:val="clear" w:color="auto" w:fill="DADADA" w:themeFill="background2" w:themeFillShade="E6"/>
            <w:tcMar>
              <w:left w:w="105" w:type="dxa"/>
              <w:right w:w="105" w:type="dxa"/>
            </w:tcMar>
          </w:tcPr>
          <w:p w14:paraId="109ED69E"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2.89</w:t>
            </w:r>
          </w:p>
        </w:tc>
        <w:tc>
          <w:tcPr>
            <w:tcW w:w="262" w:type="pct"/>
            <w:shd w:val="clear" w:color="auto" w:fill="DADADA" w:themeFill="background2" w:themeFillShade="E6"/>
            <w:tcMar>
              <w:left w:w="105" w:type="dxa"/>
              <w:right w:w="105" w:type="dxa"/>
            </w:tcMar>
          </w:tcPr>
          <w:p w14:paraId="389C30B5"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2.82</w:t>
            </w:r>
          </w:p>
        </w:tc>
        <w:tc>
          <w:tcPr>
            <w:tcW w:w="254" w:type="pct"/>
            <w:tcMar>
              <w:left w:w="105" w:type="dxa"/>
              <w:right w:w="105" w:type="dxa"/>
            </w:tcMar>
          </w:tcPr>
          <w:p w14:paraId="5B056A44"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3.1</w:t>
            </w:r>
          </w:p>
        </w:tc>
        <w:tc>
          <w:tcPr>
            <w:tcW w:w="254" w:type="pct"/>
            <w:tcMar>
              <w:left w:w="105" w:type="dxa"/>
              <w:right w:w="105" w:type="dxa"/>
            </w:tcMar>
          </w:tcPr>
          <w:p w14:paraId="79CA9CB9"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2.71</w:t>
            </w:r>
          </w:p>
        </w:tc>
        <w:tc>
          <w:tcPr>
            <w:tcW w:w="251" w:type="pct"/>
            <w:shd w:val="clear" w:color="auto" w:fill="DADADA" w:themeFill="background2" w:themeFillShade="E6"/>
            <w:tcMar>
              <w:left w:w="105" w:type="dxa"/>
              <w:right w:w="105" w:type="dxa"/>
            </w:tcMar>
          </w:tcPr>
          <w:p w14:paraId="6CEB663B"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2.7</w:t>
            </w:r>
          </w:p>
        </w:tc>
        <w:tc>
          <w:tcPr>
            <w:tcW w:w="248" w:type="pct"/>
            <w:shd w:val="clear" w:color="auto" w:fill="DADADA" w:themeFill="background2" w:themeFillShade="E6"/>
            <w:tcMar>
              <w:left w:w="105" w:type="dxa"/>
              <w:right w:w="105" w:type="dxa"/>
            </w:tcMar>
          </w:tcPr>
          <w:p w14:paraId="1DBDDD8C"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2.71</w:t>
            </w:r>
          </w:p>
        </w:tc>
      </w:tr>
      <w:tr w:rsidR="002B6683" w:rsidRPr="00DA2128" w14:paraId="50E2862D" w14:textId="77777777" w:rsidTr="00B605CC">
        <w:trPr>
          <w:trHeight w:val="300"/>
        </w:trPr>
        <w:tc>
          <w:tcPr>
            <w:tcW w:w="376" w:type="pct"/>
            <w:tcMar>
              <w:left w:w="105" w:type="dxa"/>
              <w:right w:w="105" w:type="dxa"/>
            </w:tcMar>
          </w:tcPr>
          <w:p w14:paraId="60626488"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52</w:t>
            </w:r>
          </w:p>
        </w:tc>
        <w:tc>
          <w:tcPr>
            <w:tcW w:w="275" w:type="pct"/>
            <w:shd w:val="clear" w:color="auto" w:fill="DADADA" w:themeFill="background2" w:themeFillShade="E6"/>
            <w:tcMar>
              <w:left w:w="105" w:type="dxa"/>
              <w:right w:w="105" w:type="dxa"/>
            </w:tcMar>
          </w:tcPr>
          <w:p w14:paraId="39B7A3C7"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2.97</w:t>
            </w:r>
          </w:p>
        </w:tc>
        <w:tc>
          <w:tcPr>
            <w:tcW w:w="276" w:type="pct"/>
            <w:shd w:val="clear" w:color="auto" w:fill="DADADA" w:themeFill="background2" w:themeFillShade="E6"/>
            <w:tcMar>
              <w:left w:w="105" w:type="dxa"/>
              <w:right w:w="105" w:type="dxa"/>
            </w:tcMar>
          </w:tcPr>
          <w:p w14:paraId="5512D21F"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2.69</w:t>
            </w:r>
          </w:p>
        </w:tc>
        <w:tc>
          <w:tcPr>
            <w:tcW w:w="254" w:type="pct"/>
            <w:tcMar>
              <w:left w:w="105" w:type="dxa"/>
              <w:right w:w="105" w:type="dxa"/>
            </w:tcMar>
          </w:tcPr>
          <w:p w14:paraId="4E13DE61"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2.9</w:t>
            </w:r>
          </w:p>
        </w:tc>
        <w:tc>
          <w:tcPr>
            <w:tcW w:w="254" w:type="pct"/>
            <w:tcMar>
              <w:left w:w="105" w:type="dxa"/>
              <w:right w:w="105" w:type="dxa"/>
            </w:tcMar>
          </w:tcPr>
          <w:p w14:paraId="6B471763"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2.63</w:t>
            </w:r>
          </w:p>
        </w:tc>
        <w:tc>
          <w:tcPr>
            <w:tcW w:w="254" w:type="pct"/>
            <w:shd w:val="clear" w:color="auto" w:fill="DADADA" w:themeFill="background2" w:themeFillShade="E6"/>
            <w:tcMar>
              <w:left w:w="105" w:type="dxa"/>
              <w:right w:w="105" w:type="dxa"/>
            </w:tcMar>
          </w:tcPr>
          <w:p w14:paraId="21591D3D"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w:t>
            </w:r>
          </w:p>
        </w:tc>
        <w:tc>
          <w:tcPr>
            <w:tcW w:w="254" w:type="pct"/>
            <w:shd w:val="clear" w:color="auto" w:fill="DADADA" w:themeFill="background2" w:themeFillShade="E6"/>
            <w:tcMar>
              <w:left w:w="105" w:type="dxa"/>
              <w:right w:w="105" w:type="dxa"/>
            </w:tcMar>
          </w:tcPr>
          <w:p w14:paraId="72C372C4"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2.71</w:t>
            </w:r>
          </w:p>
        </w:tc>
        <w:tc>
          <w:tcPr>
            <w:tcW w:w="254" w:type="pct"/>
            <w:tcMar>
              <w:left w:w="105" w:type="dxa"/>
              <w:right w:w="105" w:type="dxa"/>
            </w:tcMar>
          </w:tcPr>
          <w:p w14:paraId="4F16BF97"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w:t>
            </w:r>
          </w:p>
        </w:tc>
        <w:tc>
          <w:tcPr>
            <w:tcW w:w="254" w:type="pct"/>
            <w:tcMar>
              <w:left w:w="105" w:type="dxa"/>
              <w:right w:w="105" w:type="dxa"/>
            </w:tcMar>
          </w:tcPr>
          <w:p w14:paraId="36C0DD65"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2.76</w:t>
            </w:r>
          </w:p>
        </w:tc>
        <w:tc>
          <w:tcPr>
            <w:tcW w:w="254" w:type="pct"/>
            <w:shd w:val="clear" w:color="auto" w:fill="DADADA" w:themeFill="background2" w:themeFillShade="E6"/>
            <w:tcMar>
              <w:left w:w="105" w:type="dxa"/>
              <w:right w:w="105" w:type="dxa"/>
            </w:tcMar>
          </w:tcPr>
          <w:p w14:paraId="1FFA47DB"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3.06</w:t>
            </w:r>
          </w:p>
        </w:tc>
        <w:tc>
          <w:tcPr>
            <w:tcW w:w="254" w:type="pct"/>
            <w:shd w:val="clear" w:color="auto" w:fill="DADADA" w:themeFill="background2" w:themeFillShade="E6"/>
            <w:tcMar>
              <w:left w:w="105" w:type="dxa"/>
              <w:right w:w="105" w:type="dxa"/>
            </w:tcMar>
          </w:tcPr>
          <w:p w14:paraId="5FA36011"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2.97</w:t>
            </w:r>
          </w:p>
        </w:tc>
        <w:tc>
          <w:tcPr>
            <w:tcW w:w="254" w:type="pct"/>
            <w:tcMar>
              <w:left w:w="105" w:type="dxa"/>
              <w:right w:w="105" w:type="dxa"/>
            </w:tcMar>
          </w:tcPr>
          <w:p w14:paraId="19A95F45"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3.11</w:t>
            </w:r>
          </w:p>
        </w:tc>
        <w:tc>
          <w:tcPr>
            <w:tcW w:w="254" w:type="pct"/>
            <w:tcMar>
              <w:left w:w="105" w:type="dxa"/>
              <w:right w:w="105" w:type="dxa"/>
            </w:tcMar>
          </w:tcPr>
          <w:p w14:paraId="11B88D8C"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2.86</w:t>
            </w:r>
          </w:p>
        </w:tc>
        <w:tc>
          <w:tcPr>
            <w:tcW w:w="262" w:type="pct"/>
            <w:shd w:val="clear" w:color="auto" w:fill="DADADA" w:themeFill="background2" w:themeFillShade="E6"/>
            <w:tcMar>
              <w:left w:w="105" w:type="dxa"/>
              <w:right w:w="105" w:type="dxa"/>
            </w:tcMar>
          </w:tcPr>
          <w:p w14:paraId="701ADF2A"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2.78</w:t>
            </w:r>
          </w:p>
        </w:tc>
        <w:tc>
          <w:tcPr>
            <w:tcW w:w="262" w:type="pct"/>
            <w:shd w:val="clear" w:color="auto" w:fill="DADADA" w:themeFill="background2" w:themeFillShade="E6"/>
            <w:tcMar>
              <w:left w:w="105" w:type="dxa"/>
              <w:right w:w="105" w:type="dxa"/>
            </w:tcMar>
          </w:tcPr>
          <w:p w14:paraId="51F04E03"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2.83</w:t>
            </w:r>
          </w:p>
        </w:tc>
        <w:tc>
          <w:tcPr>
            <w:tcW w:w="254" w:type="pct"/>
            <w:tcMar>
              <w:left w:w="105" w:type="dxa"/>
              <w:right w:w="105" w:type="dxa"/>
            </w:tcMar>
          </w:tcPr>
          <w:p w14:paraId="0AED9765"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3.06</w:t>
            </w:r>
          </w:p>
        </w:tc>
        <w:tc>
          <w:tcPr>
            <w:tcW w:w="254" w:type="pct"/>
            <w:tcMar>
              <w:left w:w="105" w:type="dxa"/>
              <w:right w:w="105" w:type="dxa"/>
            </w:tcMar>
          </w:tcPr>
          <w:p w14:paraId="57D5AA0C"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2.83</w:t>
            </w:r>
          </w:p>
        </w:tc>
        <w:tc>
          <w:tcPr>
            <w:tcW w:w="251" w:type="pct"/>
            <w:shd w:val="clear" w:color="auto" w:fill="DADADA" w:themeFill="background2" w:themeFillShade="E6"/>
            <w:tcMar>
              <w:left w:w="105" w:type="dxa"/>
              <w:right w:w="105" w:type="dxa"/>
            </w:tcMar>
          </w:tcPr>
          <w:p w14:paraId="3AE97C94"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2.86</w:t>
            </w:r>
          </w:p>
        </w:tc>
        <w:tc>
          <w:tcPr>
            <w:tcW w:w="248" w:type="pct"/>
            <w:shd w:val="clear" w:color="auto" w:fill="DADADA" w:themeFill="background2" w:themeFillShade="E6"/>
            <w:tcMar>
              <w:left w:w="105" w:type="dxa"/>
              <w:right w:w="105" w:type="dxa"/>
            </w:tcMar>
          </w:tcPr>
          <w:p w14:paraId="2A5D1B06"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2.4</w:t>
            </w:r>
          </w:p>
        </w:tc>
      </w:tr>
      <w:tr w:rsidR="002B6683" w:rsidRPr="00DA2128" w14:paraId="57CFAD9B" w14:textId="77777777" w:rsidTr="00B605CC">
        <w:trPr>
          <w:trHeight w:val="300"/>
        </w:trPr>
        <w:tc>
          <w:tcPr>
            <w:tcW w:w="376" w:type="pct"/>
            <w:tcMar>
              <w:left w:w="105" w:type="dxa"/>
              <w:right w:w="105" w:type="dxa"/>
            </w:tcMar>
          </w:tcPr>
          <w:p w14:paraId="1D4253C0"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lastRenderedPageBreak/>
              <w:t>53</w:t>
            </w:r>
          </w:p>
        </w:tc>
        <w:tc>
          <w:tcPr>
            <w:tcW w:w="275" w:type="pct"/>
            <w:shd w:val="clear" w:color="auto" w:fill="DADADA" w:themeFill="background2" w:themeFillShade="E6"/>
            <w:tcMar>
              <w:left w:w="105" w:type="dxa"/>
              <w:right w:w="105" w:type="dxa"/>
            </w:tcMar>
          </w:tcPr>
          <w:p w14:paraId="1493B9B4"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2.83</w:t>
            </w:r>
          </w:p>
        </w:tc>
        <w:tc>
          <w:tcPr>
            <w:tcW w:w="276" w:type="pct"/>
            <w:shd w:val="clear" w:color="auto" w:fill="DADADA" w:themeFill="background2" w:themeFillShade="E6"/>
            <w:tcMar>
              <w:left w:w="105" w:type="dxa"/>
              <w:right w:w="105" w:type="dxa"/>
            </w:tcMar>
          </w:tcPr>
          <w:p w14:paraId="0247F6C7"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2.63</w:t>
            </w:r>
          </w:p>
        </w:tc>
        <w:tc>
          <w:tcPr>
            <w:tcW w:w="254" w:type="pct"/>
            <w:tcMar>
              <w:left w:w="105" w:type="dxa"/>
              <w:right w:w="105" w:type="dxa"/>
            </w:tcMar>
          </w:tcPr>
          <w:p w14:paraId="1DD2CF3E"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3</w:t>
            </w:r>
          </w:p>
        </w:tc>
        <w:tc>
          <w:tcPr>
            <w:tcW w:w="254" w:type="pct"/>
            <w:tcMar>
              <w:left w:w="105" w:type="dxa"/>
              <w:right w:w="105" w:type="dxa"/>
            </w:tcMar>
          </w:tcPr>
          <w:p w14:paraId="3B6531AD"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2.71</w:t>
            </w:r>
          </w:p>
        </w:tc>
        <w:tc>
          <w:tcPr>
            <w:tcW w:w="254" w:type="pct"/>
            <w:shd w:val="clear" w:color="auto" w:fill="DADADA" w:themeFill="background2" w:themeFillShade="E6"/>
            <w:tcMar>
              <w:left w:w="105" w:type="dxa"/>
              <w:right w:w="105" w:type="dxa"/>
            </w:tcMar>
          </w:tcPr>
          <w:p w14:paraId="342F9483"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w:t>
            </w:r>
          </w:p>
        </w:tc>
        <w:tc>
          <w:tcPr>
            <w:tcW w:w="254" w:type="pct"/>
            <w:shd w:val="clear" w:color="auto" w:fill="DADADA" w:themeFill="background2" w:themeFillShade="E6"/>
            <w:tcMar>
              <w:left w:w="105" w:type="dxa"/>
              <w:right w:w="105" w:type="dxa"/>
            </w:tcMar>
          </w:tcPr>
          <w:p w14:paraId="20613730"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2.6</w:t>
            </w:r>
          </w:p>
        </w:tc>
        <w:tc>
          <w:tcPr>
            <w:tcW w:w="254" w:type="pct"/>
            <w:tcMar>
              <w:left w:w="105" w:type="dxa"/>
              <w:right w:w="105" w:type="dxa"/>
            </w:tcMar>
          </w:tcPr>
          <w:p w14:paraId="4C8EFEDC"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2.88</w:t>
            </w:r>
          </w:p>
        </w:tc>
        <w:tc>
          <w:tcPr>
            <w:tcW w:w="254" w:type="pct"/>
            <w:tcMar>
              <w:left w:w="105" w:type="dxa"/>
              <w:right w:w="105" w:type="dxa"/>
            </w:tcMar>
          </w:tcPr>
          <w:p w14:paraId="24D41045"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2.62</w:t>
            </w:r>
          </w:p>
        </w:tc>
        <w:tc>
          <w:tcPr>
            <w:tcW w:w="254" w:type="pct"/>
            <w:shd w:val="clear" w:color="auto" w:fill="DADADA" w:themeFill="background2" w:themeFillShade="E6"/>
            <w:tcMar>
              <w:left w:w="105" w:type="dxa"/>
              <w:right w:w="105" w:type="dxa"/>
            </w:tcMar>
          </w:tcPr>
          <w:p w14:paraId="7680F271"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2.89</w:t>
            </w:r>
          </w:p>
        </w:tc>
        <w:tc>
          <w:tcPr>
            <w:tcW w:w="254" w:type="pct"/>
            <w:shd w:val="clear" w:color="auto" w:fill="DADADA" w:themeFill="background2" w:themeFillShade="E6"/>
            <w:tcMar>
              <w:left w:w="105" w:type="dxa"/>
              <w:right w:w="105" w:type="dxa"/>
            </w:tcMar>
          </w:tcPr>
          <w:p w14:paraId="4BE1CEEA"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2.92</w:t>
            </w:r>
          </w:p>
        </w:tc>
        <w:tc>
          <w:tcPr>
            <w:tcW w:w="254" w:type="pct"/>
            <w:tcMar>
              <w:left w:w="105" w:type="dxa"/>
              <w:right w:w="105" w:type="dxa"/>
            </w:tcMar>
          </w:tcPr>
          <w:p w14:paraId="30CBB635"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3.05</w:t>
            </w:r>
          </w:p>
        </w:tc>
        <w:tc>
          <w:tcPr>
            <w:tcW w:w="254" w:type="pct"/>
            <w:tcMar>
              <w:left w:w="105" w:type="dxa"/>
              <w:right w:w="105" w:type="dxa"/>
            </w:tcMar>
          </w:tcPr>
          <w:p w14:paraId="1219E8DF"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2.71</w:t>
            </w:r>
          </w:p>
        </w:tc>
        <w:tc>
          <w:tcPr>
            <w:tcW w:w="262" w:type="pct"/>
            <w:shd w:val="clear" w:color="auto" w:fill="DADADA" w:themeFill="background2" w:themeFillShade="E6"/>
            <w:tcMar>
              <w:left w:w="105" w:type="dxa"/>
              <w:right w:w="105" w:type="dxa"/>
            </w:tcMar>
          </w:tcPr>
          <w:p w14:paraId="07076FC8"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2.92</w:t>
            </w:r>
          </w:p>
        </w:tc>
        <w:tc>
          <w:tcPr>
            <w:tcW w:w="262" w:type="pct"/>
            <w:shd w:val="clear" w:color="auto" w:fill="DADADA" w:themeFill="background2" w:themeFillShade="E6"/>
            <w:tcMar>
              <w:left w:w="105" w:type="dxa"/>
              <w:right w:w="105" w:type="dxa"/>
            </w:tcMar>
          </w:tcPr>
          <w:p w14:paraId="43580B0C"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2.71</w:t>
            </w:r>
          </w:p>
        </w:tc>
        <w:tc>
          <w:tcPr>
            <w:tcW w:w="254" w:type="pct"/>
            <w:tcMar>
              <w:left w:w="105" w:type="dxa"/>
              <w:right w:w="105" w:type="dxa"/>
            </w:tcMar>
          </w:tcPr>
          <w:p w14:paraId="23AC9876"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3.04</w:t>
            </w:r>
          </w:p>
        </w:tc>
        <w:tc>
          <w:tcPr>
            <w:tcW w:w="254" w:type="pct"/>
            <w:tcMar>
              <w:left w:w="105" w:type="dxa"/>
              <w:right w:w="105" w:type="dxa"/>
            </w:tcMar>
          </w:tcPr>
          <w:p w14:paraId="2F61BD30"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2.81</w:t>
            </w:r>
          </w:p>
        </w:tc>
        <w:tc>
          <w:tcPr>
            <w:tcW w:w="251" w:type="pct"/>
            <w:shd w:val="clear" w:color="auto" w:fill="DADADA" w:themeFill="background2" w:themeFillShade="E6"/>
            <w:tcMar>
              <w:left w:w="105" w:type="dxa"/>
              <w:right w:w="105" w:type="dxa"/>
            </w:tcMar>
          </w:tcPr>
          <w:p w14:paraId="53A39781"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2.86</w:t>
            </w:r>
          </w:p>
        </w:tc>
        <w:tc>
          <w:tcPr>
            <w:tcW w:w="248" w:type="pct"/>
            <w:shd w:val="clear" w:color="auto" w:fill="DADADA" w:themeFill="background2" w:themeFillShade="E6"/>
            <w:tcMar>
              <w:left w:w="105" w:type="dxa"/>
              <w:right w:w="105" w:type="dxa"/>
            </w:tcMar>
          </w:tcPr>
          <w:p w14:paraId="45F80B20"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2.57</w:t>
            </w:r>
          </w:p>
        </w:tc>
      </w:tr>
      <w:tr w:rsidR="002B6683" w:rsidRPr="00DA2128" w14:paraId="56B9B548" w14:textId="77777777" w:rsidTr="00B605CC">
        <w:trPr>
          <w:trHeight w:val="300"/>
        </w:trPr>
        <w:tc>
          <w:tcPr>
            <w:tcW w:w="376" w:type="pct"/>
            <w:tcMar>
              <w:left w:w="105" w:type="dxa"/>
              <w:right w:w="105" w:type="dxa"/>
            </w:tcMar>
          </w:tcPr>
          <w:p w14:paraId="5543EB20"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54</w:t>
            </w:r>
          </w:p>
        </w:tc>
        <w:tc>
          <w:tcPr>
            <w:tcW w:w="275" w:type="pct"/>
            <w:shd w:val="clear" w:color="auto" w:fill="DADADA" w:themeFill="background2" w:themeFillShade="E6"/>
            <w:tcMar>
              <w:left w:w="105" w:type="dxa"/>
              <w:right w:w="105" w:type="dxa"/>
            </w:tcMar>
          </w:tcPr>
          <w:p w14:paraId="299FFFF8"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2.5</w:t>
            </w:r>
          </w:p>
        </w:tc>
        <w:tc>
          <w:tcPr>
            <w:tcW w:w="276" w:type="pct"/>
            <w:shd w:val="clear" w:color="auto" w:fill="DADADA" w:themeFill="background2" w:themeFillShade="E6"/>
            <w:tcMar>
              <w:left w:w="105" w:type="dxa"/>
              <w:right w:w="105" w:type="dxa"/>
            </w:tcMar>
          </w:tcPr>
          <w:p w14:paraId="7A2BA2A9"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2.37</w:t>
            </w:r>
          </w:p>
        </w:tc>
        <w:tc>
          <w:tcPr>
            <w:tcW w:w="254" w:type="pct"/>
            <w:tcMar>
              <w:left w:w="105" w:type="dxa"/>
              <w:right w:w="105" w:type="dxa"/>
            </w:tcMar>
          </w:tcPr>
          <w:p w14:paraId="770C17DD"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2.84</w:t>
            </w:r>
          </w:p>
        </w:tc>
        <w:tc>
          <w:tcPr>
            <w:tcW w:w="254" w:type="pct"/>
            <w:tcMar>
              <w:left w:w="105" w:type="dxa"/>
              <w:right w:w="105" w:type="dxa"/>
            </w:tcMar>
          </w:tcPr>
          <w:p w14:paraId="25FC7DD6"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2.6</w:t>
            </w:r>
          </w:p>
        </w:tc>
        <w:tc>
          <w:tcPr>
            <w:tcW w:w="254" w:type="pct"/>
            <w:shd w:val="clear" w:color="auto" w:fill="DADADA" w:themeFill="background2" w:themeFillShade="E6"/>
            <w:tcMar>
              <w:left w:w="105" w:type="dxa"/>
              <w:right w:w="105" w:type="dxa"/>
            </w:tcMar>
          </w:tcPr>
          <w:p w14:paraId="62743AA7"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2.84</w:t>
            </w:r>
          </w:p>
        </w:tc>
        <w:tc>
          <w:tcPr>
            <w:tcW w:w="254" w:type="pct"/>
            <w:shd w:val="clear" w:color="auto" w:fill="DADADA" w:themeFill="background2" w:themeFillShade="E6"/>
            <w:tcMar>
              <w:left w:w="105" w:type="dxa"/>
              <w:right w:w="105" w:type="dxa"/>
            </w:tcMar>
          </w:tcPr>
          <w:p w14:paraId="1FFB168D"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2.38</w:t>
            </w:r>
          </w:p>
        </w:tc>
        <w:tc>
          <w:tcPr>
            <w:tcW w:w="254" w:type="pct"/>
            <w:tcMar>
              <w:left w:w="105" w:type="dxa"/>
              <w:right w:w="105" w:type="dxa"/>
            </w:tcMar>
          </w:tcPr>
          <w:p w14:paraId="7E9CD8B0"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2.85</w:t>
            </w:r>
          </w:p>
        </w:tc>
        <w:tc>
          <w:tcPr>
            <w:tcW w:w="254" w:type="pct"/>
            <w:tcMar>
              <w:left w:w="105" w:type="dxa"/>
              <w:right w:w="105" w:type="dxa"/>
            </w:tcMar>
          </w:tcPr>
          <w:p w14:paraId="6231E45A"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2.51</w:t>
            </w:r>
          </w:p>
        </w:tc>
        <w:tc>
          <w:tcPr>
            <w:tcW w:w="254" w:type="pct"/>
            <w:shd w:val="clear" w:color="auto" w:fill="DADADA" w:themeFill="background2" w:themeFillShade="E6"/>
            <w:tcMar>
              <w:left w:w="105" w:type="dxa"/>
              <w:right w:w="105" w:type="dxa"/>
            </w:tcMar>
          </w:tcPr>
          <w:p w14:paraId="2F1239D2"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3.03</w:t>
            </w:r>
          </w:p>
        </w:tc>
        <w:tc>
          <w:tcPr>
            <w:tcW w:w="254" w:type="pct"/>
            <w:shd w:val="clear" w:color="auto" w:fill="DADADA" w:themeFill="background2" w:themeFillShade="E6"/>
            <w:tcMar>
              <w:left w:w="105" w:type="dxa"/>
              <w:right w:w="105" w:type="dxa"/>
            </w:tcMar>
          </w:tcPr>
          <w:p w14:paraId="6941010F"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2.86</w:t>
            </w:r>
          </w:p>
        </w:tc>
        <w:tc>
          <w:tcPr>
            <w:tcW w:w="254" w:type="pct"/>
            <w:tcMar>
              <w:left w:w="105" w:type="dxa"/>
              <w:right w:w="105" w:type="dxa"/>
            </w:tcMar>
          </w:tcPr>
          <w:p w14:paraId="7DD27922"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3.26</w:t>
            </w:r>
          </w:p>
        </w:tc>
        <w:tc>
          <w:tcPr>
            <w:tcW w:w="254" w:type="pct"/>
            <w:tcMar>
              <w:left w:w="105" w:type="dxa"/>
              <w:right w:w="105" w:type="dxa"/>
            </w:tcMar>
          </w:tcPr>
          <w:p w14:paraId="0E7E01A5"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2.71</w:t>
            </w:r>
          </w:p>
        </w:tc>
        <w:tc>
          <w:tcPr>
            <w:tcW w:w="262" w:type="pct"/>
            <w:shd w:val="clear" w:color="auto" w:fill="DADADA" w:themeFill="background2" w:themeFillShade="E6"/>
            <w:tcMar>
              <w:left w:w="105" w:type="dxa"/>
              <w:right w:w="105" w:type="dxa"/>
            </w:tcMar>
          </w:tcPr>
          <w:p w14:paraId="1311C6D3"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2.86</w:t>
            </w:r>
          </w:p>
        </w:tc>
        <w:tc>
          <w:tcPr>
            <w:tcW w:w="262" w:type="pct"/>
            <w:shd w:val="clear" w:color="auto" w:fill="DADADA" w:themeFill="background2" w:themeFillShade="E6"/>
            <w:tcMar>
              <w:left w:w="105" w:type="dxa"/>
              <w:right w:w="105" w:type="dxa"/>
            </w:tcMar>
          </w:tcPr>
          <w:p w14:paraId="2C0542C1"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2.71</w:t>
            </w:r>
          </w:p>
        </w:tc>
        <w:tc>
          <w:tcPr>
            <w:tcW w:w="254" w:type="pct"/>
            <w:tcMar>
              <w:left w:w="105" w:type="dxa"/>
              <w:right w:w="105" w:type="dxa"/>
            </w:tcMar>
          </w:tcPr>
          <w:p w14:paraId="60DE9F22"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3.18</w:t>
            </w:r>
          </w:p>
        </w:tc>
        <w:tc>
          <w:tcPr>
            <w:tcW w:w="254" w:type="pct"/>
            <w:tcMar>
              <w:left w:w="105" w:type="dxa"/>
              <w:right w:w="105" w:type="dxa"/>
            </w:tcMar>
          </w:tcPr>
          <w:p w14:paraId="578BBDF5"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2.72</w:t>
            </w:r>
          </w:p>
        </w:tc>
        <w:tc>
          <w:tcPr>
            <w:tcW w:w="251" w:type="pct"/>
            <w:shd w:val="clear" w:color="auto" w:fill="DADADA" w:themeFill="background2" w:themeFillShade="E6"/>
            <w:tcMar>
              <w:left w:w="105" w:type="dxa"/>
              <w:right w:w="105" w:type="dxa"/>
            </w:tcMar>
          </w:tcPr>
          <w:p w14:paraId="27033B58"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2.11</w:t>
            </w:r>
          </w:p>
        </w:tc>
        <w:tc>
          <w:tcPr>
            <w:tcW w:w="248" w:type="pct"/>
            <w:shd w:val="clear" w:color="auto" w:fill="DADADA" w:themeFill="background2" w:themeFillShade="E6"/>
            <w:tcMar>
              <w:left w:w="105" w:type="dxa"/>
              <w:right w:w="105" w:type="dxa"/>
            </w:tcMar>
          </w:tcPr>
          <w:p w14:paraId="4208628E"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1.88</w:t>
            </w:r>
          </w:p>
        </w:tc>
      </w:tr>
      <w:tr w:rsidR="002B6683" w:rsidRPr="00DA2128" w14:paraId="1B95B95A" w14:textId="77777777" w:rsidTr="00B605CC">
        <w:trPr>
          <w:trHeight w:val="300"/>
        </w:trPr>
        <w:tc>
          <w:tcPr>
            <w:tcW w:w="376" w:type="pct"/>
            <w:tcMar>
              <w:left w:w="105" w:type="dxa"/>
              <w:right w:w="105" w:type="dxa"/>
            </w:tcMar>
          </w:tcPr>
          <w:p w14:paraId="2D6C60E0"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55</w:t>
            </w:r>
          </w:p>
        </w:tc>
        <w:tc>
          <w:tcPr>
            <w:tcW w:w="275" w:type="pct"/>
            <w:shd w:val="clear" w:color="auto" w:fill="DADADA" w:themeFill="background2" w:themeFillShade="E6"/>
            <w:tcMar>
              <w:left w:w="105" w:type="dxa"/>
              <w:right w:w="105" w:type="dxa"/>
            </w:tcMar>
          </w:tcPr>
          <w:p w14:paraId="31CD436C"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2.45</w:t>
            </w:r>
          </w:p>
        </w:tc>
        <w:tc>
          <w:tcPr>
            <w:tcW w:w="276" w:type="pct"/>
            <w:shd w:val="clear" w:color="auto" w:fill="DADADA" w:themeFill="background2" w:themeFillShade="E6"/>
            <w:tcMar>
              <w:left w:w="105" w:type="dxa"/>
              <w:right w:w="105" w:type="dxa"/>
            </w:tcMar>
          </w:tcPr>
          <w:p w14:paraId="2AA05C1B"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2.55</w:t>
            </w:r>
          </w:p>
        </w:tc>
        <w:tc>
          <w:tcPr>
            <w:tcW w:w="254" w:type="pct"/>
            <w:tcMar>
              <w:left w:w="105" w:type="dxa"/>
              <w:right w:w="105" w:type="dxa"/>
            </w:tcMar>
          </w:tcPr>
          <w:p w14:paraId="64FA316D"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2.82</w:t>
            </w:r>
          </w:p>
        </w:tc>
        <w:tc>
          <w:tcPr>
            <w:tcW w:w="254" w:type="pct"/>
            <w:tcMar>
              <w:left w:w="105" w:type="dxa"/>
              <w:right w:w="105" w:type="dxa"/>
            </w:tcMar>
          </w:tcPr>
          <w:p w14:paraId="6D471696"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2.68</w:t>
            </w:r>
          </w:p>
        </w:tc>
        <w:tc>
          <w:tcPr>
            <w:tcW w:w="254" w:type="pct"/>
            <w:shd w:val="clear" w:color="auto" w:fill="DADADA" w:themeFill="background2" w:themeFillShade="E6"/>
            <w:tcMar>
              <w:left w:w="105" w:type="dxa"/>
              <w:right w:w="105" w:type="dxa"/>
            </w:tcMar>
          </w:tcPr>
          <w:p w14:paraId="5B3A5939"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2.82</w:t>
            </w:r>
          </w:p>
        </w:tc>
        <w:tc>
          <w:tcPr>
            <w:tcW w:w="254" w:type="pct"/>
            <w:shd w:val="clear" w:color="auto" w:fill="DADADA" w:themeFill="background2" w:themeFillShade="E6"/>
            <w:tcMar>
              <w:left w:w="105" w:type="dxa"/>
              <w:right w:w="105" w:type="dxa"/>
            </w:tcMar>
          </w:tcPr>
          <w:p w14:paraId="687DCCBA"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2.74</w:t>
            </w:r>
          </w:p>
        </w:tc>
        <w:tc>
          <w:tcPr>
            <w:tcW w:w="254" w:type="pct"/>
            <w:tcMar>
              <w:left w:w="105" w:type="dxa"/>
              <w:right w:w="105" w:type="dxa"/>
            </w:tcMar>
          </w:tcPr>
          <w:p w14:paraId="3D23E06D"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2.59</w:t>
            </w:r>
          </w:p>
        </w:tc>
        <w:tc>
          <w:tcPr>
            <w:tcW w:w="254" w:type="pct"/>
            <w:tcMar>
              <w:left w:w="105" w:type="dxa"/>
              <w:right w:w="105" w:type="dxa"/>
            </w:tcMar>
          </w:tcPr>
          <w:p w14:paraId="24657BCF"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2.76</w:t>
            </w:r>
          </w:p>
        </w:tc>
        <w:tc>
          <w:tcPr>
            <w:tcW w:w="254" w:type="pct"/>
            <w:shd w:val="clear" w:color="auto" w:fill="DADADA" w:themeFill="background2" w:themeFillShade="E6"/>
            <w:tcMar>
              <w:left w:w="105" w:type="dxa"/>
              <w:right w:w="105" w:type="dxa"/>
            </w:tcMar>
          </w:tcPr>
          <w:p w14:paraId="644B6F3E"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w:t>
            </w:r>
          </w:p>
        </w:tc>
        <w:tc>
          <w:tcPr>
            <w:tcW w:w="254" w:type="pct"/>
            <w:shd w:val="clear" w:color="auto" w:fill="DADADA" w:themeFill="background2" w:themeFillShade="E6"/>
            <w:tcMar>
              <w:left w:w="105" w:type="dxa"/>
              <w:right w:w="105" w:type="dxa"/>
            </w:tcMar>
          </w:tcPr>
          <w:p w14:paraId="3CF77C75"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2.92</w:t>
            </w:r>
          </w:p>
        </w:tc>
        <w:tc>
          <w:tcPr>
            <w:tcW w:w="254" w:type="pct"/>
            <w:tcMar>
              <w:left w:w="105" w:type="dxa"/>
              <w:right w:w="105" w:type="dxa"/>
            </w:tcMar>
          </w:tcPr>
          <w:p w14:paraId="7D6E73A9"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3.11</w:t>
            </w:r>
          </w:p>
        </w:tc>
        <w:tc>
          <w:tcPr>
            <w:tcW w:w="254" w:type="pct"/>
            <w:tcMar>
              <w:left w:w="105" w:type="dxa"/>
              <w:right w:w="105" w:type="dxa"/>
            </w:tcMar>
          </w:tcPr>
          <w:p w14:paraId="11580E76"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2.88</w:t>
            </w:r>
          </w:p>
        </w:tc>
        <w:tc>
          <w:tcPr>
            <w:tcW w:w="262" w:type="pct"/>
            <w:shd w:val="clear" w:color="auto" w:fill="DADADA" w:themeFill="background2" w:themeFillShade="E6"/>
            <w:tcMar>
              <w:left w:w="105" w:type="dxa"/>
              <w:right w:w="105" w:type="dxa"/>
            </w:tcMar>
          </w:tcPr>
          <w:p w14:paraId="7A2F8647"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2.94</w:t>
            </w:r>
          </w:p>
        </w:tc>
        <w:tc>
          <w:tcPr>
            <w:tcW w:w="262" w:type="pct"/>
            <w:shd w:val="clear" w:color="auto" w:fill="DADADA" w:themeFill="background2" w:themeFillShade="E6"/>
            <w:tcMar>
              <w:left w:w="105" w:type="dxa"/>
              <w:right w:w="105" w:type="dxa"/>
            </w:tcMar>
          </w:tcPr>
          <w:p w14:paraId="0C3F4197"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2.71</w:t>
            </w:r>
          </w:p>
        </w:tc>
        <w:tc>
          <w:tcPr>
            <w:tcW w:w="254" w:type="pct"/>
            <w:tcMar>
              <w:left w:w="105" w:type="dxa"/>
              <w:right w:w="105" w:type="dxa"/>
            </w:tcMar>
          </w:tcPr>
          <w:p w14:paraId="71C3F1A1"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3.18</w:t>
            </w:r>
          </w:p>
        </w:tc>
        <w:tc>
          <w:tcPr>
            <w:tcW w:w="254" w:type="pct"/>
            <w:tcMar>
              <w:left w:w="105" w:type="dxa"/>
              <w:right w:w="105" w:type="dxa"/>
            </w:tcMar>
          </w:tcPr>
          <w:p w14:paraId="05199B0A"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2.94</w:t>
            </w:r>
          </w:p>
        </w:tc>
        <w:tc>
          <w:tcPr>
            <w:tcW w:w="251" w:type="pct"/>
            <w:shd w:val="clear" w:color="auto" w:fill="DADADA" w:themeFill="background2" w:themeFillShade="E6"/>
            <w:tcMar>
              <w:left w:w="105" w:type="dxa"/>
              <w:right w:w="105" w:type="dxa"/>
            </w:tcMar>
          </w:tcPr>
          <w:p w14:paraId="425D7153"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2.19</w:t>
            </w:r>
          </w:p>
        </w:tc>
        <w:tc>
          <w:tcPr>
            <w:tcW w:w="248" w:type="pct"/>
            <w:shd w:val="clear" w:color="auto" w:fill="DADADA" w:themeFill="background2" w:themeFillShade="E6"/>
            <w:tcMar>
              <w:left w:w="105" w:type="dxa"/>
              <w:right w:w="105" w:type="dxa"/>
            </w:tcMar>
          </w:tcPr>
          <w:p w14:paraId="15D15AD1"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2.4</w:t>
            </w:r>
          </w:p>
        </w:tc>
      </w:tr>
      <w:tr w:rsidR="002B6683" w:rsidRPr="00DA2128" w14:paraId="26FA6E45" w14:textId="77777777" w:rsidTr="00B605CC">
        <w:trPr>
          <w:trHeight w:val="300"/>
        </w:trPr>
        <w:tc>
          <w:tcPr>
            <w:tcW w:w="376" w:type="pct"/>
            <w:tcMar>
              <w:left w:w="105" w:type="dxa"/>
              <w:right w:w="105" w:type="dxa"/>
            </w:tcMar>
          </w:tcPr>
          <w:p w14:paraId="59F478BA"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56</w:t>
            </w:r>
          </w:p>
        </w:tc>
        <w:tc>
          <w:tcPr>
            <w:tcW w:w="275" w:type="pct"/>
            <w:shd w:val="clear" w:color="auto" w:fill="DADADA" w:themeFill="background2" w:themeFillShade="E6"/>
            <w:tcMar>
              <w:left w:w="105" w:type="dxa"/>
              <w:right w:w="105" w:type="dxa"/>
            </w:tcMar>
          </w:tcPr>
          <w:p w14:paraId="12C858E8"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3.31</w:t>
            </w:r>
          </w:p>
        </w:tc>
        <w:tc>
          <w:tcPr>
            <w:tcW w:w="276" w:type="pct"/>
            <w:shd w:val="clear" w:color="auto" w:fill="DADADA" w:themeFill="background2" w:themeFillShade="E6"/>
            <w:tcMar>
              <w:left w:w="105" w:type="dxa"/>
              <w:right w:w="105" w:type="dxa"/>
            </w:tcMar>
          </w:tcPr>
          <w:p w14:paraId="2B076DE3"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3</w:t>
            </w:r>
          </w:p>
        </w:tc>
        <w:tc>
          <w:tcPr>
            <w:tcW w:w="254" w:type="pct"/>
            <w:tcMar>
              <w:left w:w="105" w:type="dxa"/>
              <w:right w:w="105" w:type="dxa"/>
            </w:tcMar>
          </w:tcPr>
          <w:p w14:paraId="570F5A61"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3.18</w:t>
            </w:r>
          </w:p>
        </w:tc>
        <w:tc>
          <w:tcPr>
            <w:tcW w:w="254" w:type="pct"/>
            <w:tcMar>
              <w:left w:w="105" w:type="dxa"/>
              <w:right w:w="105" w:type="dxa"/>
            </w:tcMar>
          </w:tcPr>
          <w:p w14:paraId="030B2EEE"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2.89</w:t>
            </w:r>
          </w:p>
        </w:tc>
        <w:tc>
          <w:tcPr>
            <w:tcW w:w="254" w:type="pct"/>
            <w:shd w:val="clear" w:color="auto" w:fill="DADADA" w:themeFill="background2" w:themeFillShade="E6"/>
            <w:tcMar>
              <w:left w:w="105" w:type="dxa"/>
              <w:right w:w="105" w:type="dxa"/>
            </w:tcMar>
          </w:tcPr>
          <w:p w14:paraId="5F142552"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3.18</w:t>
            </w:r>
          </w:p>
        </w:tc>
        <w:tc>
          <w:tcPr>
            <w:tcW w:w="254" w:type="pct"/>
            <w:shd w:val="clear" w:color="auto" w:fill="DADADA" w:themeFill="background2" w:themeFillShade="E6"/>
            <w:tcMar>
              <w:left w:w="105" w:type="dxa"/>
              <w:right w:w="105" w:type="dxa"/>
            </w:tcMar>
          </w:tcPr>
          <w:p w14:paraId="22E891DC"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2.79</w:t>
            </w:r>
          </w:p>
        </w:tc>
        <w:tc>
          <w:tcPr>
            <w:tcW w:w="254" w:type="pct"/>
            <w:tcMar>
              <w:left w:w="105" w:type="dxa"/>
              <w:right w:w="105" w:type="dxa"/>
            </w:tcMar>
          </w:tcPr>
          <w:p w14:paraId="4F3071F3"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3.38</w:t>
            </w:r>
          </w:p>
        </w:tc>
        <w:tc>
          <w:tcPr>
            <w:tcW w:w="254" w:type="pct"/>
            <w:tcMar>
              <w:left w:w="105" w:type="dxa"/>
              <w:right w:w="105" w:type="dxa"/>
            </w:tcMar>
          </w:tcPr>
          <w:p w14:paraId="109046A1"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2.95</w:t>
            </w:r>
          </w:p>
        </w:tc>
        <w:tc>
          <w:tcPr>
            <w:tcW w:w="254" w:type="pct"/>
            <w:shd w:val="clear" w:color="auto" w:fill="DADADA" w:themeFill="background2" w:themeFillShade="E6"/>
            <w:tcMar>
              <w:left w:w="105" w:type="dxa"/>
              <w:right w:w="105" w:type="dxa"/>
            </w:tcMar>
          </w:tcPr>
          <w:p w14:paraId="09F24FAE"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3.11</w:t>
            </w:r>
          </w:p>
        </w:tc>
        <w:tc>
          <w:tcPr>
            <w:tcW w:w="254" w:type="pct"/>
            <w:shd w:val="clear" w:color="auto" w:fill="DADADA" w:themeFill="background2" w:themeFillShade="E6"/>
            <w:tcMar>
              <w:left w:w="105" w:type="dxa"/>
              <w:right w:w="105" w:type="dxa"/>
            </w:tcMar>
          </w:tcPr>
          <w:p w14:paraId="2FE77ABD"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3.08</w:t>
            </w:r>
          </w:p>
        </w:tc>
        <w:tc>
          <w:tcPr>
            <w:tcW w:w="254" w:type="pct"/>
            <w:tcMar>
              <w:left w:w="105" w:type="dxa"/>
              <w:right w:w="105" w:type="dxa"/>
            </w:tcMar>
          </w:tcPr>
          <w:p w14:paraId="5E5C64CC"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3.42</w:t>
            </w:r>
          </w:p>
        </w:tc>
        <w:tc>
          <w:tcPr>
            <w:tcW w:w="254" w:type="pct"/>
            <w:tcMar>
              <w:left w:w="105" w:type="dxa"/>
              <w:right w:w="105" w:type="dxa"/>
            </w:tcMar>
          </w:tcPr>
          <w:p w14:paraId="1993D289"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2.79</w:t>
            </w:r>
          </w:p>
        </w:tc>
        <w:tc>
          <w:tcPr>
            <w:tcW w:w="262" w:type="pct"/>
            <w:shd w:val="clear" w:color="auto" w:fill="DADADA" w:themeFill="background2" w:themeFillShade="E6"/>
            <w:tcMar>
              <w:left w:w="105" w:type="dxa"/>
              <w:right w:w="105" w:type="dxa"/>
            </w:tcMar>
          </w:tcPr>
          <w:p w14:paraId="57007EE0"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3.26</w:t>
            </w:r>
          </w:p>
        </w:tc>
        <w:tc>
          <w:tcPr>
            <w:tcW w:w="262" w:type="pct"/>
            <w:shd w:val="clear" w:color="auto" w:fill="DADADA" w:themeFill="background2" w:themeFillShade="E6"/>
            <w:tcMar>
              <w:left w:w="105" w:type="dxa"/>
              <w:right w:w="105" w:type="dxa"/>
            </w:tcMar>
          </w:tcPr>
          <w:p w14:paraId="49103E8D"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2.77</w:t>
            </w:r>
          </w:p>
        </w:tc>
        <w:tc>
          <w:tcPr>
            <w:tcW w:w="254" w:type="pct"/>
            <w:tcMar>
              <w:left w:w="105" w:type="dxa"/>
              <w:right w:w="105" w:type="dxa"/>
            </w:tcMar>
          </w:tcPr>
          <w:p w14:paraId="0F3C85A3"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3.41</w:t>
            </w:r>
          </w:p>
        </w:tc>
        <w:tc>
          <w:tcPr>
            <w:tcW w:w="254" w:type="pct"/>
            <w:tcMar>
              <w:left w:w="105" w:type="dxa"/>
              <w:right w:w="105" w:type="dxa"/>
            </w:tcMar>
          </w:tcPr>
          <w:p w14:paraId="1FDF6C99"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3.08</w:t>
            </w:r>
          </w:p>
        </w:tc>
        <w:tc>
          <w:tcPr>
            <w:tcW w:w="251" w:type="pct"/>
            <w:shd w:val="clear" w:color="auto" w:fill="DADADA" w:themeFill="background2" w:themeFillShade="E6"/>
            <w:tcMar>
              <w:left w:w="105" w:type="dxa"/>
              <w:right w:w="105" w:type="dxa"/>
            </w:tcMar>
          </w:tcPr>
          <w:p w14:paraId="5955EDC4"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3.05</w:t>
            </w:r>
          </w:p>
        </w:tc>
        <w:tc>
          <w:tcPr>
            <w:tcW w:w="248" w:type="pct"/>
            <w:shd w:val="clear" w:color="auto" w:fill="DADADA" w:themeFill="background2" w:themeFillShade="E6"/>
            <w:tcMar>
              <w:left w:w="105" w:type="dxa"/>
              <w:right w:w="105" w:type="dxa"/>
            </w:tcMar>
          </w:tcPr>
          <w:p w14:paraId="508F5D48"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2.66</w:t>
            </w:r>
          </w:p>
        </w:tc>
      </w:tr>
      <w:tr w:rsidR="002B6683" w:rsidRPr="00DA2128" w14:paraId="7191C952" w14:textId="77777777" w:rsidTr="00B605CC">
        <w:trPr>
          <w:trHeight w:val="300"/>
        </w:trPr>
        <w:tc>
          <w:tcPr>
            <w:tcW w:w="376" w:type="pct"/>
            <w:tcMar>
              <w:left w:w="105" w:type="dxa"/>
              <w:right w:w="105" w:type="dxa"/>
            </w:tcMar>
          </w:tcPr>
          <w:p w14:paraId="7065221B"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58</w:t>
            </w:r>
          </w:p>
        </w:tc>
        <w:tc>
          <w:tcPr>
            <w:tcW w:w="275" w:type="pct"/>
            <w:shd w:val="clear" w:color="auto" w:fill="DADADA" w:themeFill="background2" w:themeFillShade="E6"/>
            <w:tcMar>
              <w:left w:w="105" w:type="dxa"/>
              <w:right w:w="105" w:type="dxa"/>
            </w:tcMar>
          </w:tcPr>
          <w:p w14:paraId="72DA6C3A"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3.45*</w:t>
            </w:r>
          </w:p>
        </w:tc>
        <w:tc>
          <w:tcPr>
            <w:tcW w:w="276" w:type="pct"/>
            <w:shd w:val="clear" w:color="auto" w:fill="DADADA" w:themeFill="background2" w:themeFillShade="E6"/>
            <w:tcMar>
              <w:left w:w="105" w:type="dxa"/>
              <w:right w:w="105" w:type="dxa"/>
            </w:tcMar>
          </w:tcPr>
          <w:p w14:paraId="4076E82E"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3.06*</w:t>
            </w:r>
          </w:p>
        </w:tc>
        <w:tc>
          <w:tcPr>
            <w:tcW w:w="254" w:type="pct"/>
            <w:tcMar>
              <w:left w:w="105" w:type="dxa"/>
              <w:right w:w="105" w:type="dxa"/>
            </w:tcMar>
          </w:tcPr>
          <w:p w14:paraId="2CB5F0F9"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3.41*</w:t>
            </w:r>
          </w:p>
        </w:tc>
        <w:tc>
          <w:tcPr>
            <w:tcW w:w="254" w:type="pct"/>
            <w:tcMar>
              <w:left w:w="105" w:type="dxa"/>
              <w:right w:w="105" w:type="dxa"/>
            </w:tcMar>
          </w:tcPr>
          <w:p w14:paraId="5AEA4624"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2.8</w:t>
            </w:r>
          </w:p>
        </w:tc>
        <w:tc>
          <w:tcPr>
            <w:tcW w:w="254" w:type="pct"/>
            <w:shd w:val="clear" w:color="auto" w:fill="DADADA" w:themeFill="background2" w:themeFillShade="E6"/>
            <w:tcMar>
              <w:left w:w="105" w:type="dxa"/>
              <w:right w:w="105" w:type="dxa"/>
            </w:tcMar>
          </w:tcPr>
          <w:p w14:paraId="6891AA11"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3.41*</w:t>
            </w:r>
          </w:p>
        </w:tc>
        <w:tc>
          <w:tcPr>
            <w:tcW w:w="254" w:type="pct"/>
            <w:shd w:val="clear" w:color="auto" w:fill="DADADA" w:themeFill="background2" w:themeFillShade="E6"/>
            <w:tcMar>
              <w:left w:w="105" w:type="dxa"/>
              <w:right w:w="105" w:type="dxa"/>
            </w:tcMar>
          </w:tcPr>
          <w:p w14:paraId="373649F5"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2.94*</w:t>
            </w:r>
          </w:p>
        </w:tc>
        <w:tc>
          <w:tcPr>
            <w:tcW w:w="254" w:type="pct"/>
            <w:tcMar>
              <w:left w:w="105" w:type="dxa"/>
              <w:right w:w="105" w:type="dxa"/>
            </w:tcMar>
          </w:tcPr>
          <w:p w14:paraId="38C0188B"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3.44*</w:t>
            </w:r>
          </w:p>
        </w:tc>
        <w:tc>
          <w:tcPr>
            <w:tcW w:w="254" w:type="pct"/>
            <w:tcMar>
              <w:left w:w="105" w:type="dxa"/>
              <w:right w:w="105" w:type="dxa"/>
            </w:tcMar>
          </w:tcPr>
          <w:p w14:paraId="3C7A4C7C"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3.05</w:t>
            </w:r>
          </w:p>
        </w:tc>
        <w:tc>
          <w:tcPr>
            <w:tcW w:w="254" w:type="pct"/>
            <w:shd w:val="clear" w:color="auto" w:fill="DADADA" w:themeFill="background2" w:themeFillShade="E6"/>
            <w:tcMar>
              <w:left w:w="105" w:type="dxa"/>
              <w:right w:w="105" w:type="dxa"/>
            </w:tcMar>
          </w:tcPr>
          <w:p w14:paraId="3AD50F88"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3.29*</w:t>
            </w:r>
          </w:p>
        </w:tc>
        <w:tc>
          <w:tcPr>
            <w:tcW w:w="254" w:type="pct"/>
            <w:shd w:val="clear" w:color="auto" w:fill="DADADA" w:themeFill="background2" w:themeFillShade="E6"/>
            <w:tcMar>
              <w:left w:w="105" w:type="dxa"/>
              <w:right w:w="105" w:type="dxa"/>
            </w:tcMar>
          </w:tcPr>
          <w:p w14:paraId="1AC1B01F"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3.03</w:t>
            </w:r>
          </w:p>
        </w:tc>
        <w:tc>
          <w:tcPr>
            <w:tcW w:w="254" w:type="pct"/>
            <w:tcMar>
              <w:left w:w="105" w:type="dxa"/>
              <w:right w:w="105" w:type="dxa"/>
            </w:tcMar>
          </w:tcPr>
          <w:p w14:paraId="138E5554"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3.47*</w:t>
            </w:r>
          </w:p>
        </w:tc>
        <w:tc>
          <w:tcPr>
            <w:tcW w:w="254" w:type="pct"/>
            <w:tcMar>
              <w:left w:w="105" w:type="dxa"/>
              <w:right w:w="105" w:type="dxa"/>
            </w:tcMar>
          </w:tcPr>
          <w:p w14:paraId="566C369B"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2.82</w:t>
            </w:r>
          </w:p>
        </w:tc>
        <w:tc>
          <w:tcPr>
            <w:tcW w:w="262" w:type="pct"/>
            <w:shd w:val="clear" w:color="auto" w:fill="DADADA" w:themeFill="background2" w:themeFillShade="E6"/>
            <w:tcMar>
              <w:left w:w="105" w:type="dxa"/>
              <w:right w:w="105" w:type="dxa"/>
            </w:tcMar>
          </w:tcPr>
          <w:p w14:paraId="1077AFE7"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3.4*</w:t>
            </w:r>
          </w:p>
        </w:tc>
        <w:tc>
          <w:tcPr>
            <w:tcW w:w="262" w:type="pct"/>
            <w:shd w:val="clear" w:color="auto" w:fill="DADADA" w:themeFill="background2" w:themeFillShade="E6"/>
            <w:tcMar>
              <w:left w:w="105" w:type="dxa"/>
              <w:right w:w="105" w:type="dxa"/>
            </w:tcMar>
          </w:tcPr>
          <w:p w14:paraId="5AA3F15B"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2.94</w:t>
            </w:r>
          </w:p>
        </w:tc>
        <w:tc>
          <w:tcPr>
            <w:tcW w:w="254" w:type="pct"/>
            <w:tcMar>
              <w:left w:w="105" w:type="dxa"/>
              <w:right w:w="105" w:type="dxa"/>
            </w:tcMar>
          </w:tcPr>
          <w:p w14:paraId="5E6F11FD"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3.58*</w:t>
            </w:r>
          </w:p>
        </w:tc>
        <w:tc>
          <w:tcPr>
            <w:tcW w:w="254" w:type="pct"/>
            <w:tcMar>
              <w:left w:w="105" w:type="dxa"/>
              <w:right w:w="105" w:type="dxa"/>
            </w:tcMar>
          </w:tcPr>
          <w:p w14:paraId="66120042"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3.04</w:t>
            </w:r>
          </w:p>
        </w:tc>
        <w:tc>
          <w:tcPr>
            <w:tcW w:w="251" w:type="pct"/>
            <w:shd w:val="clear" w:color="auto" w:fill="DADADA" w:themeFill="background2" w:themeFillShade="E6"/>
            <w:tcMar>
              <w:left w:w="105" w:type="dxa"/>
              <w:right w:w="105" w:type="dxa"/>
            </w:tcMar>
          </w:tcPr>
          <w:p w14:paraId="5BA0CCA6"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3.44*</w:t>
            </w:r>
          </w:p>
        </w:tc>
        <w:tc>
          <w:tcPr>
            <w:tcW w:w="248" w:type="pct"/>
            <w:shd w:val="clear" w:color="auto" w:fill="DADADA" w:themeFill="background2" w:themeFillShade="E6"/>
            <w:tcMar>
              <w:left w:w="105" w:type="dxa"/>
              <w:right w:w="105" w:type="dxa"/>
            </w:tcMar>
          </w:tcPr>
          <w:p w14:paraId="42D7F2FE"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2.97*</w:t>
            </w:r>
          </w:p>
        </w:tc>
      </w:tr>
      <w:tr w:rsidR="002B6683" w:rsidRPr="00DA2128" w14:paraId="2B63E936" w14:textId="77777777" w:rsidTr="00B605CC">
        <w:trPr>
          <w:trHeight w:val="300"/>
        </w:trPr>
        <w:tc>
          <w:tcPr>
            <w:tcW w:w="376" w:type="pct"/>
            <w:tcMar>
              <w:left w:w="105" w:type="dxa"/>
              <w:right w:w="105" w:type="dxa"/>
            </w:tcMar>
          </w:tcPr>
          <w:p w14:paraId="00E540D6"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62</w:t>
            </w:r>
          </w:p>
        </w:tc>
        <w:tc>
          <w:tcPr>
            <w:tcW w:w="275" w:type="pct"/>
            <w:shd w:val="clear" w:color="auto" w:fill="DADADA" w:themeFill="background2" w:themeFillShade="E6"/>
            <w:tcMar>
              <w:left w:w="105" w:type="dxa"/>
              <w:right w:w="105" w:type="dxa"/>
            </w:tcMar>
          </w:tcPr>
          <w:p w14:paraId="75F4F089"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2.65</w:t>
            </w:r>
          </w:p>
        </w:tc>
        <w:tc>
          <w:tcPr>
            <w:tcW w:w="276" w:type="pct"/>
            <w:shd w:val="clear" w:color="auto" w:fill="DADADA" w:themeFill="background2" w:themeFillShade="E6"/>
            <w:tcMar>
              <w:left w:w="105" w:type="dxa"/>
              <w:right w:w="105" w:type="dxa"/>
            </w:tcMar>
          </w:tcPr>
          <w:p w14:paraId="50BCAAB6"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2.61</w:t>
            </w:r>
          </w:p>
        </w:tc>
        <w:tc>
          <w:tcPr>
            <w:tcW w:w="254" w:type="pct"/>
            <w:tcMar>
              <w:left w:w="105" w:type="dxa"/>
              <w:right w:w="105" w:type="dxa"/>
            </w:tcMar>
          </w:tcPr>
          <w:p w14:paraId="70EDDF8E"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2.87</w:t>
            </w:r>
          </w:p>
        </w:tc>
        <w:tc>
          <w:tcPr>
            <w:tcW w:w="254" w:type="pct"/>
            <w:tcMar>
              <w:left w:w="105" w:type="dxa"/>
              <w:right w:w="105" w:type="dxa"/>
            </w:tcMar>
          </w:tcPr>
          <w:p w14:paraId="70A649D0"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2.69</w:t>
            </w:r>
          </w:p>
        </w:tc>
        <w:tc>
          <w:tcPr>
            <w:tcW w:w="254" w:type="pct"/>
            <w:shd w:val="clear" w:color="auto" w:fill="DADADA" w:themeFill="background2" w:themeFillShade="E6"/>
            <w:tcMar>
              <w:left w:w="105" w:type="dxa"/>
              <w:right w:w="105" w:type="dxa"/>
            </w:tcMar>
          </w:tcPr>
          <w:p w14:paraId="366A9AE3"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2.87</w:t>
            </w:r>
          </w:p>
        </w:tc>
        <w:tc>
          <w:tcPr>
            <w:tcW w:w="254" w:type="pct"/>
            <w:shd w:val="clear" w:color="auto" w:fill="DADADA" w:themeFill="background2" w:themeFillShade="E6"/>
            <w:tcMar>
              <w:left w:w="105" w:type="dxa"/>
              <w:right w:w="105" w:type="dxa"/>
            </w:tcMar>
          </w:tcPr>
          <w:p w14:paraId="32C4C6B7"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2.52</w:t>
            </w:r>
          </w:p>
        </w:tc>
        <w:tc>
          <w:tcPr>
            <w:tcW w:w="254" w:type="pct"/>
            <w:tcMar>
              <w:left w:w="105" w:type="dxa"/>
              <w:right w:w="105" w:type="dxa"/>
            </w:tcMar>
          </w:tcPr>
          <w:p w14:paraId="42082290"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2.59</w:t>
            </w:r>
          </w:p>
        </w:tc>
        <w:tc>
          <w:tcPr>
            <w:tcW w:w="254" w:type="pct"/>
            <w:tcMar>
              <w:left w:w="105" w:type="dxa"/>
              <w:right w:w="105" w:type="dxa"/>
            </w:tcMar>
          </w:tcPr>
          <w:p w14:paraId="4D22BE1C"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2.65</w:t>
            </w:r>
          </w:p>
        </w:tc>
        <w:tc>
          <w:tcPr>
            <w:tcW w:w="254" w:type="pct"/>
            <w:shd w:val="clear" w:color="auto" w:fill="DADADA" w:themeFill="background2" w:themeFillShade="E6"/>
            <w:tcMar>
              <w:left w:w="105" w:type="dxa"/>
              <w:right w:w="105" w:type="dxa"/>
            </w:tcMar>
          </w:tcPr>
          <w:p w14:paraId="48E4232B"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w:t>
            </w:r>
          </w:p>
        </w:tc>
        <w:tc>
          <w:tcPr>
            <w:tcW w:w="254" w:type="pct"/>
            <w:shd w:val="clear" w:color="auto" w:fill="DADADA" w:themeFill="background2" w:themeFillShade="E6"/>
            <w:tcMar>
              <w:left w:w="105" w:type="dxa"/>
              <w:right w:w="105" w:type="dxa"/>
            </w:tcMar>
          </w:tcPr>
          <w:p w14:paraId="73261125"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2.89</w:t>
            </w:r>
          </w:p>
        </w:tc>
        <w:tc>
          <w:tcPr>
            <w:tcW w:w="254" w:type="pct"/>
            <w:tcMar>
              <w:left w:w="105" w:type="dxa"/>
              <w:right w:w="105" w:type="dxa"/>
            </w:tcMar>
          </w:tcPr>
          <w:p w14:paraId="166CA132"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2.95</w:t>
            </w:r>
          </w:p>
        </w:tc>
        <w:tc>
          <w:tcPr>
            <w:tcW w:w="254" w:type="pct"/>
            <w:tcMar>
              <w:left w:w="105" w:type="dxa"/>
              <w:right w:w="105" w:type="dxa"/>
            </w:tcMar>
          </w:tcPr>
          <w:p w14:paraId="6070AC3E" w14:textId="77777777" w:rsidR="002B6683" w:rsidRPr="00DA2128" w:rsidRDefault="002B6683"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color w:val="000000" w:themeColor="text1"/>
                <w:sz w:val="18"/>
                <w:szCs w:val="18"/>
              </w:rPr>
              <w:t>3</w:t>
            </w:r>
          </w:p>
        </w:tc>
        <w:tc>
          <w:tcPr>
            <w:tcW w:w="262" w:type="pct"/>
            <w:shd w:val="clear" w:color="auto" w:fill="DADADA" w:themeFill="background2" w:themeFillShade="E6"/>
            <w:tcMar>
              <w:left w:w="105" w:type="dxa"/>
              <w:right w:w="105" w:type="dxa"/>
            </w:tcMar>
          </w:tcPr>
          <w:p w14:paraId="5D8C9F63"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2.91</w:t>
            </w:r>
          </w:p>
        </w:tc>
        <w:tc>
          <w:tcPr>
            <w:tcW w:w="262" w:type="pct"/>
            <w:shd w:val="clear" w:color="auto" w:fill="DADADA" w:themeFill="background2" w:themeFillShade="E6"/>
            <w:tcMar>
              <w:left w:w="105" w:type="dxa"/>
              <w:right w:w="105" w:type="dxa"/>
            </w:tcMar>
          </w:tcPr>
          <w:p w14:paraId="76CB8323"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2.86</w:t>
            </w:r>
          </w:p>
        </w:tc>
        <w:tc>
          <w:tcPr>
            <w:tcW w:w="254" w:type="pct"/>
            <w:tcMar>
              <w:left w:w="105" w:type="dxa"/>
              <w:right w:w="105" w:type="dxa"/>
            </w:tcMar>
          </w:tcPr>
          <w:p w14:paraId="7872BE50"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2.85</w:t>
            </w:r>
          </w:p>
        </w:tc>
        <w:tc>
          <w:tcPr>
            <w:tcW w:w="254" w:type="pct"/>
            <w:tcMar>
              <w:left w:w="105" w:type="dxa"/>
              <w:right w:w="105" w:type="dxa"/>
            </w:tcMar>
          </w:tcPr>
          <w:p w14:paraId="64FBF2C7"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2.67</w:t>
            </w:r>
          </w:p>
        </w:tc>
        <w:tc>
          <w:tcPr>
            <w:tcW w:w="251" w:type="pct"/>
            <w:shd w:val="clear" w:color="auto" w:fill="DADADA" w:themeFill="background2" w:themeFillShade="E6"/>
            <w:tcMar>
              <w:left w:w="105" w:type="dxa"/>
              <w:right w:w="105" w:type="dxa"/>
            </w:tcMar>
          </w:tcPr>
          <w:p w14:paraId="309DB5E7"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2.54</w:t>
            </w:r>
          </w:p>
        </w:tc>
        <w:tc>
          <w:tcPr>
            <w:tcW w:w="248" w:type="pct"/>
            <w:shd w:val="clear" w:color="auto" w:fill="DADADA" w:themeFill="background2" w:themeFillShade="E6"/>
            <w:tcMar>
              <w:left w:w="105" w:type="dxa"/>
              <w:right w:w="105" w:type="dxa"/>
            </w:tcMar>
          </w:tcPr>
          <w:p w14:paraId="2D583131"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2.74</w:t>
            </w:r>
          </w:p>
        </w:tc>
      </w:tr>
      <w:tr w:rsidR="002B6683" w:rsidRPr="00DA2128" w14:paraId="7D18997E" w14:textId="77777777" w:rsidTr="00B605CC">
        <w:trPr>
          <w:trHeight w:val="300"/>
        </w:trPr>
        <w:tc>
          <w:tcPr>
            <w:tcW w:w="376" w:type="pct"/>
            <w:tcMar>
              <w:left w:w="105" w:type="dxa"/>
              <w:right w:w="105" w:type="dxa"/>
            </w:tcMar>
          </w:tcPr>
          <w:p w14:paraId="32F6903D"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79</w:t>
            </w:r>
          </w:p>
        </w:tc>
        <w:tc>
          <w:tcPr>
            <w:tcW w:w="275" w:type="pct"/>
            <w:shd w:val="clear" w:color="auto" w:fill="DADADA" w:themeFill="background2" w:themeFillShade="E6"/>
            <w:tcMar>
              <w:left w:w="105" w:type="dxa"/>
              <w:right w:w="105" w:type="dxa"/>
            </w:tcMar>
          </w:tcPr>
          <w:p w14:paraId="380842E9"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2.92</w:t>
            </w:r>
          </w:p>
        </w:tc>
        <w:tc>
          <w:tcPr>
            <w:tcW w:w="276" w:type="pct"/>
            <w:shd w:val="clear" w:color="auto" w:fill="DADADA" w:themeFill="background2" w:themeFillShade="E6"/>
            <w:tcMar>
              <w:left w:w="105" w:type="dxa"/>
              <w:right w:w="105" w:type="dxa"/>
            </w:tcMar>
          </w:tcPr>
          <w:p w14:paraId="2FFBBAD0" w14:textId="77777777" w:rsidR="002B6683" w:rsidRPr="00DA2128" w:rsidRDefault="002B6683"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color w:val="000000" w:themeColor="text1"/>
                <w:sz w:val="18"/>
                <w:szCs w:val="18"/>
              </w:rPr>
              <w:t>2.87</w:t>
            </w:r>
          </w:p>
        </w:tc>
        <w:tc>
          <w:tcPr>
            <w:tcW w:w="254" w:type="pct"/>
            <w:tcMar>
              <w:left w:w="105" w:type="dxa"/>
              <w:right w:w="105" w:type="dxa"/>
            </w:tcMar>
          </w:tcPr>
          <w:p w14:paraId="673A930E"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3</w:t>
            </w:r>
          </w:p>
        </w:tc>
        <w:tc>
          <w:tcPr>
            <w:tcW w:w="254" w:type="pct"/>
            <w:tcMar>
              <w:left w:w="105" w:type="dxa"/>
              <w:right w:w="105" w:type="dxa"/>
            </w:tcMar>
          </w:tcPr>
          <w:p w14:paraId="4D286397" w14:textId="77777777" w:rsidR="002B6683" w:rsidRPr="00DA2128" w:rsidRDefault="002B6683" w:rsidP="00A937C6">
            <w:pPr>
              <w:spacing w:after="200" w:line="240" w:lineRule="auto"/>
              <w:jc w:val="center"/>
              <w:rPr>
                <w:rFonts w:eastAsia="Times New Roman" w:cs="Times New Roman"/>
                <w:color w:val="1B2232"/>
                <w:sz w:val="18"/>
                <w:szCs w:val="18"/>
              </w:rPr>
            </w:pPr>
            <w:r w:rsidRPr="00DA2128">
              <w:rPr>
                <w:rStyle w:val="oneUserDefinedStyle"/>
                <w:rFonts w:eastAsia="Times New Roman" w:cs="Times New Roman"/>
                <w:sz w:val="18"/>
                <w:szCs w:val="18"/>
              </w:rPr>
              <w:t>2.54</w:t>
            </w:r>
          </w:p>
        </w:tc>
        <w:tc>
          <w:tcPr>
            <w:tcW w:w="254" w:type="pct"/>
            <w:shd w:val="clear" w:color="auto" w:fill="DADADA" w:themeFill="background2" w:themeFillShade="E6"/>
            <w:tcMar>
              <w:left w:w="105" w:type="dxa"/>
              <w:right w:w="105" w:type="dxa"/>
            </w:tcMar>
          </w:tcPr>
          <w:p w14:paraId="21817A17"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w:t>
            </w:r>
          </w:p>
        </w:tc>
        <w:tc>
          <w:tcPr>
            <w:tcW w:w="254" w:type="pct"/>
            <w:shd w:val="clear" w:color="auto" w:fill="DADADA" w:themeFill="background2" w:themeFillShade="E6"/>
            <w:tcMar>
              <w:left w:w="105" w:type="dxa"/>
              <w:right w:w="105" w:type="dxa"/>
            </w:tcMar>
          </w:tcPr>
          <w:p w14:paraId="7F357CD9"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2.62</w:t>
            </w:r>
          </w:p>
        </w:tc>
        <w:tc>
          <w:tcPr>
            <w:tcW w:w="254" w:type="pct"/>
            <w:tcMar>
              <w:left w:w="105" w:type="dxa"/>
              <w:right w:w="105" w:type="dxa"/>
            </w:tcMar>
          </w:tcPr>
          <w:p w14:paraId="42038F63"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2.93</w:t>
            </w:r>
          </w:p>
        </w:tc>
        <w:tc>
          <w:tcPr>
            <w:tcW w:w="254" w:type="pct"/>
            <w:tcMar>
              <w:left w:w="105" w:type="dxa"/>
              <w:right w:w="105" w:type="dxa"/>
            </w:tcMar>
          </w:tcPr>
          <w:p w14:paraId="1DA09ADD"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2.78</w:t>
            </w:r>
          </w:p>
        </w:tc>
        <w:tc>
          <w:tcPr>
            <w:tcW w:w="254" w:type="pct"/>
            <w:shd w:val="clear" w:color="auto" w:fill="DADADA" w:themeFill="background2" w:themeFillShade="E6"/>
            <w:tcMar>
              <w:left w:w="105" w:type="dxa"/>
              <w:right w:w="105" w:type="dxa"/>
            </w:tcMar>
          </w:tcPr>
          <w:p w14:paraId="3561D838"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3.03</w:t>
            </w:r>
          </w:p>
        </w:tc>
        <w:tc>
          <w:tcPr>
            <w:tcW w:w="254" w:type="pct"/>
            <w:shd w:val="clear" w:color="auto" w:fill="DADADA" w:themeFill="background2" w:themeFillShade="E6"/>
            <w:tcMar>
              <w:left w:w="105" w:type="dxa"/>
              <w:right w:w="105" w:type="dxa"/>
            </w:tcMar>
          </w:tcPr>
          <w:p w14:paraId="05B09E36"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3.05</w:t>
            </w:r>
          </w:p>
        </w:tc>
        <w:tc>
          <w:tcPr>
            <w:tcW w:w="254" w:type="pct"/>
            <w:tcMar>
              <w:left w:w="105" w:type="dxa"/>
              <w:right w:w="105" w:type="dxa"/>
            </w:tcMar>
          </w:tcPr>
          <w:p w14:paraId="63B22421"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3.03</w:t>
            </w:r>
          </w:p>
        </w:tc>
        <w:tc>
          <w:tcPr>
            <w:tcW w:w="254" w:type="pct"/>
            <w:tcMar>
              <w:left w:w="105" w:type="dxa"/>
              <w:right w:w="105" w:type="dxa"/>
            </w:tcMar>
          </w:tcPr>
          <w:p w14:paraId="4420EDC4" w14:textId="77777777" w:rsidR="002B6683" w:rsidRPr="00DA2128" w:rsidRDefault="002B6683"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color w:val="000000" w:themeColor="text1"/>
                <w:sz w:val="18"/>
                <w:szCs w:val="18"/>
              </w:rPr>
              <w:t>2.8</w:t>
            </w:r>
          </w:p>
        </w:tc>
        <w:tc>
          <w:tcPr>
            <w:tcW w:w="262" w:type="pct"/>
            <w:shd w:val="clear" w:color="auto" w:fill="DADADA" w:themeFill="background2" w:themeFillShade="E6"/>
            <w:tcMar>
              <w:left w:w="105" w:type="dxa"/>
              <w:right w:w="105" w:type="dxa"/>
            </w:tcMar>
          </w:tcPr>
          <w:p w14:paraId="3E4E41A2"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3.17</w:t>
            </w:r>
          </w:p>
        </w:tc>
        <w:tc>
          <w:tcPr>
            <w:tcW w:w="262" w:type="pct"/>
            <w:shd w:val="clear" w:color="auto" w:fill="DADADA" w:themeFill="background2" w:themeFillShade="E6"/>
            <w:tcMar>
              <w:left w:w="105" w:type="dxa"/>
              <w:right w:w="105" w:type="dxa"/>
            </w:tcMar>
          </w:tcPr>
          <w:p w14:paraId="5B38BDFD"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2.89</w:t>
            </w:r>
          </w:p>
        </w:tc>
        <w:tc>
          <w:tcPr>
            <w:tcW w:w="254" w:type="pct"/>
            <w:tcMar>
              <w:left w:w="105" w:type="dxa"/>
              <w:right w:w="105" w:type="dxa"/>
            </w:tcMar>
          </w:tcPr>
          <w:p w14:paraId="2ADD8075"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3.04</w:t>
            </w:r>
          </w:p>
        </w:tc>
        <w:tc>
          <w:tcPr>
            <w:tcW w:w="254" w:type="pct"/>
            <w:tcMar>
              <w:left w:w="105" w:type="dxa"/>
              <w:right w:w="105" w:type="dxa"/>
            </w:tcMar>
          </w:tcPr>
          <w:p w14:paraId="0E95D16A"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2.94</w:t>
            </w:r>
          </w:p>
        </w:tc>
        <w:tc>
          <w:tcPr>
            <w:tcW w:w="251" w:type="pct"/>
            <w:shd w:val="clear" w:color="auto" w:fill="DADADA" w:themeFill="background2" w:themeFillShade="E6"/>
            <w:tcMar>
              <w:left w:w="105" w:type="dxa"/>
              <w:right w:w="105" w:type="dxa"/>
            </w:tcMar>
          </w:tcPr>
          <w:p w14:paraId="248F78DF"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2.78</w:t>
            </w:r>
          </w:p>
        </w:tc>
        <w:tc>
          <w:tcPr>
            <w:tcW w:w="248" w:type="pct"/>
            <w:shd w:val="clear" w:color="auto" w:fill="DADADA" w:themeFill="background2" w:themeFillShade="E6"/>
            <w:tcMar>
              <w:left w:w="105" w:type="dxa"/>
              <w:right w:w="105" w:type="dxa"/>
            </w:tcMar>
          </w:tcPr>
          <w:p w14:paraId="2F1CC0AE" w14:textId="77777777" w:rsidR="002B6683" w:rsidRPr="00DA2128" w:rsidRDefault="002B6683" w:rsidP="00A937C6">
            <w:pPr>
              <w:spacing w:after="200" w:line="240" w:lineRule="auto"/>
              <w:jc w:val="center"/>
              <w:rPr>
                <w:rFonts w:eastAsia="Tahoma" w:cs="Times New Roman"/>
                <w:color w:val="1B2232"/>
                <w:sz w:val="18"/>
                <w:szCs w:val="18"/>
              </w:rPr>
            </w:pPr>
            <w:r w:rsidRPr="00DA2128">
              <w:rPr>
                <w:rStyle w:val="oneUserDefinedStyle"/>
                <w:rFonts w:eastAsia="Tahoma" w:cs="Times New Roman"/>
                <w:sz w:val="18"/>
                <w:szCs w:val="18"/>
              </w:rPr>
              <w:t>2.6</w:t>
            </w:r>
          </w:p>
        </w:tc>
      </w:tr>
    </w:tbl>
    <w:p w14:paraId="4D7328F7" w14:textId="12E8C5F8" w:rsidR="00EE377E" w:rsidRPr="00DA2128" w:rsidRDefault="00B605CC" w:rsidP="00A937C6">
      <w:pPr>
        <w:spacing w:line="240" w:lineRule="auto"/>
        <w:rPr>
          <w:sz w:val="18"/>
          <w:szCs w:val="18"/>
        </w:rPr>
        <w:sectPr w:rsidR="00EE377E" w:rsidRPr="00DA2128" w:rsidSect="00796BD4">
          <w:pgSz w:w="16838" w:h="11906" w:orient="landscape"/>
          <w:pgMar w:top="1418" w:right="1418" w:bottom="1418" w:left="1418" w:header="709" w:footer="709" w:gutter="0"/>
          <w:cols w:space="708"/>
          <w:docGrid w:linePitch="360"/>
        </w:sectPr>
      </w:pPr>
      <w:r w:rsidRPr="00DA2128">
        <w:rPr>
          <w:sz w:val="18"/>
          <w:szCs w:val="18"/>
        </w:rPr>
        <w:t>An asterisk (*) indicates the statement with the highest rating value in each cluster in terms of importance and feasibility.</w:t>
      </w:r>
    </w:p>
    <w:p w14:paraId="2AD91DAD" w14:textId="1841DFA6" w:rsidR="00EE377E" w:rsidRPr="00DA2128" w:rsidRDefault="00CE7C5B" w:rsidP="00A937C6">
      <w:pPr>
        <w:spacing w:line="240" w:lineRule="auto"/>
        <w:rPr>
          <w:rFonts w:ascii="Times New Roman" w:hAnsi="Times New Roman" w:cs="Times New Roman"/>
          <w:b/>
          <w:bCs/>
        </w:rPr>
      </w:pPr>
      <w:r w:rsidRPr="00DA2128">
        <w:rPr>
          <w:noProof/>
          <w:lang w:eastAsia="en-GB"/>
        </w:rPr>
        <w:lastRenderedPageBreak/>
        <mc:AlternateContent>
          <mc:Choice Requires="wps">
            <w:drawing>
              <wp:anchor distT="45720" distB="45720" distL="114300" distR="114300" simplePos="0" relativeHeight="251685888" behindDoc="1" locked="0" layoutInCell="1" allowOverlap="1" wp14:anchorId="6A268E68" wp14:editId="54343DCB">
                <wp:simplePos x="0" y="0"/>
                <wp:positionH relativeFrom="margin">
                  <wp:posOffset>4947285</wp:posOffset>
                </wp:positionH>
                <wp:positionV relativeFrom="paragraph">
                  <wp:posOffset>-255270</wp:posOffset>
                </wp:positionV>
                <wp:extent cx="571500" cy="413385"/>
                <wp:effectExtent l="0" t="0" r="0" b="5715"/>
                <wp:wrapNone/>
                <wp:docPr id="798108125"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13385"/>
                        </a:xfrm>
                        <a:prstGeom prst="rect">
                          <a:avLst/>
                        </a:prstGeom>
                        <a:solidFill>
                          <a:srgbClr val="FFFFFF"/>
                        </a:solidFill>
                        <a:ln w="9525">
                          <a:noFill/>
                          <a:miter lim="800000"/>
                          <a:headEnd/>
                          <a:tailEnd/>
                        </a:ln>
                      </wps:spPr>
                      <wps:txbx>
                        <w:txbxContent>
                          <w:p w14:paraId="574A3082" w14:textId="5197D36A" w:rsidR="00CE7C5B" w:rsidRPr="00DA2128" w:rsidRDefault="00CE7C5B" w:rsidP="00CE7C5B">
                            <w:pPr>
                              <w:rPr>
                                <w:rFonts w:ascii="Times New Roman" w:hAnsi="Times New Roman" w:cs="Times New Roman"/>
                                <w:b/>
                                <w:bCs/>
                              </w:rPr>
                            </w:pPr>
                            <w:r w:rsidRPr="00DA2128">
                              <w:rPr>
                                <w:rFonts w:ascii="Times New Roman" w:hAnsi="Times New Roman" w:cs="Times New Roman"/>
                                <w:b/>
                                <w:bCs/>
                              </w:rPr>
                              <w:t>HKR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268E68" id="_x0000_s1028" type="#_x0000_t202" style="position:absolute;margin-left:389.55pt;margin-top:-20.1pt;width:45pt;height:32.55pt;z-index:-251630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" stroked="f">
                <v:textbox>
                  <w:txbxContent>
                    <w:p w14:paraId="574A3082" w14:textId="5197D36A" w:rsidR="00CE7C5B" w:rsidRPr="00DA2128" w:rsidRDefault="00CE7C5B" w:rsidP="00CE7C5B">
                      <w:pPr>
                        <w:rPr>
                          <w:rFonts w:ascii="Times New Roman" w:hAnsi="Times New Roman" w:cs="Times New Roman"/>
                          <w:b/>
                          <w:bCs/>
                        </w:rPr>
                      </w:pPr>
                      <w:r w:rsidRPr="00DA2128">
                        <w:rPr>
                          <w:rFonts w:ascii="Times New Roman" w:hAnsi="Times New Roman" w:cs="Times New Roman"/>
                          <w:b/>
                          <w:bCs/>
                        </w:rPr>
                        <w:t>HKR</w:t>
                      </w:r>
                    </w:p>
                  </w:txbxContent>
                </v:textbox>
                <w10:wrap anchorx="margin"/>
              </v:shape>
            </w:pict>
          </mc:Fallback>
        </mc:AlternateContent>
      </w:r>
      <w:r w:rsidRPr="00DA2128">
        <w:rPr>
          <w:noProof/>
          <w:lang w:eastAsia="en-GB"/>
        </w:rPr>
        <mc:AlternateContent>
          <mc:Choice Requires="wps">
            <w:drawing>
              <wp:anchor distT="45720" distB="45720" distL="114300" distR="114300" simplePos="0" relativeHeight="251683840" behindDoc="0" locked="0" layoutInCell="1" allowOverlap="1" wp14:anchorId="446036AE" wp14:editId="5C07D040">
                <wp:simplePos x="0" y="0"/>
                <wp:positionH relativeFrom="column">
                  <wp:posOffset>-671830</wp:posOffset>
                </wp:positionH>
                <wp:positionV relativeFrom="paragraph">
                  <wp:posOffset>24130</wp:posOffset>
                </wp:positionV>
                <wp:extent cx="902335" cy="1404620"/>
                <wp:effectExtent l="0" t="0" r="0" b="1905"/>
                <wp:wrapSquare wrapText="bothSides"/>
                <wp:docPr id="1591506015"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335" cy="1404620"/>
                        </a:xfrm>
                        <a:prstGeom prst="rect">
                          <a:avLst/>
                        </a:prstGeom>
                        <a:solidFill>
                          <a:srgbClr val="FFFFFF"/>
                        </a:solidFill>
                        <a:ln w="9525">
                          <a:noFill/>
                          <a:miter lim="800000"/>
                          <a:headEnd/>
                          <a:tailEnd/>
                        </a:ln>
                      </wps:spPr>
                      <wps:txbx>
                        <w:txbxContent>
                          <w:p w14:paraId="31AE7C1C" w14:textId="7FEB55BE" w:rsidR="00CE7C5B" w:rsidRPr="00DA2128" w:rsidRDefault="00CE7C5B" w:rsidP="00CE7C5B">
                            <w:pPr>
                              <w:rPr>
                                <w:b/>
                                <w:bCs/>
                              </w:rPr>
                            </w:pPr>
                            <w:r w:rsidRPr="00DA2128">
                              <w:rPr>
                                <w:b/>
                                <w:bCs/>
                              </w:rPr>
                              <w:t>Figure 2.A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6036AE" id="_x0000_s1029" type="#_x0000_t202" style="position:absolute;margin-left:-52.9pt;margin-top:1.9pt;width:71.05pt;height:110.6pt;z-index:251683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" stroked="f">
                <v:textbox style="mso-fit-shape-to-text:t">
                  <w:txbxContent>
                    <w:p w14:paraId="31AE7C1C" w14:textId="7FEB55BE" w:rsidR="00CE7C5B" w:rsidRPr="00DA2128" w:rsidRDefault="00CE7C5B" w:rsidP="00CE7C5B">
                      <w:pPr>
                        <w:rPr>
                          <w:b/>
                          <w:bCs/>
                        </w:rPr>
                      </w:pPr>
                      <w:r w:rsidRPr="00DA2128">
                        <w:rPr>
                          <w:b/>
                          <w:bCs/>
                        </w:rPr>
                        <w:t>Figure 2.A</w:t>
                      </w:r>
                    </w:p>
                  </w:txbxContent>
                </v:textbox>
                <w10:wrap type="square"/>
              </v:shape>
            </w:pict>
          </mc:Fallback>
        </mc:AlternateContent>
      </w:r>
      <w:r w:rsidR="00C85924" w:rsidRPr="00DA2128">
        <w:rPr>
          <w:noProof/>
          <w:lang w:eastAsia="en-GB"/>
        </w:rPr>
        <w:drawing>
          <wp:anchor distT="0" distB="0" distL="114300" distR="114300" simplePos="0" relativeHeight="251663359" behindDoc="1" locked="0" layoutInCell="1" allowOverlap="1" wp14:anchorId="4B3FC795" wp14:editId="19A24C78">
            <wp:simplePos x="0" y="0"/>
            <wp:positionH relativeFrom="margin">
              <wp:posOffset>-671830</wp:posOffset>
            </wp:positionH>
            <wp:positionV relativeFrom="margin">
              <wp:posOffset>24130</wp:posOffset>
            </wp:positionV>
            <wp:extent cx="10233025" cy="6119495"/>
            <wp:effectExtent l="0" t="0" r="0" b="0"/>
            <wp:wrapTight wrapText="bothSides">
              <wp:wrapPolygon edited="0">
                <wp:start x="0" y="0"/>
                <wp:lineTo x="0" y="21517"/>
                <wp:lineTo x="21553" y="21517"/>
                <wp:lineTo x="21553" y="0"/>
                <wp:lineTo x="0" y="0"/>
              </wp:wrapPolygon>
            </wp:wrapTight>
            <wp:docPr id="1364989600" name="Bildobjekt 20" descr="En bild som visar skärmbild,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546378" name="Bildobjekt 20" descr="En bild som visar skärmbild, diagram&#10;&#10;AI-genererat innehåll kan vara felaktigt."/>
                    <pic:cNvPicPr/>
                  </pic:nvPicPr>
                  <pic:blipFill rotWithShape="1">
                    <a:blip r:embed="rId16">
                      <a:extLst>
                        <a:ext uri="{28A0092B-C50C-407E-A947-70E740481C1C}">
                          <a14:useLocalDpi xmlns:a14="http://schemas.microsoft.com/office/drawing/2010/main" val="0"/>
                        </a:ext>
                      </a:extLst>
                    </a:blip>
                    <a:srcRect l="3219" t="10333" r="14249" b="1916"/>
                    <a:stretch>
                      <a:fillRect/>
                    </a:stretch>
                  </pic:blipFill>
                  <pic:spPr bwMode="auto">
                    <a:xfrm>
                      <a:off x="0" y="0"/>
                      <a:ext cx="10233025" cy="6119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85924" w:rsidRPr="00DA2128">
        <w:rPr>
          <w:noProof/>
          <w:lang w:eastAsia="en-GB"/>
        </w:rPr>
        <w:drawing>
          <wp:anchor distT="0" distB="0" distL="114300" distR="114300" simplePos="0" relativeHeight="251674624" behindDoc="0" locked="0" layoutInCell="1" allowOverlap="1" wp14:anchorId="7E497C02" wp14:editId="6D923389">
            <wp:simplePos x="0" y="0"/>
            <wp:positionH relativeFrom="margin">
              <wp:posOffset>-406400</wp:posOffset>
            </wp:positionH>
            <wp:positionV relativeFrom="paragraph">
              <wp:posOffset>5610225</wp:posOffset>
            </wp:positionV>
            <wp:extent cx="5115464" cy="534033"/>
            <wp:effectExtent l="0" t="0" r="0" b="0"/>
            <wp:wrapNone/>
            <wp:docPr id="403122612" name="Bildobjekt 28" descr="En bild som visar text, skärmbild, algebra&#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122612" name="Bildobjekt 28" descr="En bild som visar text, skärmbild, algebra&#10;&#10;AI-genererat innehåll kan vara felaktigt."/>
                    <pic:cNvPicPr/>
                  </pic:nvPicPr>
                  <pic:blipFill rotWithShape="1">
                    <a:blip r:embed="rId17">
                      <a:extLst>
                        <a:ext uri="{28A0092B-C50C-407E-A947-70E740481C1C}">
                          <a14:useLocalDpi xmlns:a14="http://schemas.microsoft.com/office/drawing/2010/main" val="0"/>
                        </a:ext>
                      </a:extLst>
                    </a:blip>
                    <a:srcRect l="5845" t="32487" r="5266" b="51016"/>
                    <a:stretch>
                      <a:fillRect/>
                    </a:stretch>
                  </pic:blipFill>
                  <pic:spPr bwMode="auto">
                    <a:xfrm>
                      <a:off x="0" y="0"/>
                      <a:ext cx="5115464" cy="534033"/>
                    </a:xfrm>
                    <a:prstGeom prst="rect">
                      <a:avLst/>
                    </a:prstGeom>
                    <a:ln>
                      <a:noFill/>
                    </a:ln>
                    <a:extLst>
                      <a:ext uri="{53640926-AAD7-44D8-BBD7-CCE9431645EC}">
                        <a14:shadowObscured xmlns:a14="http://schemas.microsoft.com/office/drawing/2010/main"/>
                      </a:ext>
                    </a:extLst>
                  </pic:spPr>
                </pic:pic>
              </a:graphicData>
            </a:graphic>
          </wp:anchor>
        </w:drawing>
      </w:r>
      <w:r w:rsidR="000E5EE8" w:rsidRPr="00DA2128">
        <w:rPr>
          <w:rFonts w:ascii="Times New Roman" w:hAnsi="Times New Roman" w:cs="Times New Roman"/>
          <w:b/>
          <w:bCs/>
        </w:rPr>
        <w:t>HKR</w:t>
      </w:r>
    </w:p>
    <w:p w14:paraId="7A1C3124" w14:textId="3490F4A8" w:rsidR="004E5319" w:rsidRPr="00DA2128" w:rsidRDefault="002F3965" w:rsidP="00A937C6">
      <w:pPr>
        <w:spacing w:line="240" w:lineRule="auto"/>
      </w:pPr>
      <w:r w:rsidRPr="00DA2128">
        <w:rPr>
          <w:noProof/>
          <w:lang w:eastAsia="en-GB"/>
        </w:rPr>
        <w:lastRenderedPageBreak/>
        <w:drawing>
          <wp:anchor distT="0" distB="0" distL="114300" distR="114300" simplePos="0" relativeHeight="251681792" behindDoc="0" locked="0" layoutInCell="1" allowOverlap="1" wp14:anchorId="568CDFDF" wp14:editId="757549B9">
            <wp:simplePos x="0" y="0"/>
            <wp:positionH relativeFrom="column">
              <wp:posOffset>-491706</wp:posOffset>
            </wp:positionH>
            <wp:positionV relativeFrom="paragraph">
              <wp:posOffset>5769586</wp:posOffset>
            </wp:positionV>
            <wp:extent cx="5115464" cy="534033"/>
            <wp:effectExtent l="0" t="0" r="0" b="0"/>
            <wp:wrapNone/>
            <wp:docPr id="670989148" name="Bildobjekt 28" descr="En bild som visar text, skärmbild, algebra&#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122612" name="Bildobjekt 28" descr="En bild som visar text, skärmbild, algebra&#10;&#10;AI-genererat innehåll kan vara felaktigt."/>
                    <pic:cNvPicPr/>
                  </pic:nvPicPr>
                  <pic:blipFill rotWithShape="1">
                    <a:blip r:embed="rId17">
                      <a:extLst>
                        <a:ext uri="{28A0092B-C50C-407E-A947-70E740481C1C}">
                          <a14:useLocalDpi xmlns:a14="http://schemas.microsoft.com/office/drawing/2010/main" val="0"/>
                        </a:ext>
                      </a:extLst>
                    </a:blip>
                    <a:srcRect l="5845" t="32487" r="5266" b="51016"/>
                    <a:stretch>
                      <a:fillRect/>
                    </a:stretch>
                  </pic:blipFill>
                  <pic:spPr bwMode="auto">
                    <a:xfrm>
                      <a:off x="0" y="0"/>
                      <a:ext cx="5115464" cy="534033"/>
                    </a:xfrm>
                    <a:prstGeom prst="rect">
                      <a:avLst/>
                    </a:prstGeom>
                    <a:ln>
                      <a:noFill/>
                    </a:ln>
                    <a:extLst>
                      <a:ext uri="{53640926-AAD7-44D8-BBD7-CCE9431645EC}">
                        <a14:shadowObscured xmlns:a14="http://schemas.microsoft.com/office/drawing/2010/main"/>
                      </a:ext>
                    </a:extLst>
                  </pic:spPr>
                </pic:pic>
              </a:graphicData>
            </a:graphic>
          </wp:anchor>
        </w:drawing>
      </w:r>
      <w:r w:rsidRPr="00DA2128">
        <w:rPr>
          <w:noProof/>
          <w:lang w:eastAsia="en-GB"/>
        </w:rPr>
        <mc:AlternateContent>
          <mc:Choice Requires="wps">
            <w:drawing>
              <wp:anchor distT="45720" distB="45720" distL="114300" distR="114300" simplePos="0" relativeHeight="251680768" behindDoc="0" locked="0" layoutInCell="1" allowOverlap="1" wp14:anchorId="2F9A24A3" wp14:editId="477C4061">
                <wp:simplePos x="0" y="0"/>
                <wp:positionH relativeFrom="column">
                  <wp:posOffset>-211257</wp:posOffset>
                </wp:positionH>
                <wp:positionV relativeFrom="paragraph">
                  <wp:posOffset>25779</wp:posOffset>
                </wp:positionV>
                <wp:extent cx="902335" cy="1404620"/>
                <wp:effectExtent l="0" t="0" r="0" b="1905"/>
                <wp:wrapSquare wrapText="bothSides"/>
                <wp:docPr id="11368333"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335" cy="1404620"/>
                        </a:xfrm>
                        <a:prstGeom prst="rect">
                          <a:avLst/>
                        </a:prstGeom>
                        <a:solidFill>
                          <a:srgbClr val="FFFFFF"/>
                        </a:solidFill>
                        <a:ln w="9525">
                          <a:noFill/>
                          <a:miter lim="800000"/>
                          <a:headEnd/>
                          <a:tailEnd/>
                        </a:ln>
                      </wps:spPr>
                      <wps:txbx>
                        <w:txbxContent>
                          <w:p w14:paraId="1F3AA3F8" w14:textId="77777777" w:rsidR="002F3965" w:rsidRPr="00DA2128" w:rsidRDefault="002F3965" w:rsidP="002F3965">
                            <w:pPr>
                              <w:rPr>
                                <w:b/>
                                <w:bCs/>
                              </w:rPr>
                            </w:pPr>
                            <w:r w:rsidRPr="00DA2128">
                              <w:rPr>
                                <w:b/>
                                <w:bCs/>
                              </w:rPr>
                              <w:t>Figure 2.B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9A24A3" id="_x0000_s1030" type="#_x0000_t202" style="position:absolute;margin-left:-16.65pt;margin-top:2.05pt;width:71.05pt;height:110.6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" stroked="f">
                <v:textbox style="mso-fit-shape-to-text:t">
                  <w:txbxContent>
                    <w:p w14:paraId="1F3AA3F8" w14:textId="77777777" w:rsidR="002F3965" w:rsidRPr="00DA2128" w:rsidRDefault="002F3965" w:rsidP="002F3965">
                      <w:pPr>
                        <w:rPr>
                          <w:b/>
                          <w:bCs/>
                        </w:rPr>
                      </w:pPr>
                      <w:r w:rsidRPr="00DA2128">
                        <w:rPr>
                          <w:b/>
                          <w:bCs/>
                        </w:rPr>
                        <w:t>Figure 2.B</w:t>
                      </w:r>
                    </w:p>
                  </w:txbxContent>
                </v:textbox>
                <w10:wrap type="square"/>
              </v:shape>
            </w:pict>
          </mc:Fallback>
        </mc:AlternateContent>
      </w:r>
      <w:r w:rsidRPr="00DA2128">
        <w:rPr>
          <w:noProof/>
          <w:lang w:eastAsia="en-GB"/>
        </w:rPr>
        <mc:AlternateContent>
          <mc:Choice Requires="wps">
            <w:drawing>
              <wp:anchor distT="45720" distB="45720" distL="114300" distR="114300" simplePos="0" relativeHeight="251679744" behindDoc="0" locked="0" layoutInCell="1" allowOverlap="1" wp14:anchorId="04BEA7CD" wp14:editId="21381FCB">
                <wp:simplePos x="0" y="0"/>
                <wp:positionH relativeFrom="column">
                  <wp:posOffset>4876800</wp:posOffset>
                </wp:positionH>
                <wp:positionV relativeFrom="paragraph">
                  <wp:posOffset>-178759</wp:posOffset>
                </wp:positionV>
                <wp:extent cx="614680" cy="299085"/>
                <wp:effectExtent l="0" t="0" r="0" b="5715"/>
                <wp:wrapNone/>
                <wp:docPr id="448043931"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80" cy="299085"/>
                        </a:xfrm>
                        <a:prstGeom prst="rect">
                          <a:avLst/>
                        </a:prstGeom>
                        <a:solidFill>
                          <a:srgbClr val="FFFFFF"/>
                        </a:solidFill>
                        <a:ln w="9525">
                          <a:noFill/>
                          <a:miter lim="800000"/>
                          <a:headEnd/>
                          <a:tailEnd/>
                        </a:ln>
                      </wps:spPr>
                      <wps:txbx>
                        <w:txbxContent>
                          <w:p w14:paraId="4F01BBA0" w14:textId="77777777" w:rsidR="002F3965" w:rsidRPr="00DA2128" w:rsidRDefault="002F3965" w:rsidP="002F3965">
                            <w:pPr>
                              <w:rPr>
                                <w:rFonts w:ascii="Times New Roman" w:hAnsi="Times New Roman" w:cs="Times New Roman"/>
                                <w:b/>
                                <w:bCs/>
                              </w:rPr>
                            </w:pPr>
                            <w:r w:rsidRPr="00DA2128">
                              <w:rPr>
                                <w:rFonts w:ascii="Times New Roman" w:hAnsi="Times New Roman" w:cs="Times New Roman"/>
                                <w:b/>
                                <w:bCs/>
                              </w:rPr>
                              <w:t>JDU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BEA7CD" id="_x0000_s1031" type="#_x0000_t202" style="position:absolute;margin-left:384pt;margin-top:-14.1pt;width:48.4pt;height:23.5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" stroked="f">
                <v:textbox>
                  <w:txbxContent>
                    <w:p w14:paraId="4F01BBA0" w14:textId="77777777" w:rsidR="002F3965" w:rsidRPr="00DA2128" w:rsidRDefault="002F3965" w:rsidP="002F3965">
                      <w:pPr>
                        <w:rPr>
                          <w:rFonts w:ascii="Times New Roman" w:hAnsi="Times New Roman" w:cs="Times New Roman"/>
                          <w:b/>
                          <w:bCs/>
                        </w:rPr>
                      </w:pPr>
                      <w:r w:rsidRPr="00DA2128">
                        <w:rPr>
                          <w:rFonts w:ascii="Times New Roman" w:hAnsi="Times New Roman" w:cs="Times New Roman"/>
                          <w:b/>
                          <w:bCs/>
                        </w:rPr>
                        <w:t>JDU</w:t>
                      </w:r>
                    </w:p>
                  </w:txbxContent>
                </v:textbox>
              </v:shape>
            </w:pict>
          </mc:Fallback>
        </mc:AlternateContent>
      </w:r>
      <w:r w:rsidRPr="00DA2128">
        <w:rPr>
          <w:noProof/>
          <w:lang w:eastAsia="en-GB"/>
        </w:rPr>
        <w:drawing>
          <wp:anchor distT="0" distB="0" distL="114300" distR="114300" simplePos="0" relativeHeight="251678720" behindDoc="0" locked="0" layoutInCell="1" allowOverlap="1" wp14:anchorId="01286AB1" wp14:editId="0691C7C5">
            <wp:simplePos x="0" y="0"/>
            <wp:positionH relativeFrom="column">
              <wp:posOffset>-655513</wp:posOffset>
            </wp:positionH>
            <wp:positionV relativeFrom="paragraph">
              <wp:posOffset>248</wp:posOffset>
            </wp:positionV>
            <wp:extent cx="10147300" cy="6119495"/>
            <wp:effectExtent l="0" t="0" r="6350" b="0"/>
            <wp:wrapSquare wrapText="bothSides"/>
            <wp:docPr id="1701031621" name="Bildobjekt 21" descr="En bild som visar skärmbild,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031621" name="Bildobjekt 21" descr="En bild som visar skärmbild, diagram&#10;&#10;AI-genererat innehåll kan vara felaktigt."/>
                    <pic:cNvPicPr/>
                  </pic:nvPicPr>
                  <pic:blipFill rotWithShape="1">
                    <a:blip r:embed="rId18">
                      <a:extLst>
                        <a:ext uri="{28A0092B-C50C-407E-A947-70E740481C1C}">
                          <a14:useLocalDpi xmlns:a14="http://schemas.microsoft.com/office/drawing/2010/main" val="0"/>
                        </a:ext>
                      </a:extLst>
                    </a:blip>
                    <a:srcRect l="2951" t="9220" r="14598" b="2373"/>
                    <a:stretch>
                      <a:fillRect/>
                    </a:stretch>
                  </pic:blipFill>
                  <pic:spPr bwMode="auto">
                    <a:xfrm>
                      <a:off x="0" y="0"/>
                      <a:ext cx="10147300" cy="6119495"/>
                    </a:xfrm>
                    <a:prstGeom prst="rect">
                      <a:avLst/>
                    </a:prstGeom>
                    <a:ln>
                      <a:noFill/>
                    </a:ln>
                    <a:extLst>
                      <a:ext uri="{53640926-AAD7-44D8-BBD7-CCE9431645EC}">
                        <a14:shadowObscured xmlns:a14="http://schemas.microsoft.com/office/drawing/2010/main"/>
                      </a:ext>
                    </a:extLst>
                  </pic:spPr>
                </pic:pic>
              </a:graphicData>
            </a:graphic>
          </wp:anchor>
        </w:drawing>
      </w:r>
      <w:r w:rsidRPr="00DA2128">
        <w:t xml:space="preserve"> </w:t>
      </w:r>
    </w:p>
    <w:p w14:paraId="1C12C364" w14:textId="77777777" w:rsidR="000327EC" w:rsidRPr="00DA2128" w:rsidRDefault="000327EC" w:rsidP="00A937C6">
      <w:pPr>
        <w:spacing w:line="240" w:lineRule="auto"/>
      </w:pPr>
      <w:r w:rsidRPr="00DA2128">
        <w:rPr>
          <w:noProof/>
          <w:lang w:eastAsia="en-GB"/>
        </w:rPr>
        <w:lastRenderedPageBreak/>
        <w:drawing>
          <wp:anchor distT="0" distB="0" distL="114300" distR="114300" simplePos="0" relativeHeight="251691008" behindDoc="0" locked="0" layoutInCell="1" allowOverlap="1" wp14:anchorId="16DE8EF9" wp14:editId="731FB069">
            <wp:simplePos x="0" y="0"/>
            <wp:positionH relativeFrom="column">
              <wp:posOffset>-448574</wp:posOffset>
            </wp:positionH>
            <wp:positionV relativeFrom="paragraph">
              <wp:posOffset>5751458</wp:posOffset>
            </wp:positionV>
            <wp:extent cx="5115464" cy="534033"/>
            <wp:effectExtent l="0" t="0" r="0" b="0"/>
            <wp:wrapNone/>
            <wp:docPr id="1670594602" name="Bildobjekt 28" descr="En bild som visar text, skärmbild, algebra&#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122612" name="Bildobjekt 28" descr="En bild som visar text, skärmbild, algebra&#10;&#10;AI-genererat innehåll kan vara felaktigt."/>
                    <pic:cNvPicPr/>
                  </pic:nvPicPr>
                  <pic:blipFill rotWithShape="1">
                    <a:blip r:embed="rId17">
                      <a:extLst>
                        <a:ext uri="{28A0092B-C50C-407E-A947-70E740481C1C}">
                          <a14:useLocalDpi xmlns:a14="http://schemas.microsoft.com/office/drawing/2010/main" val="0"/>
                        </a:ext>
                      </a:extLst>
                    </a:blip>
                    <a:srcRect l="5845" t="32487" r="5266" b="51016"/>
                    <a:stretch>
                      <a:fillRect/>
                    </a:stretch>
                  </pic:blipFill>
                  <pic:spPr bwMode="auto">
                    <a:xfrm>
                      <a:off x="0" y="0"/>
                      <a:ext cx="5115464" cy="534033"/>
                    </a:xfrm>
                    <a:prstGeom prst="rect">
                      <a:avLst/>
                    </a:prstGeom>
                    <a:ln>
                      <a:noFill/>
                    </a:ln>
                    <a:extLst>
                      <a:ext uri="{53640926-AAD7-44D8-BBD7-CCE9431645EC}">
                        <a14:shadowObscured xmlns:a14="http://schemas.microsoft.com/office/drawing/2010/main"/>
                      </a:ext>
                    </a:extLst>
                  </pic:spPr>
                </pic:pic>
              </a:graphicData>
            </a:graphic>
          </wp:anchor>
        </w:drawing>
      </w:r>
      <w:r w:rsidRPr="00DA2128">
        <w:rPr>
          <w:noProof/>
          <w:lang w:eastAsia="en-GB"/>
        </w:rPr>
        <mc:AlternateContent>
          <mc:Choice Requires="wps">
            <w:drawing>
              <wp:anchor distT="45720" distB="45720" distL="114300" distR="114300" simplePos="0" relativeHeight="251689984" behindDoc="0" locked="0" layoutInCell="1" allowOverlap="1" wp14:anchorId="21BF90B3" wp14:editId="4D1EF3E0">
                <wp:simplePos x="0" y="0"/>
                <wp:positionH relativeFrom="column">
                  <wp:posOffset>-45085</wp:posOffset>
                </wp:positionH>
                <wp:positionV relativeFrom="paragraph">
                  <wp:posOffset>2540</wp:posOffset>
                </wp:positionV>
                <wp:extent cx="890270" cy="1404620"/>
                <wp:effectExtent l="0" t="0" r="5080" b="1905"/>
                <wp:wrapSquare wrapText="bothSides"/>
                <wp:docPr id="264713269"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1404620"/>
                        </a:xfrm>
                        <a:prstGeom prst="rect">
                          <a:avLst/>
                        </a:prstGeom>
                        <a:solidFill>
                          <a:srgbClr val="FFFFFF"/>
                        </a:solidFill>
                        <a:ln w="9525">
                          <a:noFill/>
                          <a:miter lim="800000"/>
                          <a:headEnd/>
                          <a:tailEnd/>
                        </a:ln>
                      </wps:spPr>
                      <wps:txbx>
                        <w:txbxContent>
                          <w:p w14:paraId="0410C69F" w14:textId="77777777" w:rsidR="000327EC" w:rsidRPr="00DA2128" w:rsidRDefault="000327EC" w:rsidP="000327EC">
                            <w:pPr>
                              <w:rPr>
                                <w:b/>
                                <w:bCs/>
                              </w:rPr>
                            </w:pPr>
                            <w:r w:rsidRPr="00DA2128">
                              <w:rPr>
                                <w:b/>
                                <w:bCs/>
                              </w:rPr>
                              <w:t>Figure 2.C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BF90B3" id="_x0000_s1032" type="#_x0000_t202" style="position:absolute;margin-left:-3.55pt;margin-top:.2pt;width:70.1pt;height:110.6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" stroked="f">
                <v:textbox style="mso-fit-shape-to-text:t">
                  <w:txbxContent>
                    <w:p w14:paraId="0410C69F" w14:textId="77777777" w:rsidR="000327EC" w:rsidRPr="00DA2128" w:rsidRDefault="000327EC" w:rsidP="000327EC">
                      <w:pPr>
                        <w:rPr>
                          <w:b/>
                          <w:bCs/>
                        </w:rPr>
                      </w:pPr>
                      <w:r w:rsidRPr="00DA2128">
                        <w:rPr>
                          <w:b/>
                          <w:bCs/>
                        </w:rPr>
                        <w:t>Figure 2.C</w:t>
                      </w:r>
                    </w:p>
                  </w:txbxContent>
                </v:textbox>
                <w10:wrap type="square"/>
              </v:shape>
            </w:pict>
          </mc:Fallback>
        </mc:AlternateContent>
      </w:r>
      <w:r w:rsidRPr="00DA2128">
        <w:rPr>
          <w:noProof/>
          <w:lang w:eastAsia="en-GB"/>
        </w:rPr>
        <mc:AlternateContent>
          <mc:Choice Requires="wps">
            <w:drawing>
              <wp:anchor distT="45720" distB="45720" distL="114300" distR="114300" simplePos="0" relativeHeight="251688960" behindDoc="0" locked="0" layoutInCell="1" allowOverlap="1" wp14:anchorId="377EB1D7" wp14:editId="12795A4D">
                <wp:simplePos x="0" y="0"/>
                <wp:positionH relativeFrom="column">
                  <wp:posOffset>4896264</wp:posOffset>
                </wp:positionH>
                <wp:positionV relativeFrom="paragraph">
                  <wp:posOffset>-192156</wp:posOffset>
                </wp:positionV>
                <wp:extent cx="556260" cy="317500"/>
                <wp:effectExtent l="0" t="0" r="0" b="6350"/>
                <wp:wrapNone/>
                <wp:docPr id="112821668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 cy="317500"/>
                        </a:xfrm>
                        <a:prstGeom prst="rect">
                          <a:avLst/>
                        </a:prstGeom>
                        <a:solidFill>
                          <a:srgbClr val="FFFFFF"/>
                        </a:solidFill>
                        <a:ln w="9525">
                          <a:noFill/>
                          <a:miter lim="800000"/>
                          <a:headEnd/>
                          <a:tailEnd/>
                        </a:ln>
                      </wps:spPr>
                      <wps:txbx>
                        <w:txbxContent>
                          <w:p w14:paraId="12A069DA" w14:textId="77777777" w:rsidR="000327EC" w:rsidRPr="00DA2128" w:rsidRDefault="000327EC" w:rsidP="000327EC">
                            <w:pPr>
                              <w:rPr>
                                <w:rFonts w:ascii="Times New Roman" w:hAnsi="Times New Roman" w:cs="Times New Roman"/>
                                <w:b/>
                                <w:bCs/>
                              </w:rPr>
                            </w:pPr>
                            <w:r w:rsidRPr="00DA2128">
                              <w:rPr>
                                <w:rFonts w:ascii="Times New Roman" w:hAnsi="Times New Roman" w:cs="Times New Roman"/>
                                <w:b/>
                                <w:bCs/>
                              </w:rPr>
                              <w:t>LMU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7EB1D7" id="_x0000_s1033" type="#_x0000_t202" style="position:absolute;margin-left:385.55pt;margin-top:-15.15pt;width:43.8pt;height:2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" stroked="f">
                <v:textbox>
                  <w:txbxContent>
                    <w:p w14:paraId="12A069DA" w14:textId="77777777" w:rsidR="000327EC" w:rsidRPr="00DA2128" w:rsidRDefault="000327EC" w:rsidP="000327EC">
                      <w:pPr>
                        <w:rPr>
                          <w:rFonts w:ascii="Times New Roman" w:hAnsi="Times New Roman" w:cs="Times New Roman"/>
                          <w:b/>
                          <w:bCs/>
                        </w:rPr>
                      </w:pPr>
                      <w:r w:rsidRPr="00DA2128">
                        <w:rPr>
                          <w:rFonts w:ascii="Times New Roman" w:hAnsi="Times New Roman" w:cs="Times New Roman"/>
                          <w:b/>
                          <w:bCs/>
                        </w:rPr>
                        <w:t>LMU</w:t>
                      </w:r>
                    </w:p>
                  </w:txbxContent>
                </v:textbox>
              </v:shape>
            </w:pict>
          </mc:Fallback>
        </mc:AlternateContent>
      </w:r>
      <w:r w:rsidRPr="00DA2128">
        <w:rPr>
          <w:noProof/>
          <w:lang w:eastAsia="en-GB"/>
        </w:rPr>
        <w:drawing>
          <wp:anchor distT="0" distB="0" distL="114300" distR="114300" simplePos="0" relativeHeight="251687936" behindDoc="0" locked="0" layoutInCell="1" allowOverlap="1" wp14:anchorId="548A039A" wp14:editId="4DB91DA9">
            <wp:simplePos x="0" y="0"/>
            <wp:positionH relativeFrom="column">
              <wp:posOffset>-645353</wp:posOffset>
            </wp:positionH>
            <wp:positionV relativeFrom="page">
              <wp:posOffset>898497</wp:posOffset>
            </wp:positionV>
            <wp:extent cx="10114280" cy="6119495"/>
            <wp:effectExtent l="0" t="0" r="1270" b="0"/>
            <wp:wrapSquare wrapText="bothSides"/>
            <wp:docPr id="339148745" name="Bildobjekt 22" descr="En bild som visar skärmbild, diagram, Färggrann&#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644795" name="Bildobjekt 22" descr="En bild som visar skärmbild, diagram, Färggrann&#10;&#10;AI-genererat innehåll kan vara felaktigt."/>
                    <pic:cNvPicPr/>
                  </pic:nvPicPr>
                  <pic:blipFill rotWithShape="1">
                    <a:blip r:embed="rId19">
                      <a:extLst>
                        <a:ext uri="{28A0092B-C50C-407E-A947-70E740481C1C}">
                          <a14:useLocalDpi xmlns:a14="http://schemas.microsoft.com/office/drawing/2010/main" val="0"/>
                        </a:ext>
                      </a:extLst>
                    </a:blip>
                    <a:srcRect l="2862" t="9539" r="14952" b="2056"/>
                    <a:stretch>
                      <a:fillRect/>
                    </a:stretch>
                  </pic:blipFill>
                  <pic:spPr bwMode="auto">
                    <a:xfrm>
                      <a:off x="0" y="0"/>
                      <a:ext cx="10114280" cy="6119495"/>
                    </a:xfrm>
                    <a:prstGeom prst="rect">
                      <a:avLst/>
                    </a:prstGeom>
                    <a:ln>
                      <a:noFill/>
                    </a:ln>
                    <a:extLst>
                      <a:ext uri="{53640926-AAD7-44D8-BBD7-CCE9431645EC}">
                        <a14:shadowObscured xmlns:a14="http://schemas.microsoft.com/office/drawing/2010/main"/>
                      </a:ext>
                    </a:extLst>
                  </pic:spPr>
                </pic:pic>
              </a:graphicData>
            </a:graphic>
          </wp:anchor>
        </w:drawing>
      </w:r>
    </w:p>
    <w:p w14:paraId="7A4096B7" w14:textId="6BB358C8" w:rsidR="00295B1B" w:rsidRPr="00DA2128" w:rsidRDefault="009F318A" w:rsidP="00A937C6">
      <w:pPr>
        <w:spacing w:line="240" w:lineRule="auto"/>
      </w:pPr>
      <w:r w:rsidRPr="00DA2128">
        <w:rPr>
          <w:noProof/>
          <w:lang w:eastAsia="en-GB"/>
        </w:rPr>
        <w:lastRenderedPageBreak/>
        <w:drawing>
          <wp:anchor distT="0" distB="0" distL="114300" distR="114300" simplePos="0" relativeHeight="251693056" behindDoc="0" locked="0" layoutInCell="1" allowOverlap="1" wp14:anchorId="7D11C63E" wp14:editId="6B1946B9">
            <wp:simplePos x="0" y="0"/>
            <wp:positionH relativeFrom="column">
              <wp:posOffset>-614045</wp:posOffset>
            </wp:positionH>
            <wp:positionV relativeFrom="paragraph">
              <wp:posOffset>0</wp:posOffset>
            </wp:positionV>
            <wp:extent cx="10137140" cy="6119495"/>
            <wp:effectExtent l="0" t="0" r="0" b="0"/>
            <wp:wrapSquare wrapText="bothSides"/>
            <wp:docPr id="908307999" name="Bildobjekt 23" descr="En bild som visar diagram, skärmbild&#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307999" name="Bildobjekt 23" descr="En bild som visar diagram, skärmbild&#10;&#10;AI-genererat innehåll kan vara felaktigt."/>
                    <pic:cNvPicPr/>
                  </pic:nvPicPr>
                  <pic:blipFill rotWithShape="1">
                    <a:blip r:embed="rId20">
                      <a:extLst>
                        <a:ext uri="{28A0092B-C50C-407E-A947-70E740481C1C}">
                          <a14:useLocalDpi xmlns:a14="http://schemas.microsoft.com/office/drawing/2010/main" val="0"/>
                        </a:ext>
                      </a:extLst>
                    </a:blip>
                    <a:srcRect l="3219" t="10492" r="15758" b="2546"/>
                    <a:stretch>
                      <a:fillRect/>
                    </a:stretch>
                  </pic:blipFill>
                  <pic:spPr bwMode="auto">
                    <a:xfrm>
                      <a:off x="0" y="0"/>
                      <a:ext cx="10137140" cy="6119495"/>
                    </a:xfrm>
                    <a:prstGeom prst="rect">
                      <a:avLst/>
                    </a:prstGeom>
                    <a:ln>
                      <a:noFill/>
                    </a:ln>
                    <a:extLst>
                      <a:ext uri="{53640926-AAD7-44D8-BBD7-CCE9431645EC}">
                        <a14:shadowObscured xmlns:a14="http://schemas.microsoft.com/office/drawing/2010/main"/>
                      </a:ext>
                    </a:extLst>
                  </pic:spPr>
                </pic:pic>
              </a:graphicData>
            </a:graphic>
          </wp:anchor>
        </w:drawing>
      </w:r>
      <w:r w:rsidR="00295B1B" w:rsidRPr="00DA2128">
        <w:rPr>
          <w:noProof/>
          <w:lang w:eastAsia="en-GB"/>
        </w:rPr>
        <w:drawing>
          <wp:anchor distT="0" distB="0" distL="114300" distR="114300" simplePos="0" relativeHeight="251696128" behindDoc="0" locked="0" layoutInCell="1" allowOverlap="1" wp14:anchorId="1AE2E5E4" wp14:editId="0D9A159A">
            <wp:simplePos x="0" y="0"/>
            <wp:positionH relativeFrom="column">
              <wp:posOffset>-414068</wp:posOffset>
            </wp:positionH>
            <wp:positionV relativeFrom="paragraph">
              <wp:posOffset>5770065</wp:posOffset>
            </wp:positionV>
            <wp:extent cx="5115464" cy="534033"/>
            <wp:effectExtent l="0" t="0" r="0" b="0"/>
            <wp:wrapNone/>
            <wp:docPr id="654312676" name="Bildobjekt 28" descr="En bild som visar text, skärmbild, algebra&#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122612" name="Bildobjekt 28" descr="En bild som visar text, skärmbild, algebra&#10;&#10;AI-genererat innehåll kan vara felaktigt."/>
                    <pic:cNvPicPr/>
                  </pic:nvPicPr>
                  <pic:blipFill rotWithShape="1">
                    <a:blip r:embed="rId17">
                      <a:extLst>
                        <a:ext uri="{28A0092B-C50C-407E-A947-70E740481C1C}">
                          <a14:useLocalDpi xmlns:a14="http://schemas.microsoft.com/office/drawing/2010/main" val="0"/>
                        </a:ext>
                      </a:extLst>
                    </a:blip>
                    <a:srcRect l="5845" t="32487" r="5266" b="51016"/>
                    <a:stretch>
                      <a:fillRect/>
                    </a:stretch>
                  </pic:blipFill>
                  <pic:spPr bwMode="auto">
                    <a:xfrm>
                      <a:off x="0" y="0"/>
                      <a:ext cx="5115464" cy="534033"/>
                    </a:xfrm>
                    <a:prstGeom prst="rect">
                      <a:avLst/>
                    </a:prstGeom>
                    <a:ln>
                      <a:noFill/>
                    </a:ln>
                    <a:extLst>
                      <a:ext uri="{53640926-AAD7-44D8-BBD7-CCE9431645EC}">
                        <a14:shadowObscured xmlns:a14="http://schemas.microsoft.com/office/drawing/2010/main"/>
                      </a:ext>
                    </a:extLst>
                  </pic:spPr>
                </pic:pic>
              </a:graphicData>
            </a:graphic>
          </wp:anchor>
        </w:drawing>
      </w:r>
      <w:r w:rsidR="00295B1B" w:rsidRPr="00DA2128">
        <w:rPr>
          <w:noProof/>
          <w:lang w:eastAsia="en-GB"/>
        </w:rPr>
        <mc:AlternateContent>
          <mc:Choice Requires="wps">
            <w:drawing>
              <wp:anchor distT="45720" distB="45720" distL="114300" distR="114300" simplePos="0" relativeHeight="251695104" behindDoc="0" locked="0" layoutInCell="1" allowOverlap="1" wp14:anchorId="6B3B6A24" wp14:editId="6163E5EE">
                <wp:simplePos x="0" y="0"/>
                <wp:positionH relativeFrom="column">
                  <wp:posOffset>-83127</wp:posOffset>
                </wp:positionH>
                <wp:positionV relativeFrom="paragraph">
                  <wp:posOffset>429</wp:posOffset>
                </wp:positionV>
                <wp:extent cx="890270" cy="1404620"/>
                <wp:effectExtent l="0" t="0" r="5080" b="1905"/>
                <wp:wrapSquare wrapText="bothSides"/>
                <wp:docPr id="212096437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1404620"/>
                        </a:xfrm>
                        <a:prstGeom prst="rect">
                          <a:avLst/>
                        </a:prstGeom>
                        <a:solidFill>
                          <a:srgbClr val="FFFFFF"/>
                        </a:solidFill>
                        <a:ln w="9525">
                          <a:noFill/>
                          <a:miter lim="800000"/>
                          <a:headEnd/>
                          <a:tailEnd/>
                        </a:ln>
                      </wps:spPr>
                      <wps:txbx>
                        <w:txbxContent>
                          <w:p w14:paraId="066C1930" w14:textId="77777777" w:rsidR="00295B1B" w:rsidRPr="00DA2128" w:rsidRDefault="00295B1B" w:rsidP="00295B1B">
                            <w:pPr>
                              <w:rPr>
                                <w:b/>
                                <w:bCs/>
                              </w:rPr>
                            </w:pPr>
                            <w:r w:rsidRPr="00DA2128">
                              <w:rPr>
                                <w:b/>
                                <w:bCs/>
                              </w:rPr>
                              <w:t>Figure 2.D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3B6A24" id="_x0000_s1034" type="#_x0000_t202" style="position:absolute;margin-left:-6.55pt;margin-top:.05pt;width:70.1pt;height:110.6pt;z-index:251695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" stroked="f">
                <v:textbox style="mso-fit-shape-to-text:t">
                  <w:txbxContent>
                    <w:p w14:paraId="066C1930" w14:textId="77777777" w:rsidR="00295B1B" w:rsidRPr="00DA2128" w:rsidRDefault="00295B1B" w:rsidP="00295B1B">
                      <w:pPr>
                        <w:rPr>
                          <w:b/>
                          <w:bCs/>
                        </w:rPr>
                      </w:pPr>
                      <w:r w:rsidRPr="00DA2128">
                        <w:rPr>
                          <w:b/>
                          <w:bCs/>
                        </w:rPr>
                        <w:t>Figure 2.D</w:t>
                      </w:r>
                    </w:p>
                  </w:txbxContent>
                </v:textbox>
                <w10:wrap type="square"/>
              </v:shape>
            </w:pict>
          </mc:Fallback>
        </mc:AlternateContent>
      </w:r>
      <w:r w:rsidR="00295B1B" w:rsidRPr="00DA2128">
        <w:rPr>
          <w:noProof/>
          <w:lang w:eastAsia="en-GB"/>
        </w:rPr>
        <mc:AlternateContent>
          <mc:Choice Requires="wps">
            <w:drawing>
              <wp:anchor distT="45720" distB="45720" distL="114300" distR="114300" simplePos="0" relativeHeight="251694080" behindDoc="0" locked="0" layoutInCell="1" allowOverlap="1" wp14:anchorId="5078C93B" wp14:editId="5A61ED1C">
                <wp:simplePos x="0" y="0"/>
                <wp:positionH relativeFrom="column">
                  <wp:posOffset>4904492</wp:posOffset>
                </wp:positionH>
                <wp:positionV relativeFrom="paragraph">
                  <wp:posOffset>-287655</wp:posOffset>
                </wp:positionV>
                <wp:extent cx="707390" cy="285750"/>
                <wp:effectExtent l="0" t="0" r="0" b="0"/>
                <wp:wrapNone/>
                <wp:docPr id="1684089789"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90" cy="285750"/>
                        </a:xfrm>
                        <a:prstGeom prst="rect">
                          <a:avLst/>
                        </a:prstGeom>
                        <a:solidFill>
                          <a:srgbClr val="FFFFFF"/>
                        </a:solidFill>
                        <a:ln w="9525">
                          <a:noFill/>
                          <a:miter lim="800000"/>
                          <a:headEnd/>
                          <a:tailEnd/>
                        </a:ln>
                      </wps:spPr>
                      <wps:txbx>
                        <w:txbxContent>
                          <w:p w14:paraId="6377101F" w14:textId="77777777" w:rsidR="00295B1B" w:rsidRPr="00DA2128" w:rsidRDefault="00295B1B" w:rsidP="00295B1B">
                            <w:pPr>
                              <w:rPr>
                                <w:rFonts w:ascii="Times New Roman" w:hAnsi="Times New Roman" w:cs="Times New Roman"/>
                                <w:b/>
                                <w:bCs/>
                              </w:rPr>
                            </w:pPr>
                            <w:r w:rsidRPr="00DA2128">
                              <w:rPr>
                                <w:rFonts w:ascii="Times New Roman" w:hAnsi="Times New Roman" w:cs="Times New Roman"/>
                                <w:b/>
                                <w:bCs/>
                              </w:rPr>
                              <w:t>UCLM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78C93B" id="_x0000_s1035" type="#_x0000_t202" style="position:absolute;margin-left:386.2pt;margin-top:-22.65pt;width:55.7pt;height:22.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" stroked="f">
                <v:textbox>
                  <w:txbxContent>
                    <w:p w14:paraId="6377101F" w14:textId="77777777" w:rsidR="00295B1B" w:rsidRPr="00DA2128" w:rsidRDefault="00295B1B" w:rsidP="00295B1B">
                      <w:pPr>
                        <w:rPr>
                          <w:rFonts w:ascii="Times New Roman" w:hAnsi="Times New Roman" w:cs="Times New Roman"/>
                          <w:b/>
                          <w:bCs/>
                        </w:rPr>
                      </w:pPr>
                      <w:r w:rsidRPr="00DA2128">
                        <w:rPr>
                          <w:rFonts w:ascii="Times New Roman" w:hAnsi="Times New Roman" w:cs="Times New Roman"/>
                          <w:b/>
                          <w:bCs/>
                        </w:rPr>
                        <w:t>UCLM</w:t>
                      </w:r>
                    </w:p>
                  </w:txbxContent>
                </v:textbox>
              </v:shape>
            </w:pict>
          </mc:Fallback>
        </mc:AlternateContent>
      </w:r>
    </w:p>
    <w:p w14:paraId="609F1C94" w14:textId="77777777" w:rsidR="009F318A" w:rsidRPr="00DA2128" w:rsidRDefault="009F318A" w:rsidP="00A937C6">
      <w:pPr>
        <w:spacing w:line="240" w:lineRule="auto"/>
      </w:pPr>
      <w:r w:rsidRPr="00DA2128">
        <w:rPr>
          <w:noProof/>
          <w:lang w:eastAsia="en-GB"/>
        </w:rPr>
        <w:lastRenderedPageBreak/>
        <w:drawing>
          <wp:anchor distT="0" distB="0" distL="114300" distR="114300" simplePos="0" relativeHeight="251701248" behindDoc="0" locked="0" layoutInCell="1" allowOverlap="1" wp14:anchorId="53183B19" wp14:editId="63A0060C">
            <wp:simplePos x="0" y="0"/>
            <wp:positionH relativeFrom="column">
              <wp:posOffset>-414068</wp:posOffset>
            </wp:positionH>
            <wp:positionV relativeFrom="paragraph">
              <wp:posOffset>5755352</wp:posOffset>
            </wp:positionV>
            <wp:extent cx="5115464" cy="534033"/>
            <wp:effectExtent l="0" t="0" r="0" b="0"/>
            <wp:wrapNone/>
            <wp:docPr id="662251336" name="Bildobjekt 28" descr="En bild som visar text, skärmbild, algebra&#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122612" name="Bildobjekt 28" descr="En bild som visar text, skärmbild, algebra&#10;&#10;AI-genererat innehåll kan vara felaktigt."/>
                    <pic:cNvPicPr/>
                  </pic:nvPicPr>
                  <pic:blipFill rotWithShape="1">
                    <a:blip r:embed="rId17">
                      <a:extLst>
                        <a:ext uri="{28A0092B-C50C-407E-A947-70E740481C1C}">
                          <a14:useLocalDpi xmlns:a14="http://schemas.microsoft.com/office/drawing/2010/main" val="0"/>
                        </a:ext>
                      </a:extLst>
                    </a:blip>
                    <a:srcRect l="5845" t="32487" r="5266" b="51016"/>
                    <a:stretch>
                      <a:fillRect/>
                    </a:stretch>
                  </pic:blipFill>
                  <pic:spPr bwMode="auto">
                    <a:xfrm>
                      <a:off x="0" y="0"/>
                      <a:ext cx="5115464" cy="534033"/>
                    </a:xfrm>
                    <a:prstGeom prst="rect">
                      <a:avLst/>
                    </a:prstGeom>
                    <a:ln>
                      <a:noFill/>
                    </a:ln>
                    <a:extLst>
                      <a:ext uri="{53640926-AAD7-44D8-BBD7-CCE9431645EC}">
                        <a14:shadowObscured xmlns:a14="http://schemas.microsoft.com/office/drawing/2010/main"/>
                      </a:ext>
                    </a:extLst>
                  </pic:spPr>
                </pic:pic>
              </a:graphicData>
            </a:graphic>
          </wp:anchor>
        </w:drawing>
      </w:r>
      <w:r w:rsidRPr="00DA2128">
        <w:rPr>
          <w:noProof/>
          <w:lang w:eastAsia="en-GB"/>
        </w:rPr>
        <mc:AlternateContent>
          <mc:Choice Requires="wps">
            <w:drawing>
              <wp:anchor distT="45720" distB="45720" distL="114300" distR="114300" simplePos="0" relativeHeight="251700224" behindDoc="0" locked="0" layoutInCell="1" allowOverlap="1" wp14:anchorId="0D14DDA5" wp14:editId="7487A9E7">
                <wp:simplePos x="0" y="0"/>
                <wp:positionH relativeFrom="column">
                  <wp:posOffset>-56779</wp:posOffset>
                </wp:positionH>
                <wp:positionV relativeFrom="paragraph">
                  <wp:posOffset>2540</wp:posOffset>
                </wp:positionV>
                <wp:extent cx="890270" cy="1404620"/>
                <wp:effectExtent l="0" t="0" r="5080" b="1905"/>
                <wp:wrapSquare wrapText="bothSides"/>
                <wp:docPr id="339372670"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1404620"/>
                        </a:xfrm>
                        <a:prstGeom prst="rect">
                          <a:avLst/>
                        </a:prstGeom>
                        <a:solidFill>
                          <a:srgbClr val="FFFFFF"/>
                        </a:solidFill>
                        <a:ln w="9525">
                          <a:noFill/>
                          <a:miter lim="800000"/>
                          <a:headEnd/>
                          <a:tailEnd/>
                        </a:ln>
                      </wps:spPr>
                      <wps:txbx>
                        <w:txbxContent>
                          <w:p w14:paraId="0F28F1C3" w14:textId="77777777" w:rsidR="009F318A" w:rsidRPr="00DA2128" w:rsidRDefault="009F318A" w:rsidP="009F318A">
                            <w:pPr>
                              <w:rPr>
                                <w:b/>
                                <w:bCs/>
                              </w:rPr>
                            </w:pPr>
                            <w:r w:rsidRPr="00DA2128">
                              <w:rPr>
                                <w:b/>
                                <w:bCs/>
                              </w:rPr>
                              <w:t>Figure 2.E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14DDA5" id="_x0000_s1036" type="#_x0000_t202" style="position:absolute;margin-left:-4.45pt;margin-top:.2pt;width:70.1pt;height:110.6pt;z-index:2517002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" stroked="f">
                <v:textbox style="mso-fit-shape-to-text:t">
                  <w:txbxContent>
                    <w:p w14:paraId="0F28F1C3" w14:textId="77777777" w:rsidR="009F318A" w:rsidRPr="00DA2128" w:rsidRDefault="009F318A" w:rsidP="009F318A">
                      <w:pPr>
                        <w:rPr>
                          <w:b/>
                          <w:bCs/>
                        </w:rPr>
                      </w:pPr>
                      <w:r w:rsidRPr="00DA2128">
                        <w:rPr>
                          <w:b/>
                          <w:bCs/>
                        </w:rPr>
                        <w:t>Figure 2.E</w:t>
                      </w:r>
                    </w:p>
                  </w:txbxContent>
                </v:textbox>
                <w10:wrap type="square"/>
              </v:shape>
            </w:pict>
          </mc:Fallback>
        </mc:AlternateContent>
      </w:r>
      <w:r w:rsidRPr="00DA2128">
        <w:rPr>
          <w:noProof/>
          <w:lang w:eastAsia="en-GB"/>
        </w:rPr>
        <mc:AlternateContent>
          <mc:Choice Requires="wps">
            <w:drawing>
              <wp:anchor distT="45720" distB="45720" distL="114300" distR="114300" simplePos="0" relativeHeight="251699200" behindDoc="0" locked="0" layoutInCell="1" allowOverlap="1" wp14:anchorId="138DEE25" wp14:editId="46F5B238">
                <wp:simplePos x="0" y="0"/>
                <wp:positionH relativeFrom="column">
                  <wp:posOffset>4936296</wp:posOffset>
                </wp:positionH>
                <wp:positionV relativeFrom="paragraph">
                  <wp:posOffset>-264298</wp:posOffset>
                </wp:positionV>
                <wp:extent cx="643890" cy="325755"/>
                <wp:effectExtent l="0" t="0" r="3810" b="0"/>
                <wp:wrapNone/>
                <wp:docPr id="1454088336"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325755"/>
                        </a:xfrm>
                        <a:prstGeom prst="rect">
                          <a:avLst/>
                        </a:prstGeom>
                        <a:solidFill>
                          <a:srgbClr val="FFFFFF"/>
                        </a:solidFill>
                        <a:ln w="9525">
                          <a:noFill/>
                          <a:miter lim="800000"/>
                          <a:headEnd/>
                          <a:tailEnd/>
                        </a:ln>
                      </wps:spPr>
                      <wps:txbx>
                        <w:txbxContent>
                          <w:p w14:paraId="25A9C4DB" w14:textId="77777777" w:rsidR="009F318A" w:rsidRPr="00DA2128" w:rsidRDefault="009F318A" w:rsidP="009F318A">
                            <w:pPr>
                              <w:rPr>
                                <w:rFonts w:ascii="Times New Roman" w:hAnsi="Times New Roman" w:cs="Times New Roman"/>
                                <w:b/>
                                <w:bCs/>
                              </w:rPr>
                            </w:pPr>
                            <w:r w:rsidRPr="00DA2128">
                              <w:rPr>
                                <w:rFonts w:ascii="Times New Roman" w:hAnsi="Times New Roman" w:cs="Times New Roman"/>
                                <w:b/>
                                <w:bCs/>
                              </w:rPr>
                              <w:t>UKLO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8DEE25" id="_x0000_s1037" type="#_x0000_t202" style="position:absolute;margin-left:388.7pt;margin-top:-20.8pt;width:50.7pt;height:25.6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" stroked="f">
                <v:textbox>
                  <w:txbxContent>
                    <w:p w14:paraId="25A9C4DB" w14:textId="77777777" w:rsidR="009F318A" w:rsidRPr="00DA2128" w:rsidRDefault="009F318A" w:rsidP="009F318A">
                      <w:pPr>
                        <w:rPr>
                          <w:rFonts w:ascii="Times New Roman" w:hAnsi="Times New Roman" w:cs="Times New Roman"/>
                          <w:b/>
                          <w:bCs/>
                        </w:rPr>
                      </w:pPr>
                      <w:r w:rsidRPr="00DA2128">
                        <w:rPr>
                          <w:rFonts w:ascii="Times New Roman" w:hAnsi="Times New Roman" w:cs="Times New Roman"/>
                          <w:b/>
                          <w:bCs/>
                        </w:rPr>
                        <w:t>UKLO</w:t>
                      </w:r>
                    </w:p>
                  </w:txbxContent>
                </v:textbox>
              </v:shape>
            </w:pict>
          </mc:Fallback>
        </mc:AlternateContent>
      </w:r>
      <w:r w:rsidRPr="00DA2128">
        <w:rPr>
          <w:noProof/>
          <w:lang w:eastAsia="en-GB"/>
        </w:rPr>
        <w:drawing>
          <wp:anchor distT="0" distB="0" distL="114300" distR="114300" simplePos="0" relativeHeight="251698176" behindDoc="0" locked="0" layoutInCell="1" allowOverlap="1" wp14:anchorId="5AC2F1B3" wp14:editId="03BF3453">
            <wp:simplePos x="0" y="0"/>
            <wp:positionH relativeFrom="column">
              <wp:posOffset>-610787</wp:posOffset>
            </wp:positionH>
            <wp:positionV relativeFrom="paragraph">
              <wp:posOffset>0</wp:posOffset>
            </wp:positionV>
            <wp:extent cx="10260330" cy="6119495"/>
            <wp:effectExtent l="0" t="0" r="7620" b="0"/>
            <wp:wrapSquare wrapText="bothSides"/>
            <wp:docPr id="2045848072" name="Bildobjekt 24" descr="En bild som visar diagram, skärmbild&#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848072" name="Bildobjekt 24" descr="En bild som visar diagram, skärmbild&#10;&#10;AI-genererat innehåll kan vara felaktigt."/>
                    <pic:cNvPicPr/>
                  </pic:nvPicPr>
                  <pic:blipFill rotWithShape="1">
                    <a:blip r:embed="rId21">
                      <a:extLst>
                        <a:ext uri="{28A0092B-C50C-407E-A947-70E740481C1C}">
                          <a14:useLocalDpi xmlns:a14="http://schemas.microsoft.com/office/drawing/2010/main" val="0"/>
                        </a:ext>
                      </a:extLst>
                    </a:blip>
                    <a:srcRect l="3041" t="10169" r="14505" b="2398"/>
                    <a:stretch>
                      <a:fillRect/>
                    </a:stretch>
                  </pic:blipFill>
                  <pic:spPr bwMode="auto">
                    <a:xfrm>
                      <a:off x="0" y="0"/>
                      <a:ext cx="10260330" cy="6119495"/>
                    </a:xfrm>
                    <a:prstGeom prst="rect">
                      <a:avLst/>
                    </a:prstGeom>
                    <a:ln>
                      <a:noFill/>
                    </a:ln>
                    <a:extLst>
                      <a:ext uri="{53640926-AAD7-44D8-BBD7-CCE9431645EC}">
                        <a14:shadowObscured xmlns:a14="http://schemas.microsoft.com/office/drawing/2010/main"/>
                      </a:ext>
                    </a:extLst>
                  </pic:spPr>
                </pic:pic>
              </a:graphicData>
            </a:graphic>
          </wp:anchor>
        </w:drawing>
      </w:r>
    </w:p>
    <w:p w14:paraId="6495C8A2" w14:textId="77777777" w:rsidR="00A06D1D" w:rsidRPr="00DA2128" w:rsidRDefault="00A06D1D" w:rsidP="00A937C6">
      <w:pPr>
        <w:spacing w:line="240" w:lineRule="auto"/>
      </w:pPr>
      <w:r w:rsidRPr="00DA2128">
        <w:rPr>
          <w:noProof/>
          <w:lang w:eastAsia="en-GB"/>
        </w:rPr>
        <w:lastRenderedPageBreak/>
        <w:drawing>
          <wp:anchor distT="0" distB="0" distL="114300" distR="114300" simplePos="0" relativeHeight="251706368" behindDoc="0" locked="0" layoutInCell="1" allowOverlap="1" wp14:anchorId="613EDFC4" wp14:editId="441B5824">
            <wp:simplePos x="0" y="0"/>
            <wp:positionH relativeFrom="column">
              <wp:posOffset>-483079</wp:posOffset>
            </wp:positionH>
            <wp:positionV relativeFrom="paragraph">
              <wp:posOffset>5694968</wp:posOffset>
            </wp:positionV>
            <wp:extent cx="5115464" cy="534033"/>
            <wp:effectExtent l="0" t="0" r="0" b="0"/>
            <wp:wrapNone/>
            <wp:docPr id="705743281" name="Bildobjekt 28" descr="En bild som visar text, skärmbild, algebra&#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122612" name="Bildobjekt 28" descr="En bild som visar text, skärmbild, algebra&#10;&#10;AI-genererat innehåll kan vara felaktigt."/>
                    <pic:cNvPicPr/>
                  </pic:nvPicPr>
                  <pic:blipFill rotWithShape="1">
                    <a:blip r:embed="rId17">
                      <a:extLst>
                        <a:ext uri="{28A0092B-C50C-407E-A947-70E740481C1C}">
                          <a14:useLocalDpi xmlns:a14="http://schemas.microsoft.com/office/drawing/2010/main" val="0"/>
                        </a:ext>
                      </a:extLst>
                    </a:blip>
                    <a:srcRect l="5845" t="32487" r="5266" b="51016"/>
                    <a:stretch>
                      <a:fillRect/>
                    </a:stretch>
                  </pic:blipFill>
                  <pic:spPr bwMode="auto">
                    <a:xfrm>
                      <a:off x="0" y="0"/>
                      <a:ext cx="5115464" cy="534033"/>
                    </a:xfrm>
                    <a:prstGeom prst="rect">
                      <a:avLst/>
                    </a:prstGeom>
                    <a:ln>
                      <a:noFill/>
                    </a:ln>
                    <a:extLst>
                      <a:ext uri="{53640926-AAD7-44D8-BBD7-CCE9431645EC}">
                        <a14:shadowObscured xmlns:a14="http://schemas.microsoft.com/office/drawing/2010/main"/>
                      </a:ext>
                    </a:extLst>
                  </pic:spPr>
                </pic:pic>
              </a:graphicData>
            </a:graphic>
          </wp:anchor>
        </w:drawing>
      </w:r>
      <w:r w:rsidRPr="00DA2128">
        <w:rPr>
          <w:noProof/>
          <w:lang w:eastAsia="en-GB"/>
        </w:rPr>
        <mc:AlternateContent>
          <mc:Choice Requires="wps">
            <w:drawing>
              <wp:anchor distT="45720" distB="45720" distL="114300" distR="114300" simplePos="0" relativeHeight="251705344" behindDoc="0" locked="0" layoutInCell="1" allowOverlap="1" wp14:anchorId="6811332B" wp14:editId="76E4ED82">
                <wp:simplePos x="0" y="0"/>
                <wp:positionH relativeFrom="column">
                  <wp:posOffset>-139221</wp:posOffset>
                </wp:positionH>
                <wp:positionV relativeFrom="paragraph">
                  <wp:posOffset>2540</wp:posOffset>
                </wp:positionV>
                <wp:extent cx="890270" cy="1404620"/>
                <wp:effectExtent l="0" t="0" r="5080" b="1905"/>
                <wp:wrapSquare wrapText="bothSides"/>
                <wp:docPr id="121203960"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1404620"/>
                        </a:xfrm>
                        <a:prstGeom prst="rect">
                          <a:avLst/>
                        </a:prstGeom>
                        <a:solidFill>
                          <a:srgbClr val="FFFFFF"/>
                        </a:solidFill>
                        <a:ln w="9525">
                          <a:noFill/>
                          <a:miter lim="800000"/>
                          <a:headEnd/>
                          <a:tailEnd/>
                        </a:ln>
                      </wps:spPr>
                      <wps:txbx>
                        <w:txbxContent>
                          <w:p w14:paraId="1863A76D" w14:textId="77777777" w:rsidR="00A06D1D" w:rsidRPr="00DA2128" w:rsidRDefault="00A06D1D" w:rsidP="00A06D1D">
                            <w:pPr>
                              <w:rPr>
                                <w:b/>
                                <w:bCs/>
                              </w:rPr>
                            </w:pPr>
                            <w:r w:rsidRPr="00DA2128">
                              <w:rPr>
                                <w:b/>
                                <w:bCs/>
                              </w:rPr>
                              <w:t>Figure 2.F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11332B" id="_x0000_s1038" type="#_x0000_t202" style="position:absolute;margin-left:-10.95pt;margin-top:.2pt;width:70.1pt;height:110.6pt;z-index:251705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" stroked="f">
                <v:textbox style="mso-fit-shape-to-text:t">
                  <w:txbxContent>
                    <w:p w14:paraId="1863A76D" w14:textId="77777777" w:rsidR="00A06D1D" w:rsidRPr="00DA2128" w:rsidRDefault="00A06D1D" w:rsidP="00A06D1D">
                      <w:pPr>
                        <w:rPr>
                          <w:b/>
                          <w:bCs/>
                        </w:rPr>
                      </w:pPr>
                      <w:r w:rsidRPr="00DA2128">
                        <w:rPr>
                          <w:b/>
                          <w:bCs/>
                        </w:rPr>
                        <w:t>Figure 2.F</w:t>
                      </w:r>
                    </w:p>
                  </w:txbxContent>
                </v:textbox>
                <w10:wrap type="square"/>
              </v:shape>
            </w:pict>
          </mc:Fallback>
        </mc:AlternateContent>
      </w:r>
      <w:r w:rsidRPr="00DA2128">
        <w:rPr>
          <w:noProof/>
          <w:lang w:eastAsia="en-GB"/>
        </w:rPr>
        <mc:AlternateContent>
          <mc:Choice Requires="wps">
            <w:drawing>
              <wp:anchor distT="45720" distB="45720" distL="114300" distR="114300" simplePos="0" relativeHeight="251704320" behindDoc="0" locked="0" layoutInCell="1" allowOverlap="1" wp14:anchorId="47787BDA" wp14:editId="74343C20">
                <wp:simplePos x="0" y="0"/>
                <wp:positionH relativeFrom="column">
                  <wp:posOffset>4924425</wp:posOffset>
                </wp:positionH>
                <wp:positionV relativeFrom="paragraph">
                  <wp:posOffset>-269875</wp:posOffset>
                </wp:positionV>
                <wp:extent cx="691515" cy="333375"/>
                <wp:effectExtent l="0" t="0" r="0" b="9525"/>
                <wp:wrapNone/>
                <wp:docPr id="146344263"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333375"/>
                        </a:xfrm>
                        <a:prstGeom prst="rect">
                          <a:avLst/>
                        </a:prstGeom>
                        <a:solidFill>
                          <a:srgbClr val="FFFFFF"/>
                        </a:solidFill>
                        <a:ln w="9525">
                          <a:noFill/>
                          <a:miter lim="800000"/>
                          <a:headEnd/>
                          <a:tailEnd/>
                        </a:ln>
                      </wps:spPr>
                      <wps:txbx>
                        <w:txbxContent>
                          <w:p w14:paraId="182CEF8A" w14:textId="77777777" w:rsidR="00A06D1D" w:rsidRPr="00DA2128" w:rsidRDefault="00A06D1D" w:rsidP="00A06D1D">
                            <w:pPr>
                              <w:rPr>
                                <w:rFonts w:ascii="Times New Roman" w:hAnsi="Times New Roman" w:cs="Times New Roman"/>
                                <w:b/>
                                <w:bCs/>
                              </w:rPr>
                            </w:pPr>
                            <w:r w:rsidRPr="00DA2128">
                              <w:rPr>
                                <w:rFonts w:ascii="Times New Roman" w:hAnsi="Times New Roman" w:cs="Times New Roman"/>
                                <w:b/>
                                <w:bCs/>
                              </w:rPr>
                              <w:t>UNIFE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787BDA" id="_x0000_s1039" type="#_x0000_t202" style="position:absolute;margin-left:387.75pt;margin-top:-21.25pt;width:54.45pt;height:26.2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" stroked="f">
                <v:textbox>
                  <w:txbxContent>
                    <w:p w14:paraId="182CEF8A" w14:textId="77777777" w:rsidR="00A06D1D" w:rsidRPr="00DA2128" w:rsidRDefault="00A06D1D" w:rsidP="00A06D1D">
                      <w:pPr>
                        <w:rPr>
                          <w:rFonts w:ascii="Times New Roman" w:hAnsi="Times New Roman" w:cs="Times New Roman"/>
                          <w:b/>
                          <w:bCs/>
                        </w:rPr>
                      </w:pPr>
                      <w:r w:rsidRPr="00DA2128">
                        <w:rPr>
                          <w:rFonts w:ascii="Times New Roman" w:hAnsi="Times New Roman" w:cs="Times New Roman"/>
                          <w:b/>
                          <w:bCs/>
                        </w:rPr>
                        <w:t>UNIFE</w:t>
                      </w:r>
                    </w:p>
                  </w:txbxContent>
                </v:textbox>
              </v:shape>
            </w:pict>
          </mc:Fallback>
        </mc:AlternateContent>
      </w:r>
      <w:r w:rsidRPr="00DA2128">
        <w:rPr>
          <w:noProof/>
          <w:lang w:eastAsia="en-GB"/>
        </w:rPr>
        <w:drawing>
          <wp:anchor distT="0" distB="0" distL="114300" distR="114300" simplePos="0" relativeHeight="251703296" behindDoc="0" locked="0" layoutInCell="1" allowOverlap="1" wp14:anchorId="12F380FA" wp14:editId="22A7B949">
            <wp:simplePos x="0" y="0"/>
            <wp:positionH relativeFrom="column">
              <wp:posOffset>-621665</wp:posOffset>
            </wp:positionH>
            <wp:positionV relativeFrom="paragraph">
              <wp:posOffset>0</wp:posOffset>
            </wp:positionV>
            <wp:extent cx="10246995" cy="6119495"/>
            <wp:effectExtent l="0" t="0" r="1905" b="0"/>
            <wp:wrapSquare wrapText="bothSides"/>
            <wp:docPr id="1200500035" name="Bildobjekt 25" descr="En bild som visar skärmbild,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500035" name="Bildobjekt 25" descr="En bild som visar skärmbild, diagram&#10;&#10;AI-genererat innehåll kan vara felaktigt."/>
                    <pic:cNvPicPr/>
                  </pic:nvPicPr>
                  <pic:blipFill rotWithShape="1">
                    <a:blip r:embed="rId22">
                      <a:extLst>
                        <a:ext uri="{28A0092B-C50C-407E-A947-70E740481C1C}">
                          <a14:useLocalDpi xmlns:a14="http://schemas.microsoft.com/office/drawing/2010/main" val="0"/>
                        </a:ext>
                      </a:extLst>
                    </a:blip>
                    <a:srcRect l="3219" t="10322" r="14875" b="2712"/>
                    <a:stretch>
                      <a:fillRect/>
                    </a:stretch>
                  </pic:blipFill>
                  <pic:spPr bwMode="auto">
                    <a:xfrm>
                      <a:off x="0" y="0"/>
                      <a:ext cx="10246995" cy="6119495"/>
                    </a:xfrm>
                    <a:prstGeom prst="rect">
                      <a:avLst/>
                    </a:prstGeom>
                    <a:ln>
                      <a:noFill/>
                    </a:ln>
                    <a:extLst>
                      <a:ext uri="{53640926-AAD7-44D8-BBD7-CCE9431645EC}">
                        <a14:shadowObscured xmlns:a14="http://schemas.microsoft.com/office/drawing/2010/main"/>
                      </a:ext>
                    </a:extLst>
                  </pic:spPr>
                </pic:pic>
              </a:graphicData>
            </a:graphic>
          </wp:anchor>
        </w:drawing>
      </w:r>
    </w:p>
    <w:p w14:paraId="43BBDF7C" w14:textId="77777777" w:rsidR="009152DB" w:rsidRPr="00DA2128" w:rsidRDefault="009152DB" w:rsidP="00A937C6">
      <w:pPr>
        <w:spacing w:line="240" w:lineRule="auto"/>
      </w:pPr>
      <w:r w:rsidRPr="00DA2128">
        <w:rPr>
          <w:noProof/>
          <w:lang w:eastAsia="en-GB"/>
        </w:rPr>
        <w:lastRenderedPageBreak/>
        <w:drawing>
          <wp:anchor distT="0" distB="0" distL="114300" distR="114300" simplePos="0" relativeHeight="251711488" behindDoc="0" locked="0" layoutInCell="1" allowOverlap="1" wp14:anchorId="19796D51" wp14:editId="62638B06">
            <wp:simplePos x="0" y="0"/>
            <wp:positionH relativeFrom="column">
              <wp:posOffset>-414068</wp:posOffset>
            </wp:positionH>
            <wp:positionV relativeFrom="paragraph">
              <wp:posOffset>5669088</wp:posOffset>
            </wp:positionV>
            <wp:extent cx="5115464" cy="534033"/>
            <wp:effectExtent l="0" t="0" r="0" b="0"/>
            <wp:wrapNone/>
            <wp:docPr id="2100348608" name="Bildobjekt 28" descr="En bild som visar text, skärmbild, algebra&#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122612" name="Bildobjekt 28" descr="En bild som visar text, skärmbild, algebra&#10;&#10;AI-genererat innehåll kan vara felaktigt."/>
                    <pic:cNvPicPr/>
                  </pic:nvPicPr>
                  <pic:blipFill rotWithShape="1">
                    <a:blip r:embed="rId17">
                      <a:extLst>
                        <a:ext uri="{28A0092B-C50C-407E-A947-70E740481C1C}">
                          <a14:useLocalDpi xmlns:a14="http://schemas.microsoft.com/office/drawing/2010/main" val="0"/>
                        </a:ext>
                      </a:extLst>
                    </a:blip>
                    <a:srcRect l="5845" t="32487" r="5266" b="51016"/>
                    <a:stretch>
                      <a:fillRect/>
                    </a:stretch>
                  </pic:blipFill>
                  <pic:spPr bwMode="auto">
                    <a:xfrm>
                      <a:off x="0" y="0"/>
                      <a:ext cx="5115464" cy="534033"/>
                    </a:xfrm>
                    <a:prstGeom prst="rect">
                      <a:avLst/>
                    </a:prstGeom>
                    <a:ln>
                      <a:noFill/>
                    </a:ln>
                    <a:extLst>
                      <a:ext uri="{53640926-AAD7-44D8-BBD7-CCE9431645EC}">
                        <a14:shadowObscured xmlns:a14="http://schemas.microsoft.com/office/drawing/2010/main"/>
                      </a:ext>
                    </a:extLst>
                  </pic:spPr>
                </pic:pic>
              </a:graphicData>
            </a:graphic>
          </wp:anchor>
        </w:drawing>
      </w:r>
      <w:r w:rsidRPr="00DA2128">
        <w:rPr>
          <w:noProof/>
          <w:lang w:eastAsia="en-GB"/>
        </w:rPr>
        <mc:AlternateContent>
          <mc:Choice Requires="wps">
            <w:drawing>
              <wp:anchor distT="45720" distB="45720" distL="114300" distR="114300" simplePos="0" relativeHeight="251710464" behindDoc="0" locked="0" layoutInCell="1" allowOverlap="1" wp14:anchorId="1FD953C7" wp14:editId="6F6FB0AA">
                <wp:simplePos x="0" y="0"/>
                <wp:positionH relativeFrom="column">
                  <wp:posOffset>-115471</wp:posOffset>
                </wp:positionH>
                <wp:positionV relativeFrom="paragraph">
                  <wp:posOffset>2540</wp:posOffset>
                </wp:positionV>
                <wp:extent cx="890270" cy="1404620"/>
                <wp:effectExtent l="0" t="0" r="5080" b="1905"/>
                <wp:wrapSquare wrapText="bothSides"/>
                <wp:docPr id="2120472552"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1404620"/>
                        </a:xfrm>
                        <a:prstGeom prst="rect">
                          <a:avLst/>
                        </a:prstGeom>
                        <a:solidFill>
                          <a:srgbClr val="FFFFFF"/>
                        </a:solidFill>
                        <a:ln w="9525">
                          <a:noFill/>
                          <a:miter lim="800000"/>
                          <a:headEnd/>
                          <a:tailEnd/>
                        </a:ln>
                      </wps:spPr>
                      <wps:txbx>
                        <w:txbxContent>
                          <w:p w14:paraId="4EE3CD26" w14:textId="77777777" w:rsidR="009152DB" w:rsidRPr="00DA2128" w:rsidRDefault="009152DB" w:rsidP="009152DB">
                            <w:pPr>
                              <w:rPr>
                                <w:b/>
                                <w:bCs/>
                              </w:rPr>
                            </w:pPr>
                            <w:r w:rsidRPr="00DA2128">
                              <w:rPr>
                                <w:b/>
                                <w:bCs/>
                              </w:rPr>
                              <w:t>Figure 2.G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D953C7" id="_x0000_s1040" type="#_x0000_t202" style="position:absolute;margin-left:-9.1pt;margin-top:.2pt;width:70.1pt;height:110.6pt;z-index:2517104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" stroked="f">
                <v:textbox style="mso-fit-shape-to-text:t">
                  <w:txbxContent>
                    <w:p w14:paraId="4EE3CD26" w14:textId="77777777" w:rsidR="009152DB" w:rsidRPr="00DA2128" w:rsidRDefault="009152DB" w:rsidP="009152DB">
                      <w:pPr>
                        <w:rPr>
                          <w:b/>
                          <w:bCs/>
                        </w:rPr>
                      </w:pPr>
                      <w:r w:rsidRPr="00DA2128">
                        <w:rPr>
                          <w:b/>
                          <w:bCs/>
                        </w:rPr>
                        <w:t>Figure 2.G</w:t>
                      </w:r>
                    </w:p>
                  </w:txbxContent>
                </v:textbox>
                <w10:wrap type="square"/>
              </v:shape>
            </w:pict>
          </mc:Fallback>
        </mc:AlternateContent>
      </w:r>
      <w:r w:rsidRPr="00DA2128">
        <w:rPr>
          <w:noProof/>
          <w:lang w:eastAsia="en-GB"/>
        </w:rPr>
        <mc:AlternateContent>
          <mc:Choice Requires="wps">
            <w:drawing>
              <wp:anchor distT="45720" distB="45720" distL="114300" distR="114300" simplePos="0" relativeHeight="251709440" behindDoc="0" locked="0" layoutInCell="1" allowOverlap="1" wp14:anchorId="2AD94C84" wp14:editId="6D592703">
                <wp:simplePos x="0" y="0"/>
                <wp:positionH relativeFrom="column">
                  <wp:posOffset>4961255</wp:posOffset>
                </wp:positionH>
                <wp:positionV relativeFrom="paragraph">
                  <wp:posOffset>-340995</wp:posOffset>
                </wp:positionV>
                <wp:extent cx="723900" cy="1404620"/>
                <wp:effectExtent l="0" t="0" r="0" b="0"/>
                <wp:wrapNone/>
                <wp:docPr id="490118036"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1404620"/>
                        </a:xfrm>
                        <a:prstGeom prst="rect">
                          <a:avLst/>
                        </a:prstGeom>
                        <a:solidFill>
                          <a:srgbClr val="FFFFFF"/>
                        </a:solidFill>
                        <a:ln w="9525">
                          <a:noFill/>
                          <a:miter lim="800000"/>
                          <a:headEnd/>
                          <a:tailEnd/>
                        </a:ln>
                      </wps:spPr>
                      <wps:txbx>
                        <w:txbxContent>
                          <w:p w14:paraId="144204B9" w14:textId="77777777" w:rsidR="009152DB" w:rsidRPr="00DA2128" w:rsidRDefault="009152DB" w:rsidP="009152DB">
                            <w:pPr>
                              <w:rPr>
                                <w:rFonts w:ascii="Times New Roman" w:hAnsi="Times New Roman" w:cs="Times New Roman"/>
                                <w:b/>
                                <w:bCs/>
                              </w:rPr>
                            </w:pPr>
                            <w:r w:rsidRPr="00DA2128">
                              <w:rPr>
                                <w:rFonts w:ascii="Times New Roman" w:hAnsi="Times New Roman" w:cs="Times New Roman"/>
                                <w:b/>
                                <w:bCs/>
                              </w:rPr>
                              <w:t>UNIOS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D94C84" id="_x0000_s1041" type="#_x0000_t202" style="position:absolute;margin-left:390.65pt;margin-top:-26.85pt;width:57pt;height:110.6pt;z-index:2517094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" stroked="f">
                <v:textbox style="mso-fit-shape-to-text:t">
                  <w:txbxContent>
                    <w:p w14:paraId="144204B9" w14:textId="77777777" w:rsidR="009152DB" w:rsidRPr="00DA2128" w:rsidRDefault="009152DB" w:rsidP="009152DB">
                      <w:pPr>
                        <w:rPr>
                          <w:rFonts w:ascii="Times New Roman" w:hAnsi="Times New Roman" w:cs="Times New Roman"/>
                          <w:b/>
                          <w:bCs/>
                        </w:rPr>
                      </w:pPr>
                      <w:r w:rsidRPr="00DA2128">
                        <w:rPr>
                          <w:rFonts w:ascii="Times New Roman" w:hAnsi="Times New Roman" w:cs="Times New Roman"/>
                          <w:b/>
                          <w:bCs/>
                        </w:rPr>
                        <w:t>UNIOS</w:t>
                      </w:r>
                    </w:p>
                  </w:txbxContent>
                </v:textbox>
              </v:shape>
            </w:pict>
          </mc:Fallback>
        </mc:AlternateContent>
      </w:r>
      <w:r w:rsidRPr="00DA2128">
        <w:rPr>
          <w:noProof/>
          <w:lang w:eastAsia="en-GB"/>
        </w:rPr>
        <w:drawing>
          <wp:anchor distT="0" distB="0" distL="114300" distR="114300" simplePos="0" relativeHeight="251708416" behindDoc="0" locked="0" layoutInCell="1" allowOverlap="1" wp14:anchorId="103A8DBC" wp14:editId="315C31A6">
            <wp:simplePos x="0" y="0"/>
            <wp:positionH relativeFrom="column">
              <wp:posOffset>-625475</wp:posOffset>
            </wp:positionH>
            <wp:positionV relativeFrom="paragraph">
              <wp:posOffset>0</wp:posOffset>
            </wp:positionV>
            <wp:extent cx="10214610" cy="6119495"/>
            <wp:effectExtent l="0" t="0" r="0" b="0"/>
            <wp:wrapSquare wrapText="bothSides"/>
            <wp:docPr id="272725446" name="Bildobjekt 26" descr="En bild som visar diagram, skärmbild&#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725446" name="Bildobjekt 26" descr="En bild som visar diagram, skärmbild&#10;&#10;AI-genererat innehåll kan vara felaktigt."/>
                    <pic:cNvPicPr/>
                  </pic:nvPicPr>
                  <pic:blipFill rotWithShape="1">
                    <a:blip r:embed="rId23">
                      <a:extLst>
                        <a:ext uri="{28A0092B-C50C-407E-A947-70E740481C1C}">
                          <a14:useLocalDpi xmlns:a14="http://schemas.microsoft.com/office/drawing/2010/main" val="0"/>
                        </a:ext>
                      </a:extLst>
                    </a:blip>
                    <a:srcRect l="2927" t="10537" r="15667" b="2754"/>
                    <a:stretch>
                      <a:fillRect/>
                    </a:stretch>
                  </pic:blipFill>
                  <pic:spPr bwMode="auto">
                    <a:xfrm>
                      <a:off x="0" y="0"/>
                      <a:ext cx="10214610" cy="6119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510E27" w14:textId="77777777" w:rsidR="00A05278" w:rsidRPr="00DA2128" w:rsidRDefault="00A05278" w:rsidP="00A937C6">
      <w:pPr>
        <w:spacing w:line="240" w:lineRule="auto"/>
      </w:pPr>
      <w:r w:rsidRPr="00DA2128">
        <w:rPr>
          <w:noProof/>
          <w:lang w:eastAsia="en-GB"/>
        </w:rPr>
        <w:lastRenderedPageBreak/>
        <w:drawing>
          <wp:anchor distT="0" distB="0" distL="114300" distR="114300" simplePos="0" relativeHeight="251716608" behindDoc="0" locked="0" layoutInCell="1" allowOverlap="1" wp14:anchorId="0F98AE3C" wp14:editId="6F60F2E2">
            <wp:simplePos x="0" y="0"/>
            <wp:positionH relativeFrom="column">
              <wp:posOffset>-439947</wp:posOffset>
            </wp:positionH>
            <wp:positionV relativeFrom="paragraph">
              <wp:posOffset>5726933</wp:posOffset>
            </wp:positionV>
            <wp:extent cx="5115464" cy="534033"/>
            <wp:effectExtent l="0" t="0" r="0" b="0"/>
            <wp:wrapNone/>
            <wp:docPr id="756040043" name="Bildobjekt 28" descr="En bild som visar text, skärmbild, algebra&#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122612" name="Bildobjekt 28" descr="En bild som visar text, skärmbild, algebra&#10;&#10;AI-genererat innehåll kan vara felaktigt."/>
                    <pic:cNvPicPr/>
                  </pic:nvPicPr>
                  <pic:blipFill rotWithShape="1">
                    <a:blip r:embed="rId17">
                      <a:extLst>
                        <a:ext uri="{28A0092B-C50C-407E-A947-70E740481C1C}">
                          <a14:useLocalDpi xmlns:a14="http://schemas.microsoft.com/office/drawing/2010/main" val="0"/>
                        </a:ext>
                      </a:extLst>
                    </a:blip>
                    <a:srcRect l="5845" t="32487" r="5266" b="51016"/>
                    <a:stretch>
                      <a:fillRect/>
                    </a:stretch>
                  </pic:blipFill>
                  <pic:spPr bwMode="auto">
                    <a:xfrm>
                      <a:off x="0" y="0"/>
                      <a:ext cx="5115464" cy="534033"/>
                    </a:xfrm>
                    <a:prstGeom prst="rect">
                      <a:avLst/>
                    </a:prstGeom>
                    <a:ln>
                      <a:noFill/>
                    </a:ln>
                    <a:extLst>
                      <a:ext uri="{53640926-AAD7-44D8-BBD7-CCE9431645EC}">
                        <a14:shadowObscured xmlns:a14="http://schemas.microsoft.com/office/drawing/2010/main"/>
                      </a:ext>
                    </a:extLst>
                  </pic:spPr>
                </pic:pic>
              </a:graphicData>
            </a:graphic>
          </wp:anchor>
        </w:drawing>
      </w:r>
      <w:r w:rsidRPr="00DA2128">
        <w:rPr>
          <w:noProof/>
          <w:lang w:eastAsia="en-GB"/>
        </w:rPr>
        <mc:AlternateContent>
          <mc:Choice Requires="wps">
            <w:drawing>
              <wp:anchor distT="45720" distB="45720" distL="114300" distR="114300" simplePos="0" relativeHeight="251715584" behindDoc="0" locked="0" layoutInCell="1" allowOverlap="1" wp14:anchorId="7552C60E" wp14:editId="0384EDF7">
                <wp:simplePos x="0" y="0"/>
                <wp:positionH relativeFrom="column">
                  <wp:posOffset>-154379</wp:posOffset>
                </wp:positionH>
                <wp:positionV relativeFrom="paragraph">
                  <wp:posOffset>156</wp:posOffset>
                </wp:positionV>
                <wp:extent cx="890270" cy="1404620"/>
                <wp:effectExtent l="0" t="0" r="5080" b="1905"/>
                <wp:wrapSquare wrapText="bothSides"/>
                <wp:docPr id="1709207639"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1404620"/>
                        </a:xfrm>
                        <a:prstGeom prst="rect">
                          <a:avLst/>
                        </a:prstGeom>
                        <a:solidFill>
                          <a:srgbClr val="FFFFFF"/>
                        </a:solidFill>
                        <a:ln w="9525">
                          <a:noFill/>
                          <a:miter lim="800000"/>
                          <a:headEnd/>
                          <a:tailEnd/>
                        </a:ln>
                      </wps:spPr>
                      <wps:txbx>
                        <w:txbxContent>
                          <w:p w14:paraId="47B7B33F" w14:textId="77777777" w:rsidR="00A05278" w:rsidRPr="00DA2128" w:rsidRDefault="00A05278" w:rsidP="00A05278">
                            <w:pPr>
                              <w:rPr>
                                <w:b/>
                                <w:bCs/>
                              </w:rPr>
                            </w:pPr>
                            <w:r w:rsidRPr="00DA2128">
                              <w:rPr>
                                <w:b/>
                                <w:bCs/>
                              </w:rPr>
                              <w:t>Figure 2.H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52C60E" id="_x0000_s1042" type="#_x0000_t202" style="position:absolute;margin-left:-12.15pt;margin-top:0;width:70.1pt;height:110.6pt;z-index:2517155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" stroked="f">
                <v:textbox style="mso-fit-shape-to-text:t">
                  <w:txbxContent>
                    <w:p w14:paraId="47B7B33F" w14:textId="77777777" w:rsidR="00A05278" w:rsidRPr="00DA2128" w:rsidRDefault="00A05278" w:rsidP="00A05278">
                      <w:pPr>
                        <w:rPr>
                          <w:b/>
                          <w:bCs/>
                        </w:rPr>
                      </w:pPr>
                      <w:r w:rsidRPr="00DA2128">
                        <w:rPr>
                          <w:b/>
                          <w:bCs/>
                        </w:rPr>
                        <w:t>Figure 2.H</w:t>
                      </w:r>
                    </w:p>
                  </w:txbxContent>
                </v:textbox>
                <w10:wrap type="square"/>
              </v:shape>
            </w:pict>
          </mc:Fallback>
        </mc:AlternateContent>
      </w:r>
      <w:r w:rsidRPr="00DA2128">
        <w:rPr>
          <w:noProof/>
          <w:lang w:eastAsia="en-GB"/>
        </w:rPr>
        <mc:AlternateContent>
          <mc:Choice Requires="wps">
            <w:drawing>
              <wp:anchor distT="45720" distB="45720" distL="114300" distR="114300" simplePos="0" relativeHeight="251714560" behindDoc="0" locked="0" layoutInCell="1" allowOverlap="1" wp14:anchorId="1DA9DF58" wp14:editId="18E9F8CE">
                <wp:simplePos x="0" y="0"/>
                <wp:positionH relativeFrom="column">
                  <wp:posOffset>5012055</wp:posOffset>
                </wp:positionH>
                <wp:positionV relativeFrom="paragraph">
                  <wp:posOffset>-328295</wp:posOffset>
                </wp:positionV>
                <wp:extent cx="533400" cy="361950"/>
                <wp:effectExtent l="0" t="0" r="0" b="0"/>
                <wp:wrapNone/>
                <wp:docPr id="139504796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61950"/>
                        </a:xfrm>
                        <a:prstGeom prst="rect">
                          <a:avLst/>
                        </a:prstGeom>
                        <a:solidFill>
                          <a:srgbClr val="FFFFFF"/>
                        </a:solidFill>
                        <a:ln w="9525">
                          <a:noFill/>
                          <a:miter lim="800000"/>
                          <a:headEnd/>
                          <a:tailEnd/>
                        </a:ln>
                      </wps:spPr>
                      <wps:txbx>
                        <w:txbxContent>
                          <w:p w14:paraId="3EF60358" w14:textId="77777777" w:rsidR="00A05278" w:rsidRPr="00DA2128" w:rsidRDefault="00A05278" w:rsidP="00A05278">
                            <w:pPr>
                              <w:rPr>
                                <w:rFonts w:ascii="Times New Roman" w:hAnsi="Times New Roman" w:cs="Times New Roman"/>
                                <w:b/>
                                <w:bCs/>
                              </w:rPr>
                            </w:pPr>
                            <w:r w:rsidRPr="00DA2128">
                              <w:rPr>
                                <w:rFonts w:ascii="Times New Roman" w:hAnsi="Times New Roman" w:cs="Times New Roman"/>
                                <w:b/>
                                <w:bCs/>
                              </w:rPr>
                              <w:t>UPD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A9DF58" id="_x0000_s1043" type="#_x0000_t202" style="position:absolute;margin-left:394.65pt;margin-top:-25.85pt;width:42pt;height:28.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" stroked="f">
                <v:textbox>
                  <w:txbxContent>
                    <w:p w14:paraId="3EF60358" w14:textId="77777777" w:rsidR="00A05278" w:rsidRPr="00DA2128" w:rsidRDefault="00A05278" w:rsidP="00A05278">
                      <w:pPr>
                        <w:rPr>
                          <w:rFonts w:ascii="Times New Roman" w:hAnsi="Times New Roman" w:cs="Times New Roman"/>
                          <w:b/>
                          <w:bCs/>
                        </w:rPr>
                      </w:pPr>
                      <w:r w:rsidRPr="00DA2128">
                        <w:rPr>
                          <w:rFonts w:ascii="Times New Roman" w:hAnsi="Times New Roman" w:cs="Times New Roman"/>
                          <w:b/>
                          <w:bCs/>
                        </w:rPr>
                        <w:t>UPD</w:t>
                      </w:r>
                    </w:p>
                  </w:txbxContent>
                </v:textbox>
              </v:shape>
            </w:pict>
          </mc:Fallback>
        </mc:AlternateContent>
      </w:r>
      <w:r w:rsidRPr="00DA2128">
        <w:rPr>
          <w:noProof/>
          <w:lang w:eastAsia="en-GB"/>
        </w:rPr>
        <w:drawing>
          <wp:anchor distT="0" distB="0" distL="114300" distR="114300" simplePos="0" relativeHeight="251713536" behindDoc="0" locked="0" layoutInCell="1" allowOverlap="1" wp14:anchorId="62FAB566" wp14:editId="470DFD98">
            <wp:simplePos x="0" y="0"/>
            <wp:positionH relativeFrom="column">
              <wp:posOffset>-629285</wp:posOffset>
            </wp:positionH>
            <wp:positionV relativeFrom="paragraph">
              <wp:posOffset>0</wp:posOffset>
            </wp:positionV>
            <wp:extent cx="10200000" cy="6120000"/>
            <wp:effectExtent l="0" t="0" r="0" b="0"/>
            <wp:wrapSquare wrapText="bothSides"/>
            <wp:docPr id="1067549632" name="Bildobjekt 27" descr="En bild som visar skärmbild,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549632" name="Bildobjekt 27" descr="En bild som visar skärmbild, diagram&#10;&#10;AI-genererat innehåll kan vara felaktigt."/>
                    <pic:cNvPicPr/>
                  </pic:nvPicPr>
                  <pic:blipFill rotWithShape="1">
                    <a:blip r:embed="rId24">
                      <a:extLst>
                        <a:ext uri="{28A0092B-C50C-407E-A947-70E740481C1C}">
                          <a14:useLocalDpi xmlns:a14="http://schemas.microsoft.com/office/drawing/2010/main" val="0"/>
                        </a:ext>
                      </a:extLst>
                    </a:blip>
                    <a:srcRect l="3142" t="10790" r="15810" b="2755"/>
                    <a:stretch>
                      <a:fillRect/>
                    </a:stretch>
                  </pic:blipFill>
                  <pic:spPr bwMode="auto">
                    <a:xfrm>
                      <a:off x="0" y="0"/>
                      <a:ext cx="10200000" cy="612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B63489" w14:textId="77777777" w:rsidR="00A47721" w:rsidRPr="00DA2128" w:rsidRDefault="00A47721" w:rsidP="00A937C6">
      <w:pPr>
        <w:spacing w:line="240" w:lineRule="auto"/>
        <w:sectPr w:rsidR="00A47721" w:rsidRPr="00DA2128" w:rsidSect="00A47721">
          <w:pgSz w:w="16838" w:h="11906" w:orient="landscape"/>
          <w:pgMar w:top="1418" w:right="1418" w:bottom="1418" w:left="1418" w:header="709" w:footer="709" w:gutter="0"/>
          <w:cols w:space="708"/>
          <w:docGrid w:linePitch="360"/>
        </w:sectPr>
      </w:pPr>
      <w:r w:rsidRPr="00DA2128">
        <w:rPr>
          <w:noProof/>
          <w:lang w:eastAsia="en-GB"/>
        </w:rPr>
        <w:lastRenderedPageBreak/>
        <w:drawing>
          <wp:anchor distT="0" distB="0" distL="114300" distR="114300" simplePos="0" relativeHeight="251721728" behindDoc="0" locked="0" layoutInCell="1" allowOverlap="1" wp14:anchorId="4F0A3F9D" wp14:editId="57374DB0">
            <wp:simplePos x="0" y="0"/>
            <wp:positionH relativeFrom="column">
              <wp:posOffset>-319177</wp:posOffset>
            </wp:positionH>
            <wp:positionV relativeFrom="paragraph">
              <wp:posOffset>5738099</wp:posOffset>
            </wp:positionV>
            <wp:extent cx="5115464" cy="534033"/>
            <wp:effectExtent l="0" t="0" r="0" b="0"/>
            <wp:wrapNone/>
            <wp:docPr id="450770389" name="Bildobjekt 28" descr="En bild som visar text, skärmbild, algebra&#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122612" name="Bildobjekt 28" descr="En bild som visar text, skärmbild, algebra&#10;&#10;AI-genererat innehåll kan vara felaktigt."/>
                    <pic:cNvPicPr/>
                  </pic:nvPicPr>
                  <pic:blipFill rotWithShape="1">
                    <a:blip r:embed="rId17">
                      <a:extLst>
                        <a:ext uri="{28A0092B-C50C-407E-A947-70E740481C1C}">
                          <a14:useLocalDpi xmlns:a14="http://schemas.microsoft.com/office/drawing/2010/main" val="0"/>
                        </a:ext>
                      </a:extLst>
                    </a:blip>
                    <a:srcRect l="5845" t="32487" r="5266" b="51016"/>
                    <a:stretch>
                      <a:fillRect/>
                    </a:stretch>
                  </pic:blipFill>
                  <pic:spPr bwMode="auto">
                    <a:xfrm>
                      <a:off x="0" y="0"/>
                      <a:ext cx="5115464" cy="534033"/>
                    </a:xfrm>
                    <a:prstGeom prst="rect">
                      <a:avLst/>
                    </a:prstGeom>
                    <a:ln>
                      <a:noFill/>
                    </a:ln>
                    <a:extLst>
                      <a:ext uri="{53640926-AAD7-44D8-BBD7-CCE9431645EC}">
                        <a14:shadowObscured xmlns:a14="http://schemas.microsoft.com/office/drawing/2010/main"/>
                      </a:ext>
                    </a:extLst>
                  </pic:spPr>
                </pic:pic>
              </a:graphicData>
            </a:graphic>
          </wp:anchor>
        </w:drawing>
      </w:r>
      <w:r w:rsidRPr="00DA2128">
        <w:rPr>
          <w:noProof/>
          <w:lang w:eastAsia="en-GB"/>
        </w:rPr>
        <mc:AlternateContent>
          <mc:Choice Requires="wps">
            <w:drawing>
              <wp:anchor distT="45720" distB="45720" distL="114300" distR="114300" simplePos="0" relativeHeight="251720704" behindDoc="0" locked="0" layoutInCell="1" allowOverlap="1" wp14:anchorId="7FAC491A" wp14:editId="0F7D676E">
                <wp:simplePos x="0" y="0"/>
                <wp:positionH relativeFrom="column">
                  <wp:posOffset>-103918</wp:posOffset>
                </wp:positionH>
                <wp:positionV relativeFrom="paragraph">
                  <wp:posOffset>2540</wp:posOffset>
                </wp:positionV>
                <wp:extent cx="890270" cy="1404620"/>
                <wp:effectExtent l="0" t="0" r="5080" b="1905"/>
                <wp:wrapSquare wrapText="bothSides"/>
                <wp:docPr id="527440491"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1404620"/>
                        </a:xfrm>
                        <a:prstGeom prst="rect">
                          <a:avLst/>
                        </a:prstGeom>
                        <a:solidFill>
                          <a:srgbClr val="FFFFFF"/>
                        </a:solidFill>
                        <a:ln w="9525">
                          <a:noFill/>
                          <a:miter lim="800000"/>
                          <a:headEnd/>
                          <a:tailEnd/>
                        </a:ln>
                      </wps:spPr>
                      <wps:txbx>
                        <w:txbxContent>
                          <w:p w14:paraId="462C6074" w14:textId="77777777" w:rsidR="00A47721" w:rsidRPr="00DA2128" w:rsidRDefault="00A47721" w:rsidP="00A47721">
                            <w:pPr>
                              <w:rPr>
                                <w:b/>
                                <w:bCs/>
                              </w:rPr>
                            </w:pPr>
                            <w:r w:rsidRPr="00DA2128">
                              <w:rPr>
                                <w:b/>
                                <w:bCs/>
                              </w:rPr>
                              <w:t>Figure 2.I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AC491A" id="_x0000_s1044" type="#_x0000_t202" style="position:absolute;margin-left:-8.2pt;margin-top:.2pt;width:70.1pt;height:110.6pt;z-index:251720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" stroked="f">
                <v:textbox style="mso-fit-shape-to-text:t">
                  <w:txbxContent>
                    <w:p w14:paraId="462C6074" w14:textId="77777777" w:rsidR="00A47721" w:rsidRPr="00DA2128" w:rsidRDefault="00A47721" w:rsidP="00A47721">
                      <w:pPr>
                        <w:rPr>
                          <w:b/>
                          <w:bCs/>
                        </w:rPr>
                      </w:pPr>
                      <w:r w:rsidRPr="00DA2128">
                        <w:rPr>
                          <w:b/>
                          <w:bCs/>
                        </w:rPr>
                        <w:t>Figure 2.I</w:t>
                      </w:r>
                    </w:p>
                  </w:txbxContent>
                </v:textbox>
                <w10:wrap type="square"/>
              </v:shape>
            </w:pict>
          </mc:Fallback>
        </mc:AlternateContent>
      </w:r>
      <w:r w:rsidRPr="00DA2128">
        <w:rPr>
          <w:noProof/>
          <w:lang w:eastAsia="en-GB"/>
        </w:rPr>
        <mc:AlternateContent>
          <mc:Choice Requires="wps">
            <w:drawing>
              <wp:anchor distT="45720" distB="45720" distL="114300" distR="114300" simplePos="0" relativeHeight="251719680" behindDoc="0" locked="0" layoutInCell="1" allowOverlap="1" wp14:anchorId="58F59989" wp14:editId="61100DE9">
                <wp:simplePos x="0" y="0"/>
                <wp:positionH relativeFrom="column">
                  <wp:posOffset>4993005</wp:posOffset>
                </wp:positionH>
                <wp:positionV relativeFrom="paragraph">
                  <wp:posOffset>-271145</wp:posOffset>
                </wp:positionV>
                <wp:extent cx="628650" cy="342900"/>
                <wp:effectExtent l="0" t="0" r="0" b="0"/>
                <wp:wrapNone/>
                <wp:docPr id="1875958584"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342900"/>
                        </a:xfrm>
                        <a:prstGeom prst="rect">
                          <a:avLst/>
                        </a:prstGeom>
                        <a:solidFill>
                          <a:srgbClr val="FFFFFF"/>
                        </a:solidFill>
                        <a:ln w="9525">
                          <a:noFill/>
                          <a:miter lim="800000"/>
                          <a:headEnd/>
                          <a:tailEnd/>
                        </a:ln>
                      </wps:spPr>
                      <wps:txbx>
                        <w:txbxContent>
                          <w:p w14:paraId="6C28EF0E" w14:textId="77777777" w:rsidR="00A47721" w:rsidRPr="00DA2128" w:rsidRDefault="00A47721" w:rsidP="00A47721">
                            <w:pPr>
                              <w:rPr>
                                <w:rFonts w:ascii="Times New Roman" w:hAnsi="Times New Roman" w:cs="Times New Roman"/>
                                <w:b/>
                                <w:bCs/>
                              </w:rPr>
                            </w:pPr>
                            <w:r w:rsidRPr="00DA2128">
                              <w:rPr>
                                <w:rFonts w:ascii="Times New Roman" w:hAnsi="Times New Roman" w:cs="Times New Roman"/>
                                <w:b/>
                                <w:bCs/>
                              </w:rPr>
                              <w:t>VUAS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F59989" id="_x0000_s1045" type="#_x0000_t202" style="position:absolute;margin-left:393.15pt;margin-top:-21.35pt;width:49.5pt;height:27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" stroked="f">
                <v:textbox>
                  <w:txbxContent>
                    <w:p w14:paraId="6C28EF0E" w14:textId="77777777" w:rsidR="00A47721" w:rsidRPr="00DA2128" w:rsidRDefault="00A47721" w:rsidP="00A47721">
                      <w:pPr>
                        <w:rPr>
                          <w:rFonts w:ascii="Times New Roman" w:hAnsi="Times New Roman" w:cs="Times New Roman"/>
                          <w:b/>
                          <w:bCs/>
                        </w:rPr>
                      </w:pPr>
                      <w:r w:rsidRPr="00DA2128">
                        <w:rPr>
                          <w:rFonts w:ascii="Times New Roman" w:hAnsi="Times New Roman" w:cs="Times New Roman"/>
                          <w:b/>
                          <w:bCs/>
                        </w:rPr>
                        <w:t>VUAS</w:t>
                      </w:r>
                    </w:p>
                  </w:txbxContent>
                </v:textbox>
              </v:shape>
            </w:pict>
          </mc:Fallback>
        </mc:AlternateContent>
      </w:r>
      <w:r w:rsidRPr="00DA2128">
        <w:rPr>
          <w:noProof/>
          <w:lang w:eastAsia="en-GB"/>
        </w:rPr>
        <w:drawing>
          <wp:anchor distT="0" distB="0" distL="114300" distR="114300" simplePos="0" relativeHeight="251718656" behindDoc="0" locked="0" layoutInCell="1" allowOverlap="1" wp14:anchorId="3FF28820" wp14:editId="565CFD5A">
            <wp:simplePos x="0" y="0"/>
            <wp:positionH relativeFrom="column">
              <wp:posOffset>-570865</wp:posOffset>
            </wp:positionH>
            <wp:positionV relativeFrom="paragraph">
              <wp:posOffset>0</wp:posOffset>
            </wp:positionV>
            <wp:extent cx="10128421" cy="6120000"/>
            <wp:effectExtent l="0" t="0" r="6350" b="0"/>
            <wp:wrapSquare wrapText="bothSides"/>
            <wp:docPr id="861937205" name="Bildobjekt 28" descr="En bild som visar skärmbild,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937205" name="Bildobjekt 28" descr="En bild som visar skärmbild, diagram&#10;&#10;AI-genererat innehåll kan vara felaktigt."/>
                    <pic:cNvPicPr/>
                  </pic:nvPicPr>
                  <pic:blipFill rotWithShape="1">
                    <a:blip r:embed="rId25">
                      <a:extLst>
                        <a:ext uri="{28A0092B-C50C-407E-A947-70E740481C1C}">
                          <a14:useLocalDpi xmlns:a14="http://schemas.microsoft.com/office/drawing/2010/main" val="0"/>
                        </a:ext>
                      </a:extLst>
                    </a:blip>
                    <a:srcRect l="3283" t="10410" r="15882" b="2755"/>
                    <a:stretch>
                      <a:fillRect/>
                    </a:stretch>
                  </pic:blipFill>
                  <pic:spPr bwMode="auto">
                    <a:xfrm>
                      <a:off x="0" y="0"/>
                      <a:ext cx="10128421" cy="612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EBD94D" w14:textId="77777777" w:rsidR="00C84210" w:rsidRPr="00DA2128" w:rsidRDefault="00C84210" w:rsidP="00A937C6">
      <w:pPr>
        <w:spacing w:line="240" w:lineRule="auto"/>
        <w:rPr>
          <w:sz w:val="22"/>
          <w:szCs w:val="22"/>
        </w:rPr>
      </w:pPr>
      <w:r w:rsidRPr="00DA2128">
        <w:rPr>
          <w:b/>
          <w:bCs/>
          <w:sz w:val="22"/>
          <w:szCs w:val="22"/>
        </w:rPr>
        <w:lastRenderedPageBreak/>
        <w:t>Table 3.</w:t>
      </w:r>
      <w:r w:rsidRPr="00DA2128">
        <w:rPr>
          <w:sz w:val="22"/>
          <w:szCs w:val="22"/>
        </w:rPr>
        <w:t xml:space="preserve"> Average rating at cluster level for all nine universities in terms of importance and feasibility</w:t>
      </w:r>
    </w:p>
    <w:tbl>
      <w:tblPr>
        <w:tblStyle w:val="TableGrid"/>
        <w:tblW w:w="5000" w:type="pct"/>
        <w:tblBorders>
          <w:top w:val="single" w:sz="6" w:space="0" w:color="auto"/>
          <w:left w:val="single" w:sz="6" w:space="0" w:color="auto"/>
          <w:bottom w:val="single" w:sz="6" w:space="0" w:color="auto"/>
          <w:right w:val="single" w:sz="6" w:space="0" w:color="auto"/>
          <w:insideH w:val="single" w:sz="4" w:space="0" w:color="000000" w:themeColor="text1"/>
          <w:insideV w:val="single" w:sz="4" w:space="0" w:color="000000" w:themeColor="text1"/>
        </w:tblBorders>
        <w:tblLook w:val="04A0" w:firstRow="1" w:lastRow="0" w:firstColumn="1" w:lastColumn="0" w:noHBand="0" w:noVBand="1"/>
      </w:tblPr>
      <w:tblGrid>
        <w:gridCol w:w="974"/>
        <w:gridCol w:w="786"/>
        <w:gridCol w:w="789"/>
        <w:gridCol w:w="728"/>
        <w:gridCol w:w="728"/>
        <w:gridCol w:w="728"/>
        <w:gridCol w:w="728"/>
        <w:gridCol w:w="728"/>
        <w:gridCol w:w="728"/>
        <w:gridCol w:w="728"/>
        <w:gridCol w:w="728"/>
        <w:gridCol w:w="728"/>
        <w:gridCol w:w="728"/>
        <w:gridCol w:w="750"/>
        <w:gridCol w:w="750"/>
        <w:gridCol w:w="728"/>
        <w:gridCol w:w="728"/>
        <w:gridCol w:w="719"/>
        <w:gridCol w:w="708"/>
      </w:tblGrid>
      <w:tr w:rsidR="00C84210" w:rsidRPr="00DA2128" w14:paraId="2DBA15A3" w14:textId="77777777" w:rsidTr="007B0AA8">
        <w:trPr>
          <w:trHeight w:val="300"/>
        </w:trPr>
        <w:tc>
          <w:tcPr>
            <w:tcW w:w="343" w:type="pct"/>
            <w:tcMar>
              <w:left w:w="105" w:type="dxa"/>
              <w:right w:w="105" w:type="dxa"/>
            </w:tcMar>
          </w:tcPr>
          <w:p w14:paraId="16FC55E3" w14:textId="77777777" w:rsidR="00C84210" w:rsidRPr="00DA2128" w:rsidRDefault="00C84210" w:rsidP="00A937C6">
            <w:pPr>
              <w:spacing w:after="200" w:line="240" w:lineRule="auto"/>
              <w:rPr>
                <w:rFonts w:eastAsia="Times New Roman" w:cs="Times New Roman"/>
                <w:b/>
                <w:bCs/>
                <w:color w:val="000000" w:themeColor="text1"/>
                <w:sz w:val="18"/>
                <w:szCs w:val="18"/>
              </w:rPr>
            </w:pPr>
          </w:p>
        </w:tc>
        <w:tc>
          <w:tcPr>
            <w:tcW w:w="4657" w:type="pct"/>
            <w:gridSpan w:val="18"/>
            <w:shd w:val="clear" w:color="auto" w:fill="DADADA" w:themeFill="background2" w:themeFillShade="E6"/>
            <w:tcMar>
              <w:left w:w="105" w:type="dxa"/>
              <w:right w:w="105" w:type="dxa"/>
            </w:tcMar>
          </w:tcPr>
          <w:p w14:paraId="6977A321" w14:textId="77777777" w:rsidR="00C84210" w:rsidRPr="00DA2128" w:rsidRDefault="00C84210" w:rsidP="00A937C6">
            <w:pPr>
              <w:spacing w:after="200" w:line="240" w:lineRule="auto"/>
              <w:jc w:val="center"/>
              <w:rPr>
                <w:rFonts w:eastAsia="Times New Roman" w:cs="Times New Roman"/>
                <w:b/>
                <w:bCs/>
                <w:color w:val="000000" w:themeColor="text1"/>
                <w:szCs w:val="22"/>
              </w:rPr>
            </w:pPr>
            <w:r w:rsidRPr="00DA2128">
              <w:rPr>
                <w:rFonts w:eastAsia="Times New Roman" w:cs="Times New Roman"/>
                <w:b/>
                <w:bCs/>
                <w:color w:val="000000" w:themeColor="text1"/>
                <w:szCs w:val="22"/>
              </w:rPr>
              <w:t>Rating at cluster level</w:t>
            </w:r>
          </w:p>
        </w:tc>
      </w:tr>
      <w:tr w:rsidR="00C84210" w:rsidRPr="00DA2128" w14:paraId="102DCF41" w14:textId="77777777" w:rsidTr="007B0AA8">
        <w:trPr>
          <w:trHeight w:val="300"/>
        </w:trPr>
        <w:tc>
          <w:tcPr>
            <w:tcW w:w="343" w:type="pct"/>
            <w:tcMar>
              <w:left w:w="105" w:type="dxa"/>
              <w:right w:w="105" w:type="dxa"/>
            </w:tcMar>
          </w:tcPr>
          <w:p w14:paraId="56DCD03A" w14:textId="77777777" w:rsidR="00C84210" w:rsidRPr="00DA2128" w:rsidRDefault="00C84210" w:rsidP="00A937C6">
            <w:pPr>
              <w:spacing w:after="200" w:line="240" w:lineRule="auto"/>
              <w:rPr>
                <w:rFonts w:eastAsia="Times New Roman" w:cs="Times New Roman"/>
                <w:color w:val="000000" w:themeColor="text1"/>
                <w:sz w:val="18"/>
                <w:szCs w:val="18"/>
              </w:rPr>
            </w:pPr>
          </w:p>
        </w:tc>
        <w:tc>
          <w:tcPr>
            <w:tcW w:w="555" w:type="pct"/>
            <w:gridSpan w:val="2"/>
            <w:shd w:val="clear" w:color="auto" w:fill="DADADA" w:themeFill="background2" w:themeFillShade="E6"/>
            <w:tcMar>
              <w:left w:w="105" w:type="dxa"/>
              <w:right w:w="105" w:type="dxa"/>
            </w:tcMar>
          </w:tcPr>
          <w:p w14:paraId="702D1BE1" w14:textId="77777777" w:rsidR="00C84210" w:rsidRPr="00DA2128" w:rsidRDefault="00C84210"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b/>
                <w:bCs/>
                <w:color w:val="000000" w:themeColor="text1"/>
                <w:sz w:val="18"/>
                <w:szCs w:val="18"/>
              </w:rPr>
              <w:t>HKR</w:t>
            </w:r>
          </w:p>
        </w:tc>
        <w:tc>
          <w:tcPr>
            <w:tcW w:w="512" w:type="pct"/>
            <w:gridSpan w:val="2"/>
            <w:tcMar>
              <w:left w:w="105" w:type="dxa"/>
              <w:right w:w="105" w:type="dxa"/>
            </w:tcMar>
          </w:tcPr>
          <w:p w14:paraId="0D938CA3" w14:textId="77777777" w:rsidR="00C84210" w:rsidRPr="00DA2128" w:rsidRDefault="00C84210"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b/>
                <w:bCs/>
                <w:color w:val="000000" w:themeColor="text1"/>
                <w:sz w:val="18"/>
                <w:szCs w:val="18"/>
              </w:rPr>
              <w:t>JDU</w:t>
            </w:r>
          </w:p>
        </w:tc>
        <w:tc>
          <w:tcPr>
            <w:tcW w:w="512" w:type="pct"/>
            <w:gridSpan w:val="2"/>
            <w:shd w:val="clear" w:color="auto" w:fill="DADADA" w:themeFill="background2" w:themeFillShade="E6"/>
            <w:tcMar>
              <w:left w:w="105" w:type="dxa"/>
              <w:right w:w="105" w:type="dxa"/>
            </w:tcMar>
          </w:tcPr>
          <w:p w14:paraId="70871377" w14:textId="77777777" w:rsidR="00C84210" w:rsidRPr="00DA2128" w:rsidRDefault="00C84210"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b/>
                <w:bCs/>
                <w:color w:val="000000" w:themeColor="text1"/>
                <w:sz w:val="18"/>
                <w:szCs w:val="18"/>
              </w:rPr>
              <w:t>LMU</w:t>
            </w:r>
          </w:p>
        </w:tc>
        <w:tc>
          <w:tcPr>
            <w:tcW w:w="512" w:type="pct"/>
            <w:gridSpan w:val="2"/>
            <w:tcMar>
              <w:left w:w="105" w:type="dxa"/>
              <w:right w:w="105" w:type="dxa"/>
            </w:tcMar>
          </w:tcPr>
          <w:p w14:paraId="0902BCA9" w14:textId="77777777" w:rsidR="00C84210" w:rsidRPr="00DA2128" w:rsidRDefault="00C84210"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b/>
                <w:bCs/>
                <w:color w:val="000000" w:themeColor="text1"/>
                <w:sz w:val="18"/>
                <w:szCs w:val="18"/>
              </w:rPr>
              <w:t>UCLM</w:t>
            </w:r>
          </w:p>
        </w:tc>
        <w:tc>
          <w:tcPr>
            <w:tcW w:w="512" w:type="pct"/>
            <w:gridSpan w:val="2"/>
            <w:shd w:val="clear" w:color="auto" w:fill="DADADA" w:themeFill="background2" w:themeFillShade="E6"/>
            <w:tcMar>
              <w:left w:w="105" w:type="dxa"/>
              <w:right w:w="105" w:type="dxa"/>
            </w:tcMar>
          </w:tcPr>
          <w:p w14:paraId="490C5FC2" w14:textId="77777777" w:rsidR="00C84210" w:rsidRPr="00DA2128" w:rsidRDefault="00C84210"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b/>
                <w:bCs/>
                <w:color w:val="000000" w:themeColor="text1"/>
                <w:sz w:val="18"/>
                <w:szCs w:val="18"/>
              </w:rPr>
              <w:t>UKLO</w:t>
            </w:r>
          </w:p>
        </w:tc>
        <w:tc>
          <w:tcPr>
            <w:tcW w:w="512" w:type="pct"/>
            <w:gridSpan w:val="2"/>
            <w:tcMar>
              <w:left w:w="105" w:type="dxa"/>
              <w:right w:w="105" w:type="dxa"/>
            </w:tcMar>
          </w:tcPr>
          <w:p w14:paraId="7AC27070" w14:textId="77777777" w:rsidR="00C84210" w:rsidRPr="00DA2128" w:rsidRDefault="00C84210"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b/>
                <w:bCs/>
                <w:color w:val="000000" w:themeColor="text1"/>
                <w:sz w:val="18"/>
                <w:szCs w:val="18"/>
              </w:rPr>
              <w:t xml:space="preserve">UNIFE </w:t>
            </w:r>
          </w:p>
        </w:tc>
        <w:tc>
          <w:tcPr>
            <w:tcW w:w="528" w:type="pct"/>
            <w:gridSpan w:val="2"/>
            <w:shd w:val="clear" w:color="auto" w:fill="DADADA" w:themeFill="background2" w:themeFillShade="E6"/>
            <w:tcMar>
              <w:left w:w="105" w:type="dxa"/>
              <w:right w:w="105" w:type="dxa"/>
            </w:tcMar>
          </w:tcPr>
          <w:p w14:paraId="10606629" w14:textId="77777777" w:rsidR="00C84210" w:rsidRPr="00DA2128" w:rsidRDefault="00C84210"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b/>
                <w:bCs/>
                <w:color w:val="000000" w:themeColor="text1"/>
                <w:sz w:val="18"/>
                <w:szCs w:val="18"/>
              </w:rPr>
              <w:t>UNIOS</w:t>
            </w:r>
          </w:p>
        </w:tc>
        <w:tc>
          <w:tcPr>
            <w:tcW w:w="512" w:type="pct"/>
            <w:gridSpan w:val="2"/>
            <w:tcMar>
              <w:left w:w="105" w:type="dxa"/>
              <w:right w:w="105" w:type="dxa"/>
            </w:tcMar>
          </w:tcPr>
          <w:p w14:paraId="5D3BF4E8" w14:textId="77777777" w:rsidR="00C84210" w:rsidRPr="00DA2128" w:rsidRDefault="00C84210"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b/>
                <w:bCs/>
                <w:color w:val="000000" w:themeColor="text1"/>
                <w:sz w:val="18"/>
                <w:szCs w:val="18"/>
              </w:rPr>
              <w:t>UPD</w:t>
            </w:r>
          </w:p>
        </w:tc>
        <w:tc>
          <w:tcPr>
            <w:tcW w:w="502" w:type="pct"/>
            <w:gridSpan w:val="2"/>
            <w:shd w:val="clear" w:color="auto" w:fill="DADADA" w:themeFill="background2" w:themeFillShade="E6"/>
            <w:tcMar>
              <w:left w:w="105" w:type="dxa"/>
              <w:right w:w="105" w:type="dxa"/>
            </w:tcMar>
          </w:tcPr>
          <w:p w14:paraId="602F4318" w14:textId="77777777" w:rsidR="00C84210" w:rsidRPr="00DA2128" w:rsidRDefault="00C84210"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b/>
                <w:bCs/>
                <w:color w:val="000000" w:themeColor="text1"/>
                <w:sz w:val="18"/>
                <w:szCs w:val="18"/>
              </w:rPr>
              <w:t>VUAS</w:t>
            </w:r>
          </w:p>
        </w:tc>
      </w:tr>
      <w:tr w:rsidR="00C84210" w:rsidRPr="00DA2128" w14:paraId="0ABBEDCB" w14:textId="77777777" w:rsidTr="007B0AA8">
        <w:trPr>
          <w:cantSplit/>
          <w:trHeight w:val="1134"/>
        </w:trPr>
        <w:tc>
          <w:tcPr>
            <w:tcW w:w="343" w:type="pct"/>
            <w:tcMar>
              <w:left w:w="105" w:type="dxa"/>
              <w:right w:w="105" w:type="dxa"/>
            </w:tcMar>
            <w:textDirection w:val="btLr"/>
            <w:vAlign w:val="center"/>
          </w:tcPr>
          <w:p w14:paraId="4874BACB" w14:textId="77777777" w:rsidR="00C84210" w:rsidRPr="00DA2128" w:rsidRDefault="00C84210" w:rsidP="00A937C6">
            <w:pPr>
              <w:spacing w:after="200" w:line="240" w:lineRule="auto"/>
              <w:ind w:left="113" w:right="113"/>
              <w:jc w:val="center"/>
              <w:rPr>
                <w:rFonts w:eastAsia="Times New Roman" w:cs="Times New Roman"/>
                <w:color w:val="000000" w:themeColor="text1"/>
                <w:sz w:val="18"/>
                <w:szCs w:val="18"/>
              </w:rPr>
            </w:pPr>
            <w:r w:rsidRPr="00DA2128">
              <w:rPr>
                <w:rFonts w:eastAsia="Times New Roman" w:cs="Times New Roman"/>
                <w:b/>
                <w:bCs/>
                <w:color w:val="000000" w:themeColor="text1"/>
                <w:sz w:val="18"/>
                <w:szCs w:val="18"/>
              </w:rPr>
              <w:t>Cluster</w:t>
            </w:r>
          </w:p>
        </w:tc>
        <w:tc>
          <w:tcPr>
            <w:tcW w:w="277" w:type="pct"/>
            <w:shd w:val="clear" w:color="auto" w:fill="DADADA" w:themeFill="background2" w:themeFillShade="E6"/>
            <w:tcMar>
              <w:left w:w="105" w:type="dxa"/>
              <w:right w:w="105" w:type="dxa"/>
            </w:tcMar>
            <w:textDirection w:val="btLr"/>
          </w:tcPr>
          <w:p w14:paraId="412ED0D8" w14:textId="77777777" w:rsidR="00C84210" w:rsidRPr="00DA2128" w:rsidRDefault="00C84210" w:rsidP="00A937C6">
            <w:pPr>
              <w:spacing w:after="200" w:line="240" w:lineRule="auto"/>
              <w:ind w:left="113" w:right="113"/>
              <w:jc w:val="center"/>
              <w:rPr>
                <w:rFonts w:eastAsia="Times New Roman" w:cs="Times New Roman"/>
                <w:color w:val="000000" w:themeColor="text1"/>
                <w:sz w:val="18"/>
                <w:szCs w:val="18"/>
              </w:rPr>
            </w:pPr>
            <w:r w:rsidRPr="00DA2128">
              <w:rPr>
                <w:rFonts w:eastAsia="Times New Roman" w:cs="Times New Roman"/>
                <w:b/>
                <w:bCs/>
                <w:color w:val="000000" w:themeColor="text1"/>
                <w:sz w:val="18"/>
                <w:szCs w:val="18"/>
              </w:rPr>
              <w:t>Importance</w:t>
            </w:r>
          </w:p>
        </w:tc>
        <w:tc>
          <w:tcPr>
            <w:tcW w:w="278" w:type="pct"/>
            <w:shd w:val="clear" w:color="auto" w:fill="DADADA" w:themeFill="background2" w:themeFillShade="E6"/>
            <w:tcMar>
              <w:left w:w="105" w:type="dxa"/>
              <w:right w:w="105" w:type="dxa"/>
            </w:tcMar>
            <w:textDirection w:val="btLr"/>
          </w:tcPr>
          <w:p w14:paraId="3C0EB2CE" w14:textId="77777777" w:rsidR="00C84210" w:rsidRPr="00DA2128" w:rsidRDefault="00C84210" w:rsidP="00A937C6">
            <w:pPr>
              <w:spacing w:after="200" w:line="240" w:lineRule="auto"/>
              <w:ind w:left="113" w:right="113"/>
              <w:jc w:val="center"/>
              <w:rPr>
                <w:rFonts w:eastAsia="Times New Roman" w:cs="Times New Roman"/>
                <w:color w:val="000000" w:themeColor="text1"/>
                <w:sz w:val="18"/>
                <w:szCs w:val="18"/>
              </w:rPr>
            </w:pPr>
            <w:r w:rsidRPr="00DA2128">
              <w:rPr>
                <w:rFonts w:eastAsia="Times New Roman" w:cs="Times New Roman"/>
                <w:b/>
                <w:bCs/>
                <w:color w:val="000000" w:themeColor="text1"/>
                <w:sz w:val="18"/>
                <w:szCs w:val="18"/>
              </w:rPr>
              <w:t>Feasibility</w:t>
            </w:r>
          </w:p>
        </w:tc>
        <w:tc>
          <w:tcPr>
            <w:tcW w:w="256" w:type="pct"/>
            <w:tcMar>
              <w:left w:w="105" w:type="dxa"/>
              <w:right w:w="105" w:type="dxa"/>
            </w:tcMar>
            <w:textDirection w:val="btLr"/>
          </w:tcPr>
          <w:p w14:paraId="1AEE557D" w14:textId="77777777" w:rsidR="00C84210" w:rsidRPr="00DA2128" w:rsidRDefault="00C84210" w:rsidP="00A937C6">
            <w:pPr>
              <w:spacing w:after="200" w:line="240" w:lineRule="auto"/>
              <w:ind w:left="113" w:right="113"/>
              <w:jc w:val="center"/>
              <w:rPr>
                <w:rFonts w:eastAsia="Times New Roman" w:cs="Times New Roman"/>
                <w:color w:val="000000" w:themeColor="text1"/>
                <w:sz w:val="18"/>
                <w:szCs w:val="18"/>
              </w:rPr>
            </w:pPr>
            <w:r w:rsidRPr="00DA2128">
              <w:rPr>
                <w:rFonts w:eastAsia="Times New Roman" w:cs="Times New Roman"/>
                <w:b/>
                <w:bCs/>
                <w:color w:val="000000" w:themeColor="text1"/>
                <w:sz w:val="18"/>
                <w:szCs w:val="18"/>
              </w:rPr>
              <w:t>Importance</w:t>
            </w:r>
          </w:p>
        </w:tc>
        <w:tc>
          <w:tcPr>
            <w:tcW w:w="256" w:type="pct"/>
            <w:tcMar>
              <w:left w:w="105" w:type="dxa"/>
              <w:right w:w="105" w:type="dxa"/>
            </w:tcMar>
            <w:textDirection w:val="btLr"/>
          </w:tcPr>
          <w:p w14:paraId="44526F48" w14:textId="77777777" w:rsidR="00C84210" w:rsidRPr="00DA2128" w:rsidRDefault="00C84210" w:rsidP="00A937C6">
            <w:pPr>
              <w:spacing w:after="200" w:line="240" w:lineRule="auto"/>
              <w:ind w:left="113" w:right="113"/>
              <w:jc w:val="center"/>
              <w:rPr>
                <w:rFonts w:eastAsia="Times New Roman" w:cs="Times New Roman"/>
                <w:color w:val="000000" w:themeColor="text1"/>
                <w:sz w:val="18"/>
                <w:szCs w:val="18"/>
              </w:rPr>
            </w:pPr>
            <w:r w:rsidRPr="00DA2128">
              <w:rPr>
                <w:rFonts w:eastAsia="Times New Roman" w:cs="Times New Roman"/>
                <w:b/>
                <w:bCs/>
                <w:color w:val="000000" w:themeColor="text1"/>
                <w:sz w:val="18"/>
                <w:szCs w:val="18"/>
              </w:rPr>
              <w:t>Feasibility</w:t>
            </w:r>
          </w:p>
        </w:tc>
        <w:tc>
          <w:tcPr>
            <w:tcW w:w="256" w:type="pct"/>
            <w:shd w:val="clear" w:color="auto" w:fill="DADADA" w:themeFill="background2" w:themeFillShade="E6"/>
            <w:tcMar>
              <w:left w:w="105" w:type="dxa"/>
              <w:right w:w="105" w:type="dxa"/>
            </w:tcMar>
            <w:textDirection w:val="btLr"/>
          </w:tcPr>
          <w:p w14:paraId="2983F2F3" w14:textId="77777777" w:rsidR="00C84210" w:rsidRPr="00DA2128" w:rsidRDefault="00C84210" w:rsidP="00A937C6">
            <w:pPr>
              <w:spacing w:after="200" w:line="240" w:lineRule="auto"/>
              <w:ind w:left="113" w:right="113"/>
              <w:jc w:val="center"/>
              <w:rPr>
                <w:rFonts w:eastAsia="Times New Roman" w:cs="Times New Roman"/>
                <w:color w:val="000000" w:themeColor="text1"/>
                <w:sz w:val="18"/>
                <w:szCs w:val="18"/>
              </w:rPr>
            </w:pPr>
            <w:r w:rsidRPr="00DA2128">
              <w:rPr>
                <w:rFonts w:eastAsia="Times New Roman" w:cs="Times New Roman"/>
                <w:b/>
                <w:bCs/>
                <w:color w:val="000000" w:themeColor="text1"/>
                <w:sz w:val="18"/>
                <w:szCs w:val="18"/>
              </w:rPr>
              <w:t>Importance</w:t>
            </w:r>
          </w:p>
        </w:tc>
        <w:tc>
          <w:tcPr>
            <w:tcW w:w="256" w:type="pct"/>
            <w:shd w:val="clear" w:color="auto" w:fill="DADADA" w:themeFill="background2" w:themeFillShade="E6"/>
            <w:tcMar>
              <w:left w:w="105" w:type="dxa"/>
              <w:right w:w="105" w:type="dxa"/>
            </w:tcMar>
            <w:textDirection w:val="btLr"/>
          </w:tcPr>
          <w:p w14:paraId="460C2D4B" w14:textId="77777777" w:rsidR="00C84210" w:rsidRPr="00DA2128" w:rsidRDefault="00C84210" w:rsidP="00A937C6">
            <w:pPr>
              <w:spacing w:after="200" w:line="240" w:lineRule="auto"/>
              <w:ind w:left="113" w:right="113"/>
              <w:jc w:val="center"/>
              <w:rPr>
                <w:rFonts w:eastAsia="Times New Roman" w:cs="Times New Roman"/>
                <w:color w:val="000000" w:themeColor="text1"/>
                <w:sz w:val="18"/>
                <w:szCs w:val="18"/>
              </w:rPr>
            </w:pPr>
            <w:r w:rsidRPr="00DA2128">
              <w:rPr>
                <w:rFonts w:eastAsia="Times New Roman" w:cs="Times New Roman"/>
                <w:b/>
                <w:bCs/>
                <w:color w:val="000000" w:themeColor="text1"/>
                <w:sz w:val="18"/>
                <w:szCs w:val="18"/>
              </w:rPr>
              <w:t>Feasibility</w:t>
            </w:r>
          </w:p>
        </w:tc>
        <w:tc>
          <w:tcPr>
            <w:tcW w:w="256" w:type="pct"/>
            <w:tcMar>
              <w:left w:w="105" w:type="dxa"/>
              <w:right w:w="105" w:type="dxa"/>
            </w:tcMar>
            <w:textDirection w:val="btLr"/>
          </w:tcPr>
          <w:p w14:paraId="5C3267FE" w14:textId="77777777" w:rsidR="00C84210" w:rsidRPr="00DA2128" w:rsidRDefault="00C84210" w:rsidP="00A937C6">
            <w:pPr>
              <w:spacing w:after="200" w:line="240" w:lineRule="auto"/>
              <w:ind w:left="113" w:right="113"/>
              <w:jc w:val="center"/>
              <w:rPr>
                <w:rFonts w:eastAsia="Times New Roman" w:cs="Times New Roman"/>
                <w:color w:val="000000" w:themeColor="text1"/>
                <w:sz w:val="18"/>
                <w:szCs w:val="18"/>
              </w:rPr>
            </w:pPr>
            <w:r w:rsidRPr="00DA2128">
              <w:rPr>
                <w:rFonts w:eastAsia="Times New Roman" w:cs="Times New Roman"/>
                <w:b/>
                <w:bCs/>
                <w:color w:val="000000" w:themeColor="text1"/>
                <w:sz w:val="18"/>
                <w:szCs w:val="18"/>
              </w:rPr>
              <w:t>Importance</w:t>
            </w:r>
          </w:p>
        </w:tc>
        <w:tc>
          <w:tcPr>
            <w:tcW w:w="256" w:type="pct"/>
            <w:tcMar>
              <w:left w:w="105" w:type="dxa"/>
              <w:right w:w="105" w:type="dxa"/>
            </w:tcMar>
            <w:textDirection w:val="btLr"/>
          </w:tcPr>
          <w:p w14:paraId="14CC5BA2" w14:textId="77777777" w:rsidR="00C84210" w:rsidRPr="00DA2128" w:rsidRDefault="00C84210" w:rsidP="00A937C6">
            <w:pPr>
              <w:spacing w:after="200" w:line="240" w:lineRule="auto"/>
              <w:ind w:left="113" w:right="113"/>
              <w:jc w:val="center"/>
              <w:rPr>
                <w:rFonts w:eastAsia="Times New Roman" w:cs="Times New Roman"/>
                <w:color w:val="000000" w:themeColor="text1"/>
                <w:sz w:val="18"/>
                <w:szCs w:val="18"/>
              </w:rPr>
            </w:pPr>
            <w:r w:rsidRPr="00DA2128">
              <w:rPr>
                <w:rFonts w:eastAsia="Times New Roman" w:cs="Times New Roman"/>
                <w:b/>
                <w:bCs/>
                <w:color w:val="000000" w:themeColor="text1"/>
                <w:sz w:val="18"/>
                <w:szCs w:val="18"/>
              </w:rPr>
              <w:t>Feasibility</w:t>
            </w:r>
          </w:p>
        </w:tc>
        <w:tc>
          <w:tcPr>
            <w:tcW w:w="256" w:type="pct"/>
            <w:shd w:val="clear" w:color="auto" w:fill="DADADA" w:themeFill="background2" w:themeFillShade="E6"/>
            <w:tcMar>
              <w:left w:w="105" w:type="dxa"/>
              <w:right w:w="105" w:type="dxa"/>
            </w:tcMar>
            <w:textDirection w:val="btLr"/>
          </w:tcPr>
          <w:p w14:paraId="7EE41FF4" w14:textId="77777777" w:rsidR="00C84210" w:rsidRPr="00DA2128" w:rsidRDefault="00C84210" w:rsidP="00A937C6">
            <w:pPr>
              <w:spacing w:after="200" w:line="240" w:lineRule="auto"/>
              <w:ind w:left="113" w:right="113"/>
              <w:jc w:val="center"/>
              <w:rPr>
                <w:rFonts w:eastAsia="Times New Roman" w:cs="Times New Roman"/>
                <w:color w:val="000000" w:themeColor="text1"/>
                <w:sz w:val="18"/>
                <w:szCs w:val="18"/>
              </w:rPr>
            </w:pPr>
            <w:r w:rsidRPr="00DA2128">
              <w:rPr>
                <w:rFonts w:eastAsia="Times New Roman" w:cs="Times New Roman"/>
                <w:b/>
                <w:bCs/>
                <w:color w:val="000000" w:themeColor="text1"/>
                <w:sz w:val="18"/>
                <w:szCs w:val="18"/>
              </w:rPr>
              <w:t>Importance</w:t>
            </w:r>
          </w:p>
        </w:tc>
        <w:tc>
          <w:tcPr>
            <w:tcW w:w="256" w:type="pct"/>
            <w:shd w:val="clear" w:color="auto" w:fill="DADADA" w:themeFill="background2" w:themeFillShade="E6"/>
            <w:tcMar>
              <w:left w:w="105" w:type="dxa"/>
              <w:right w:w="105" w:type="dxa"/>
            </w:tcMar>
            <w:textDirection w:val="btLr"/>
          </w:tcPr>
          <w:p w14:paraId="10AAC622" w14:textId="77777777" w:rsidR="00C84210" w:rsidRPr="00DA2128" w:rsidRDefault="00C84210" w:rsidP="00A937C6">
            <w:pPr>
              <w:spacing w:after="200" w:line="240" w:lineRule="auto"/>
              <w:ind w:left="113" w:right="113"/>
              <w:jc w:val="center"/>
              <w:rPr>
                <w:rFonts w:eastAsia="Times New Roman" w:cs="Times New Roman"/>
                <w:color w:val="000000" w:themeColor="text1"/>
                <w:sz w:val="18"/>
                <w:szCs w:val="18"/>
              </w:rPr>
            </w:pPr>
            <w:r w:rsidRPr="00DA2128">
              <w:rPr>
                <w:rFonts w:eastAsia="Times New Roman" w:cs="Times New Roman"/>
                <w:b/>
                <w:bCs/>
                <w:color w:val="000000" w:themeColor="text1"/>
                <w:sz w:val="18"/>
                <w:szCs w:val="18"/>
              </w:rPr>
              <w:t>Feasibility</w:t>
            </w:r>
          </w:p>
        </w:tc>
        <w:tc>
          <w:tcPr>
            <w:tcW w:w="256" w:type="pct"/>
            <w:tcMar>
              <w:left w:w="105" w:type="dxa"/>
              <w:right w:w="105" w:type="dxa"/>
            </w:tcMar>
            <w:textDirection w:val="btLr"/>
          </w:tcPr>
          <w:p w14:paraId="027FCED0" w14:textId="77777777" w:rsidR="00C84210" w:rsidRPr="00DA2128" w:rsidRDefault="00C84210" w:rsidP="00A937C6">
            <w:pPr>
              <w:spacing w:after="200" w:line="240" w:lineRule="auto"/>
              <w:ind w:left="113" w:right="113"/>
              <w:jc w:val="center"/>
              <w:rPr>
                <w:rFonts w:eastAsia="Times New Roman" w:cs="Times New Roman"/>
                <w:color w:val="000000" w:themeColor="text1"/>
                <w:sz w:val="18"/>
                <w:szCs w:val="18"/>
              </w:rPr>
            </w:pPr>
            <w:r w:rsidRPr="00DA2128">
              <w:rPr>
                <w:rFonts w:eastAsia="Times New Roman" w:cs="Times New Roman"/>
                <w:b/>
                <w:bCs/>
                <w:color w:val="000000" w:themeColor="text1"/>
                <w:sz w:val="18"/>
                <w:szCs w:val="18"/>
              </w:rPr>
              <w:t>Importance</w:t>
            </w:r>
          </w:p>
        </w:tc>
        <w:tc>
          <w:tcPr>
            <w:tcW w:w="256" w:type="pct"/>
            <w:tcMar>
              <w:left w:w="105" w:type="dxa"/>
              <w:right w:w="105" w:type="dxa"/>
            </w:tcMar>
            <w:textDirection w:val="btLr"/>
          </w:tcPr>
          <w:p w14:paraId="7C2DA779" w14:textId="77777777" w:rsidR="00C84210" w:rsidRPr="00DA2128" w:rsidRDefault="00C84210" w:rsidP="00A937C6">
            <w:pPr>
              <w:spacing w:after="200" w:line="240" w:lineRule="auto"/>
              <w:ind w:left="113" w:right="113"/>
              <w:jc w:val="center"/>
              <w:rPr>
                <w:rFonts w:eastAsia="Times New Roman" w:cs="Times New Roman"/>
                <w:color w:val="000000" w:themeColor="text1"/>
                <w:sz w:val="18"/>
                <w:szCs w:val="18"/>
              </w:rPr>
            </w:pPr>
            <w:r w:rsidRPr="00DA2128">
              <w:rPr>
                <w:rFonts w:eastAsia="Times New Roman" w:cs="Times New Roman"/>
                <w:b/>
                <w:bCs/>
                <w:color w:val="000000" w:themeColor="text1"/>
                <w:sz w:val="18"/>
                <w:szCs w:val="18"/>
              </w:rPr>
              <w:t>Feasibility</w:t>
            </w:r>
          </w:p>
        </w:tc>
        <w:tc>
          <w:tcPr>
            <w:tcW w:w="264" w:type="pct"/>
            <w:shd w:val="clear" w:color="auto" w:fill="DADADA" w:themeFill="background2" w:themeFillShade="E6"/>
            <w:tcMar>
              <w:left w:w="105" w:type="dxa"/>
              <w:right w:w="105" w:type="dxa"/>
            </w:tcMar>
            <w:textDirection w:val="btLr"/>
          </w:tcPr>
          <w:p w14:paraId="7E7EC9B6" w14:textId="77777777" w:rsidR="00C84210" w:rsidRPr="00DA2128" w:rsidRDefault="00C84210" w:rsidP="00A937C6">
            <w:pPr>
              <w:spacing w:after="200" w:line="240" w:lineRule="auto"/>
              <w:ind w:left="113" w:right="113"/>
              <w:jc w:val="center"/>
              <w:rPr>
                <w:rFonts w:eastAsia="Times New Roman" w:cs="Times New Roman"/>
                <w:color w:val="000000" w:themeColor="text1"/>
                <w:sz w:val="18"/>
                <w:szCs w:val="18"/>
              </w:rPr>
            </w:pPr>
            <w:r w:rsidRPr="00DA2128">
              <w:rPr>
                <w:rFonts w:eastAsia="Times New Roman" w:cs="Times New Roman"/>
                <w:b/>
                <w:bCs/>
                <w:color w:val="000000" w:themeColor="text1"/>
                <w:sz w:val="18"/>
                <w:szCs w:val="18"/>
              </w:rPr>
              <w:t>Importance</w:t>
            </w:r>
          </w:p>
        </w:tc>
        <w:tc>
          <w:tcPr>
            <w:tcW w:w="264" w:type="pct"/>
            <w:shd w:val="clear" w:color="auto" w:fill="DADADA" w:themeFill="background2" w:themeFillShade="E6"/>
            <w:tcMar>
              <w:left w:w="105" w:type="dxa"/>
              <w:right w:w="105" w:type="dxa"/>
            </w:tcMar>
            <w:textDirection w:val="btLr"/>
          </w:tcPr>
          <w:p w14:paraId="610D4C84" w14:textId="77777777" w:rsidR="00C84210" w:rsidRPr="00DA2128" w:rsidRDefault="00C84210" w:rsidP="00A937C6">
            <w:pPr>
              <w:spacing w:after="200" w:line="240" w:lineRule="auto"/>
              <w:ind w:left="113" w:right="113"/>
              <w:jc w:val="center"/>
              <w:rPr>
                <w:rFonts w:eastAsia="Times New Roman" w:cs="Times New Roman"/>
                <w:color w:val="000000" w:themeColor="text1"/>
                <w:sz w:val="18"/>
                <w:szCs w:val="18"/>
              </w:rPr>
            </w:pPr>
            <w:r w:rsidRPr="00DA2128">
              <w:rPr>
                <w:rFonts w:eastAsia="Times New Roman" w:cs="Times New Roman"/>
                <w:b/>
                <w:bCs/>
                <w:color w:val="000000" w:themeColor="text1"/>
                <w:sz w:val="18"/>
                <w:szCs w:val="18"/>
              </w:rPr>
              <w:t>Feasibility</w:t>
            </w:r>
          </w:p>
        </w:tc>
        <w:tc>
          <w:tcPr>
            <w:tcW w:w="256" w:type="pct"/>
            <w:tcMar>
              <w:left w:w="105" w:type="dxa"/>
              <w:right w:w="105" w:type="dxa"/>
            </w:tcMar>
            <w:textDirection w:val="btLr"/>
          </w:tcPr>
          <w:p w14:paraId="563D5877" w14:textId="77777777" w:rsidR="00C84210" w:rsidRPr="00DA2128" w:rsidRDefault="00C84210" w:rsidP="00A937C6">
            <w:pPr>
              <w:spacing w:after="200" w:line="240" w:lineRule="auto"/>
              <w:ind w:left="113" w:right="113"/>
              <w:jc w:val="center"/>
              <w:rPr>
                <w:rFonts w:eastAsia="Times New Roman" w:cs="Times New Roman"/>
                <w:color w:val="000000" w:themeColor="text1"/>
                <w:sz w:val="18"/>
                <w:szCs w:val="18"/>
              </w:rPr>
            </w:pPr>
            <w:r w:rsidRPr="00DA2128">
              <w:rPr>
                <w:rFonts w:eastAsia="Times New Roman" w:cs="Times New Roman"/>
                <w:b/>
                <w:bCs/>
                <w:color w:val="000000" w:themeColor="text1"/>
                <w:sz w:val="18"/>
                <w:szCs w:val="18"/>
              </w:rPr>
              <w:t>Importance</w:t>
            </w:r>
          </w:p>
        </w:tc>
        <w:tc>
          <w:tcPr>
            <w:tcW w:w="256" w:type="pct"/>
            <w:tcMar>
              <w:left w:w="105" w:type="dxa"/>
              <w:right w:w="105" w:type="dxa"/>
            </w:tcMar>
            <w:textDirection w:val="btLr"/>
          </w:tcPr>
          <w:p w14:paraId="0A77B862" w14:textId="77777777" w:rsidR="00C84210" w:rsidRPr="00DA2128" w:rsidRDefault="00C84210" w:rsidP="00A937C6">
            <w:pPr>
              <w:spacing w:after="200" w:line="240" w:lineRule="auto"/>
              <w:ind w:left="113" w:right="113"/>
              <w:jc w:val="center"/>
              <w:rPr>
                <w:rFonts w:eastAsia="Times New Roman" w:cs="Times New Roman"/>
                <w:color w:val="000000" w:themeColor="text1"/>
                <w:sz w:val="18"/>
                <w:szCs w:val="18"/>
              </w:rPr>
            </w:pPr>
            <w:r w:rsidRPr="00DA2128">
              <w:rPr>
                <w:rFonts w:eastAsia="Times New Roman" w:cs="Times New Roman"/>
                <w:b/>
                <w:bCs/>
                <w:color w:val="000000" w:themeColor="text1"/>
                <w:sz w:val="18"/>
                <w:szCs w:val="18"/>
              </w:rPr>
              <w:t>Feasibility</w:t>
            </w:r>
          </w:p>
        </w:tc>
        <w:tc>
          <w:tcPr>
            <w:tcW w:w="253" w:type="pct"/>
            <w:shd w:val="clear" w:color="auto" w:fill="DADADA" w:themeFill="background2" w:themeFillShade="E6"/>
            <w:tcMar>
              <w:left w:w="105" w:type="dxa"/>
              <w:right w:w="105" w:type="dxa"/>
            </w:tcMar>
            <w:textDirection w:val="btLr"/>
          </w:tcPr>
          <w:p w14:paraId="2DE93157" w14:textId="77777777" w:rsidR="00C84210" w:rsidRPr="00DA2128" w:rsidRDefault="00C84210" w:rsidP="00A937C6">
            <w:pPr>
              <w:spacing w:after="200" w:line="240" w:lineRule="auto"/>
              <w:ind w:left="113" w:right="113"/>
              <w:jc w:val="center"/>
              <w:rPr>
                <w:rFonts w:eastAsia="Times New Roman" w:cs="Times New Roman"/>
                <w:color w:val="000000" w:themeColor="text1"/>
                <w:sz w:val="18"/>
                <w:szCs w:val="18"/>
              </w:rPr>
            </w:pPr>
            <w:r w:rsidRPr="00DA2128">
              <w:rPr>
                <w:rFonts w:eastAsia="Times New Roman" w:cs="Times New Roman"/>
                <w:b/>
                <w:bCs/>
                <w:color w:val="000000" w:themeColor="text1"/>
                <w:sz w:val="18"/>
                <w:szCs w:val="18"/>
              </w:rPr>
              <w:t>Importance</w:t>
            </w:r>
          </w:p>
        </w:tc>
        <w:tc>
          <w:tcPr>
            <w:tcW w:w="249" w:type="pct"/>
            <w:shd w:val="clear" w:color="auto" w:fill="DADADA" w:themeFill="background2" w:themeFillShade="E6"/>
            <w:tcMar>
              <w:left w:w="105" w:type="dxa"/>
              <w:right w:w="105" w:type="dxa"/>
            </w:tcMar>
            <w:textDirection w:val="btLr"/>
          </w:tcPr>
          <w:p w14:paraId="661690BF" w14:textId="77777777" w:rsidR="00C84210" w:rsidRPr="00DA2128" w:rsidRDefault="00C84210" w:rsidP="00A937C6">
            <w:pPr>
              <w:spacing w:after="200" w:line="240" w:lineRule="auto"/>
              <w:ind w:left="113" w:right="113"/>
              <w:jc w:val="center"/>
              <w:rPr>
                <w:rFonts w:eastAsia="Times New Roman" w:cs="Times New Roman"/>
                <w:color w:val="000000" w:themeColor="text1"/>
                <w:sz w:val="18"/>
                <w:szCs w:val="18"/>
              </w:rPr>
            </w:pPr>
            <w:r w:rsidRPr="00DA2128">
              <w:rPr>
                <w:rFonts w:eastAsia="Times New Roman" w:cs="Times New Roman"/>
                <w:b/>
                <w:bCs/>
                <w:color w:val="000000" w:themeColor="text1"/>
                <w:sz w:val="18"/>
                <w:szCs w:val="18"/>
              </w:rPr>
              <w:t>Feasibility</w:t>
            </w:r>
          </w:p>
        </w:tc>
      </w:tr>
      <w:tr w:rsidR="00C84210" w:rsidRPr="00DA2128" w14:paraId="2ABC9672" w14:textId="77777777" w:rsidTr="007B0AA8">
        <w:trPr>
          <w:trHeight w:val="300"/>
        </w:trPr>
        <w:tc>
          <w:tcPr>
            <w:tcW w:w="343" w:type="pct"/>
            <w:tcMar>
              <w:left w:w="105" w:type="dxa"/>
              <w:right w:w="105" w:type="dxa"/>
            </w:tcMar>
          </w:tcPr>
          <w:p w14:paraId="669E48A1" w14:textId="77777777" w:rsidR="00C84210" w:rsidRPr="00DA2128" w:rsidRDefault="00C84210"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color w:val="000000" w:themeColor="text1"/>
                <w:sz w:val="18"/>
                <w:szCs w:val="18"/>
              </w:rPr>
              <w:t>Cluster 1</w:t>
            </w:r>
          </w:p>
        </w:tc>
        <w:tc>
          <w:tcPr>
            <w:tcW w:w="277" w:type="pct"/>
            <w:shd w:val="clear" w:color="auto" w:fill="DADADA" w:themeFill="background2" w:themeFillShade="E6"/>
            <w:tcMar>
              <w:left w:w="105" w:type="dxa"/>
              <w:right w:w="105" w:type="dxa"/>
            </w:tcMar>
          </w:tcPr>
          <w:p w14:paraId="6155380E" w14:textId="77777777" w:rsidR="00C84210" w:rsidRPr="00DA2128" w:rsidRDefault="00C84210" w:rsidP="00A937C6">
            <w:pPr>
              <w:spacing w:after="200" w:line="240" w:lineRule="auto"/>
              <w:jc w:val="center"/>
              <w:rPr>
                <w:rFonts w:eastAsia="Aptos" w:cs="Times New Roman"/>
                <w:color w:val="1B2232"/>
                <w:sz w:val="18"/>
                <w:szCs w:val="18"/>
              </w:rPr>
            </w:pPr>
            <w:r w:rsidRPr="00DA2128">
              <w:rPr>
                <w:rFonts w:eastAsia="Aptos" w:cs="Times New Roman"/>
                <w:color w:val="1B2232"/>
                <w:sz w:val="18"/>
                <w:szCs w:val="18"/>
              </w:rPr>
              <w:t>2.83</w:t>
            </w:r>
          </w:p>
        </w:tc>
        <w:tc>
          <w:tcPr>
            <w:tcW w:w="278" w:type="pct"/>
            <w:shd w:val="clear" w:color="auto" w:fill="DADADA" w:themeFill="background2" w:themeFillShade="E6"/>
            <w:tcMar>
              <w:left w:w="105" w:type="dxa"/>
              <w:right w:w="105" w:type="dxa"/>
            </w:tcMar>
          </w:tcPr>
          <w:p w14:paraId="1D545CAF" w14:textId="77777777" w:rsidR="00C84210" w:rsidRPr="00DA2128" w:rsidRDefault="00C84210" w:rsidP="00A937C6">
            <w:pPr>
              <w:spacing w:after="200" w:line="240" w:lineRule="auto"/>
              <w:jc w:val="center"/>
              <w:rPr>
                <w:rFonts w:eastAsia="Aptos" w:cs="Times New Roman"/>
                <w:color w:val="1B2232"/>
                <w:sz w:val="18"/>
                <w:szCs w:val="18"/>
              </w:rPr>
            </w:pPr>
            <w:r w:rsidRPr="00DA2128">
              <w:rPr>
                <w:rFonts w:eastAsia="Aptos" w:cs="Times New Roman"/>
                <w:color w:val="1B2232"/>
                <w:sz w:val="18"/>
                <w:szCs w:val="18"/>
              </w:rPr>
              <w:t>2.74</w:t>
            </w:r>
          </w:p>
        </w:tc>
        <w:tc>
          <w:tcPr>
            <w:tcW w:w="256" w:type="pct"/>
            <w:tcMar>
              <w:left w:w="105" w:type="dxa"/>
              <w:right w:w="105" w:type="dxa"/>
            </w:tcMar>
          </w:tcPr>
          <w:p w14:paraId="4874791E" w14:textId="77777777" w:rsidR="00C84210" w:rsidRPr="00DA2128" w:rsidRDefault="00C84210" w:rsidP="00A937C6">
            <w:pPr>
              <w:spacing w:after="200" w:line="240" w:lineRule="auto"/>
              <w:jc w:val="center"/>
              <w:rPr>
                <w:rFonts w:eastAsia="Times New Roman" w:cs="Times New Roman"/>
                <w:color w:val="1B2232"/>
                <w:sz w:val="18"/>
                <w:szCs w:val="18"/>
              </w:rPr>
            </w:pPr>
            <w:r w:rsidRPr="00DA2128">
              <w:rPr>
                <w:rFonts w:eastAsia="Times New Roman" w:cs="Times New Roman"/>
                <w:color w:val="1B2232"/>
                <w:sz w:val="18"/>
                <w:szCs w:val="18"/>
              </w:rPr>
              <w:t>2.96</w:t>
            </w:r>
          </w:p>
        </w:tc>
        <w:tc>
          <w:tcPr>
            <w:tcW w:w="256" w:type="pct"/>
            <w:tcMar>
              <w:left w:w="105" w:type="dxa"/>
              <w:right w:w="105" w:type="dxa"/>
            </w:tcMar>
          </w:tcPr>
          <w:p w14:paraId="3757620B" w14:textId="77777777" w:rsidR="00C84210" w:rsidRPr="00DA2128" w:rsidRDefault="00C84210" w:rsidP="00A937C6">
            <w:pPr>
              <w:spacing w:after="200" w:line="240" w:lineRule="auto"/>
              <w:jc w:val="center"/>
              <w:rPr>
                <w:rFonts w:eastAsia="Times New Roman" w:cs="Times New Roman"/>
                <w:color w:val="1B2232"/>
                <w:sz w:val="18"/>
                <w:szCs w:val="18"/>
              </w:rPr>
            </w:pPr>
            <w:r w:rsidRPr="00DA2128">
              <w:rPr>
                <w:rFonts w:eastAsia="Times New Roman" w:cs="Times New Roman"/>
                <w:color w:val="1B2232"/>
                <w:sz w:val="18"/>
                <w:szCs w:val="18"/>
              </w:rPr>
              <w:t>2.75</w:t>
            </w:r>
          </w:p>
        </w:tc>
        <w:tc>
          <w:tcPr>
            <w:tcW w:w="256" w:type="pct"/>
            <w:shd w:val="clear" w:color="auto" w:fill="DADADA" w:themeFill="background2" w:themeFillShade="E6"/>
            <w:tcMar>
              <w:left w:w="105" w:type="dxa"/>
              <w:right w:w="105" w:type="dxa"/>
            </w:tcMar>
          </w:tcPr>
          <w:p w14:paraId="2E591A49" w14:textId="77777777" w:rsidR="00C84210" w:rsidRPr="00DA2128" w:rsidRDefault="00C84210"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color w:val="000000" w:themeColor="text1"/>
                <w:sz w:val="18"/>
                <w:szCs w:val="18"/>
              </w:rPr>
              <w:t>3.10</w:t>
            </w:r>
          </w:p>
        </w:tc>
        <w:tc>
          <w:tcPr>
            <w:tcW w:w="256" w:type="pct"/>
            <w:shd w:val="clear" w:color="auto" w:fill="DADADA" w:themeFill="background2" w:themeFillShade="E6"/>
            <w:tcMar>
              <w:left w:w="105" w:type="dxa"/>
              <w:right w:w="105" w:type="dxa"/>
            </w:tcMar>
          </w:tcPr>
          <w:p w14:paraId="2B5237A4" w14:textId="77777777" w:rsidR="00C84210" w:rsidRPr="00DA2128" w:rsidRDefault="00C84210"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color w:val="000000" w:themeColor="text1"/>
                <w:sz w:val="18"/>
                <w:szCs w:val="18"/>
              </w:rPr>
              <w:t>2.58</w:t>
            </w:r>
          </w:p>
        </w:tc>
        <w:tc>
          <w:tcPr>
            <w:tcW w:w="256" w:type="pct"/>
            <w:tcMar>
              <w:left w:w="105" w:type="dxa"/>
              <w:right w:w="105" w:type="dxa"/>
            </w:tcMar>
          </w:tcPr>
          <w:p w14:paraId="0C2D4F3F" w14:textId="77777777" w:rsidR="00C84210" w:rsidRPr="00DA2128" w:rsidRDefault="00C84210" w:rsidP="00A937C6">
            <w:pPr>
              <w:spacing w:after="200" w:line="240" w:lineRule="auto"/>
              <w:jc w:val="center"/>
              <w:rPr>
                <w:rFonts w:eastAsia="Tahoma" w:cs="Times New Roman"/>
                <w:color w:val="1B2232"/>
                <w:sz w:val="18"/>
                <w:szCs w:val="18"/>
              </w:rPr>
            </w:pPr>
            <w:r w:rsidRPr="00DA2128">
              <w:rPr>
                <w:rFonts w:eastAsia="Tahoma" w:cs="Times New Roman"/>
                <w:color w:val="1B2232"/>
                <w:sz w:val="18"/>
                <w:szCs w:val="18"/>
              </w:rPr>
              <w:t>2.91</w:t>
            </w:r>
          </w:p>
        </w:tc>
        <w:tc>
          <w:tcPr>
            <w:tcW w:w="256" w:type="pct"/>
            <w:tcMar>
              <w:left w:w="105" w:type="dxa"/>
              <w:right w:w="105" w:type="dxa"/>
            </w:tcMar>
          </w:tcPr>
          <w:p w14:paraId="4145CDFF" w14:textId="77777777" w:rsidR="00C84210" w:rsidRPr="00DA2128" w:rsidRDefault="00C84210" w:rsidP="00A937C6">
            <w:pPr>
              <w:spacing w:after="200" w:line="240" w:lineRule="auto"/>
              <w:jc w:val="center"/>
              <w:rPr>
                <w:rFonts w:eastAsia="Tahoma" w:cs="Times New Roman"/>
                <w:color w:val="1B2232"/>
                <w:sz w:val="18"/>
                <w:szCs w:val="18"/>
              </w:rPr>
            </w:pPr>
            <w:r w:rsidRPr="00DA2128">
              <w:rPr>
                <w:rFonts w:eastAsia="Tahoma" w:cs="Times New Roman"/>
                <w:color w:val="1B2232"/>
                <w:sz w:val="18"/>
                <w:szCs w:val="18"/>
              </w:rPr>
              <w:t>2.71</w:t>
            </w:r>
          </w:p>
        </w:tc>
        <w:tc>
          <w:tcPr>
            <w:tcW w:w="256" w:type="pct"/>
            <w:shd w:val="clear" w:color="auto" w:fill="DADADA" w:themeFill="background2" w:themeFillShade="E6"/>
            <w:tcMar>
              <w:left w:w="105" w:type="dxa"/>
              <w:right w:w="105" w:type="dxa"/>
            </w:tcMar>
          </w:tcPr>
          <w:p w14:paraId="2DFC8CA0" w14:textId="77777777" w:rsidR="00C84210" w:rsidRPr="00DA2128" w:rsidRDefault="00C84210" w:rsidP="00A937C6">
            <w:pPr>
              <w:spacing w:after="200" w:line="240" w:lineRule="auto"/>
              <w:jc w:val="center"/>
              <w:rPr>
                <w:rFonts w:eastAsia="Tahoma" w:cs="Times New Roman"/>
                <w:color w:val="1B2232"/>
                <w:sz w:val="18"/>
                <w:szCs w:val="18"/>
              </w:rPr>
            </w:pPr>
            <w:r w:rsidRPr="00DA2128">
              <w:rPr>
                <w:rFonts w:eastAsia="Tahoma" w:cs="Times New Roman"/>
                <w:color w:val="1B2232"/>
                <w:sz w:val="18"/>
                <w:szCs w:val="18"/>
              </w:rPr>
              <w:t>3.08</w:t>
            </w:r>
          </w:p>
        </w:tc>
        <w:tc>
          <w:tcPr>
            <w:tcW w:w="256" w:type="pct"/>
            <w:shd w:val="clear" w:color="auto" w:fill="DADADA" w:themeFill="background2" w:themeFillShade="E6"/>
            <w:tcMar>
              <w:left w:w="105" w:type="dxa"/>
              <w:right w:w="105" w:type="dxa"/>
            </w:tcMar>
          </w:tcPr>
          <w:p w14:paraId="4CAB998F" w14:textId="77777777" w:rsidR="00C84210" w:rsidRPr="00DA2128" w:rsidRDefault="00C84210" w:rsidP="00A937C6">
            <w:pPr>
              <w:spacing w:after="200" w:line="240" w:lineRule="auto"/>
              <w:jc w:val="center"/>
              <w:rPr>
                <w:rFonts w:eastAsia="Tahoma" w:cs="Times New Roman"/>
                <w:color w:val="1B2232"/>
                <w:sz w:val="18"/>
                <w:szCs w:val="18"/>
              </w:rPr>
            </w:pPr>
            <w:r w:rsidRPr="00DA2128">
              <w:rPr>
                <w:rFonts w:eastAsia="Tahoma" w:cs="Times New Roman"/>
                <w:color w:val="1B2232"/>
                <w:sz w:val="18"/>
                <w:szCs w:val="18"/>
              </w:rPr>
              <w:t>3.02</w:t>
            </w:r>
          </w:p>
        </w:tc>
        <w:tc>
          <w:tcPr>
            <w:tcW w:w="256" w:type="pct"/>
            <w:tcMar>
              <w:left w:w="105" w:type="dxa"/>
              <w:right w:w="105" w:type="dxa"/>
            </w:tcMar>
          </w:tcPr>
          <w:p w14:paraId="6E2EEF11" w14:textId="77777777" w:rsidR="00C84210" w:rsidRPr="00DA2128" w:rsidRDefault="00C84210" w:rsidP="00A937C6">
            <w:pPr>
              <w:spacing w:after="200" w:line="240" w:lineRule="auto"/>
              <w:jc w:val="center"/>
              <w:rPr>
                <w:rFonts w:eastAsia="Aptos" w:cs="Times New Roman"/>
                <w:color w:val="1B2232"/>
                <w:sz w:val="18"/>
                <w:szCs w:val="18"/>
              </w:rPr>
            </w:pPr>
            <w:r w:rsidRPr="00DA2128">
              <w:rPr>
                <w:rFonts w:eastAsia="Aptos" w:cs="Times New Roman"/>
                <w:color w:val="1B2232"/>
                <w:sz w:val="18"/>
                <w:szCs w:val="18"/>
              </w:rPr>
              <w:t>3.14</w:t>
            </w:r>
          </w:p>
        </w:tc>
        <w:tc>
          <w:tcPr>
            <w:tcW w:w="256" w:type="pct"/>
            <w:tcMar>
              <w:left w:w="105" w:type="dxa"/>
              <w:right w:w="105" w:type="dxa"/>
            </w:tcMar>
          </w:tcPr>
          <w:p w14:paraId="19966380" w14:textId="77777777" w:rsidR="00C84210" w:rsidRPr="00DA2128" w:rsidRDefault="00C84210" w:rsidP="00A937C6">
            <w:pPr>
              <w:spacing w:after="200" w:line="240" w:lineRule="auto"/>
              <w:jc w:val="center"/>
              <w:rPr>
                <w:rFonts w:eastAsia="Tahoma" w:cs="Times New Roman"/>
                <w:color w:val="1B2232"/>
                <w:sz w:val="18"/>
                <w:szCs w:val="18"/>
              </w:rPr>
            </w:pPr>
            <w:r w:rsidRPr="00DA2128">
              <w:rPr>
                <w:rFonts w:eastAsia="Tahoma" w:cs="Times New Roman"/>
                <w:color w:val="1B2232"/>
                <w:sz w:val="18"/>
                <w:szCs w:val="18"/>
              </w:rPr>
              <w:t>2.82</w:t>
            </w:r>
          </w:p>
        </w:tc>
        <w:tc>
          <w:tcPr>
            <w:tcW w:w="264" w:type="pct"/>
            <w:shd w:val="clear" w:color="auto" w:fill="DADADA" w:themeFill="background2" w:themeFillShade="E6"/>
            <w:tcMar>
              <w:left w:w="105" w:type="dxa"/>
              <w:right w:w="105" w:type="dxa"/>
            </w:tcMar>
          </w:tcPr>
          <w:p w14:paraId="3973F6F3" w14:textId="77777777" w:rsidR="00C84210" w:rsidRPr="00DA2128" w:rsidRDefault="00C84210"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color w:val="000000" w:themeColor="text1"/>
                <w:sz w:val="18"/>
                <w:szCs w:val="18"/>
              </w:rPr>
              <w:t>2.97</w:t>
            </w:r>
          </w:p>
        </w:tc>
        <w:tc>
          <w:tcPr>
            <w:tcW w:w="264" w:type="pct"/>
            <w:shd w:val="clear" w:color="auto" w:fill="DADADA" w:themeFill="background2" w:themeFillShade="E6"/>
            <w:tcMar>
              <w:left w:w="105" w:type="dxa"/>
              <w:right w:w="105" w:type="dxa"/>
            </w:tcMar>
          </w:tcPr>
          <w:p w14:paraId="30D58CC3" w14:textId="77777777" w:rsidR="00C84210" w:rsidRPr="00DA2128" w:rsidRDefault="00C84210"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color w:val="000000" w:themeColor="text1"/>
                <w:sz w:val="18"/>
                <w:szCs w:val="18"/>
              </w:rPr>
              <w:t>2.88</w:t>
            </w:r>
          </w:p>
        </w:tc>
        <w:tc>
          <w:tcPr>
            <w:tcW w:w="256" w:type="pct"/>
            <w:tcMar>
              <w:left w:w="105" w:type="dxa"/>
              <w:right w:w="105" w:type="dxa"/>
            </w:tcMar>
          </w:tcPr>
          <w:p w14:paraId="0B85EF6F" w14:textId="77777777" w:rsidR="00C84210" w:rsidRPr="00DA2128" w:rsidRDefault="00C84210"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color w:val="000000" w:themeColor="text1"/>
                <w:sz w:val="18"/>
                <w:szCs w:val="18"/>
              </w:rPr>
              <w:t>3.04</w:t>
            </w:r>
          </w:p>
        </w:tc>
        <w:tc>
          <w:tcPr>
            <w:tcW w:w="256" w:type="pct"/>
            <w:tcMar>
              <w:left w:w="105" w:type="dxa"/>
              <w:right w:w="105" w:type="dxa"/>
            </w:tcMar>
          </w:tcPr>
          <w:p w14:paraId="2C3F1997" w14:textId="77777777" w:rsidR="00C84210" w:rsidRPr="00DA2128" w:rsidRDefault="00C84210"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color w:val="000000" w:themeColor="text1"/>
                <w:sz w:val="18"/>
                <w:szCs w:val="18"/>
              </w:rPr>
              <w:t>2.80</w:t>
            </w:r>
          </w:p>
        </w:tc>
        <w:tc>
          <w:tcPr>
            <w:tcW w:w="253" w:type="pct"/>
            <w:shd w:val="clear" w:color="auto" w:fill="DADADA" w:themeFill="background2" w:themeFillShade="E6"/>
            <w:tcMar>
              <w:left w:w="105" w:type="dxa"/>
              <w:right w:w="105" w:type="dxa"/>
            </w:tcMar>
          </w:tcPr>
          <w:p w14:paraId="0BC58C67" w14:textId="77777777" w:rsidR="00C84210" w:rsidRPr="00DA2128" w:rsidRDefault="00C84210"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color w:val="000000" w:themeColor="text1"/>
                <w:sz w:val="18"/>
                <w:szCs w:val="18"/>
              </w:rPr>
              <w:t>2.63</w:t>
            </w:r>
          </w:p>
        </w:tc>
        <w:tc>
          <w:tcPr>
            <w:tcW w:w="249" w:type="pct"/>
            <w:shd w:val="clear" w:color="auto" w:fill="DADADA" w:themeFill="background2" w:themeFillShade="E6"/>
            <w:tcMar>
              <w:left w:w="105" w:type="dxa"/>
              <w:right w:w="105" w:type="dxa"/>
            </w:tcMar>
          </w:tcPr>
          <w:p w14:paraId="34A7F707" w14:textId="77777777" w:rsidR="00C84210" w:rsidRPr="00DA2128" w:rsidRDefault="00C84210"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color w:val="000000" w:themeColor="text1"/>
                <w:sz w:val="18"/>
                <w:szCs w:val="18"/>
              </w:rPr>
              <w:t>2.55</w:t>
            </w:r>
          </w:p>
        </w:tc>
      </w:tr>
      <w:tr w:rsidR="00C84210" w:rsidRPr="00DA2128" w14:paraId="0A4D0727" w14:textId="77777777" w:rsidTr="007B0AA8">
        <w:trPr>
          <w:trHeight w:val="300"/>
        </w:trPr>
        <w:tc>
          <w:tcPr>
            <w:tcW w:w="343" w:type="pct"/>
            <w:tcMar>
              <w:left w:w="105" w:type="dxa"/>
              <w:right w:w="105" w:type="dxa"/>
            </w:tcMar>
          </w:tcPr>
          <w:p w14:paraId="1FE45128" w14:textId="77777777" w:rsidR="00C84210" w:rsidRPr="00DA2128" w:rsidRDefault="00C84210"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color w:val="000000" w:themeColor="text1"/>
                <w:sz w:val="18"/>
                <w:szCs w:val="18"/>
              </w:rPr>
              <w:t>Cluster 2</w:t>
            </w:r>
          </w:p>
        </w:tc>
        <w:tc>
          <w:tcPr>
            <w:tcW w:w="277" w:type="pct"/>
            <w:shd w:val="clear" w:color="auto" w:fill="DADADA" w:themeFill="background2" w:themeFillShade="E6"/>
            <w:tcMar>
              <w:left w:w="105" w:type="dxa"/>
              <w:right w:w="105" w:type="dxa"/>
            </w:tcMar>
          </w:tcPr>
          <w:p w14:paraId="150A38C9" w14:textId="77777777" w:rsidR="00C84210" w:rsidRPr="00DA2128" w:rsidRDefault="00C84210"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color w:val="000000" w:themeColor="text1"/>
                <w:sz w:val="18"/>
                <w:szCs w:val="18"/>
              </w:rPr>
              <w:t>2.57</w:t>
            </w:r>
          </w:p>
        </w:tc>
        <w:tc>
          <w:tcPr>
            <w:tcW w:w="278" w:type="pct"/>
            <w:shd w:val="clear" w:color="auto" w:fill="DADADA" w:themeFill="background2" w:themeFillShade="E6"/>
            <w:tcMar>
              <w:left w:w="105" w:type="dxa"/>
              <w:right w:w="105" w:type="dxa"/>
            </w:tcMar>
          </w:tcPr>
          <w:p w14:paraId="443134E9" w14:textId="77777777" w:rsidR="00C84210" w:rsidRPr="00DA2128" w:rsidRDefault="00C84210"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color w:val="000000" w:themeColor="text1"/>
                <w:sz w:val="18"/>
                <w:szCs w:val="18"/>
              </w:rPr>
              <w:t>2.68</w:t>
            </w:r>
          </w:p>
        </w:tc>
        <w:tc>
          <w:tcPr>
            <w:tcW w:w="256" w:type="pct"/>
            <w:tcMar>
              <w:left w:w="105" w:type="dxa"/>
              <w:right w:w="105" w:type="dxa"/>
            </w:tcMar>
          </w:tcPr>
          <w:p w14:paraId="2EC7A9D5" w14:textId="77777777" w:rsidR="00C84210" w:rsidRPr="00DA2128" w:rsidRDefault="00C84210" w:rsidP="00A937C6">
            <w:pPr>
              <w:spacing w:after="200" w:line="240" w:lineRule="auto"/>
              <w:jc w:val="center"/>
              <w:rPr>
                <w:rFonts w:eastAsia="Times New Roman" w:cs="Times New Roman"/>
                <w:color w:val="1B2232"/>
                <w:sz w:val="18"/>
                <w:szCs w:val="18"/>
              </w:rPr>
            </w:pPr>
            <w:r w:rsidRPr="00DA2128">
              <w:rPr>
                <w:rFonts w:eastAsia="Times New Roman" w:cs="Times New Roman"/>
                <w:color w:val="1B2232"/>
                <w:sz w:val="18"/>
                <w:szCs w:val="18"/>
              </w:rPr>
              <w:t>2.84</w:t>
            </w:r>
          </w:p>
        </w:tc>
        <w:tc>
          <w:tcPr>
            <w:tcW w:w="256" w:type="pct"/>
            <w:tcMar>
              <w:left w:w="105" w:type="dxa"/>
              <w:right w:w="105" w:type="dxa"/>
            </w:tcMar>
          </w:tcPr>
          <w:p w14:paraId="3CCB2C64" w14:textId="77777777" w:rsidR="00C84210" w:rsidRPr="00DA2128" w:rsidRDefault="00C84210" w:rsidP="00A937C6">
            <w:pPr>
              <w:spacing w:after="200" w:line="240" w:lineRule="auto"/>
              <w:jc w:val="center"/>
              <w:rPr>
                <w:rFonts w:eastAsia="Times New Roman" w:cs="Times New Roman"/>
                <w:color w:val="1B2232"/>
                <w:sz w:val="18"/>
                <w:szCs w:val="18"/>
              </w:rPr>
            </w:pPr>
            <w:r w:rsidRPr="00DA2128">
              <w:rPr>
                <w:rFonts w:eastAsia="Times New Roman" w:cs="Times New Roman"/>
                <w:color w:val="1B2232"/>
                <w:sz w:val="18"/>
                <w:szCs w:val="18"/>
              </w:rPr>
              <w:t>2.81</w:t>
            </w:r>
          </w:p>
        </w:tc>
        <w:tc>
          <w:tcPr>
            <w:tcW w:w="256" w:type="pct"/>
            <w:shd w:val="clear" w:color="auto" w:fill="DADADA" w:themeFill="background2" w:themeFillShade="E6"/>
            <w:tcMar>
              <w:left w:w="105" w:type="dxa"/>
              <w:right w:w="105" w:type="dxa"/>
            </w:tcMar>
          </w:tcPr>
          <w:p w14:paraId="5972D444" w14:textId="77777777" w:rsidR="00C84210" w:rsidRPr="00DA2128" w:rsidRDefault="00C84210" w:rsidP="00A937C6">
            <w:pPr>
              <w:spacing w:after="200" w:line="240" w:lineRule="auto"/>
              <w:jc w:val="center"/>
              <w:rPr>
                <w:rFonts w:eastAsia="Tahoma" w:cs="Times New Roman"/>
                <w:color w:val="1B2232"/>
                <w:sz w:val="18"/>
                <w:szCs w:val="18"/>
              </w:rPr>
            </w:pPr>
            <w:r w:rsidRPr="00DA2128">
              <w:rPr>
                <w:rFonts w:eastAsia="Tahoma" w:cs="Times New Roman"/>
                <w:color w:val="1B2232"/>
                <w:sz w:val="18"/>
                <w:szCs w:val="18"/>
              </w:rPr>
              <w:t>2.92</w:t>
            </w:r>
          </w:p>
        </w:tc>
        <w:tc>
          <w:tcPr>
            <w:tcW w:w="256" w:type="pct"/>
            <w:shd w:val="clear" w:color="auto" w:fill="DADADA" w:themeFill="background2" w:themeFillShade="E6"/>
            <w:tcMar>
              <w:left w:w="105" w:type="dxa"/>
              <w:right w:w="105" w:type="dxa"/>
            </w:tcMar>
          </w:tcPr>
          <w:p w14:paraId="254609AC" w14:textId="77777777" w:rsidR="00C84210" w:rsidRPr="00DA2128" w:rsidRDefault="00C84210" w:rsidP="00A937C6">
            <w:pPr>
              <w:spacing w:after="200" w:line="240" w:lineRule="auto"/>
              <w:jc w:val="center"/>
              <w:rPr>
                <w:rFonts w:eastAsia="Tahoma" w:cs="Times New Roman"/>
                <w:color w:val="1B2232"/>
                <w:sz w:val="18"/>
                <w:szCs w:val="18"/>
              </w:rPr>
            </w:pPr>
            <w:r w:rsidRPr="00DA2128">
              <w:rPr>
                <w:rFonts w:eastAsia="Tahoma" w:cs="Times New Roman"/>
                <w:color w:val="1B2232"/>
                <w:sz w:val="18"/>
                <w:szCs w:val="18"/>
              </w:rPr>
              <w:t>2.71</w:t>
            </w:r>
          </w:p>
        </w:tc>
        <w:tc>
          <w:tcPr>
            <w:tcW w:w="256" w:type="pct"/>
            <w:tcMar>
              <w:left w:w="105" w:type="dxa"/>
              <w:right w:w="105" w:type="dxa"/>
            </w:tcMar>
          </w:tcPr>
          <w:p w14:paraId="0AEDE494" w14:textId="77777777" w:rsidR="00C84210" w:rsidRPr="00DA2128" w:rsidRDefault="00C84210" w:rsidP="00A937C6">
            <w:pPr>
              <w:spacing w:after="200" w:line="240" w:lineRule="auto"/>
              <w:jc w:val="center"/>
              <w:rPr>
                <w:rFonts w:eastAsia="Tahoma" w:cs="Times New Roman"/>
                <w:color w:val="1B2232"/>
                <w:sz w:val="18"/>
                <w:szCs w:val="18"/>
              </w:rPr>
            </w:pPr>
            <w:r w:rsidRPr="00DA2128">
              <w:rPr>
                <w:rFonts w:eastAsia="Tahoma" w:cs="Times New Roman"/>
                <w:color w:val="1B2232"/>
                <w:sz w:val="18"/>
                <w:szCs w:val="18"/>
              </w:rPr>
              <w:t>2.71</w:t>
            </w:r>
          </w:p>
        </w:tc>
        <w:tc>
          <w:tcPr>
            <w:tcW w:w="256" w:type="pct"/>
            <w:tcMar>
              <w:left w:w="105" w:type="dxa"/>
              <w:right w:w="105" w:type="dxa"/>
            </w:tcMar>
          </w:tcPr>
          <w:p w14:paraId="6366B41E" w14:textId="77777777" w:rsidR="00C84210" w:rsidRPr="00DA2128" w:rsidRDefault="00C84210" w:rsidP="00A937C6">
            <w:pPr>
              <w:spacing w:after="200" w:line="240" w:lineRule="auto"/>
              <w:jc w:val="center"/>
              <w:rPr>
                <w:rFonts w:eastAsia="Tahoma" w:cs="Times New Roman"/>
                <w:color w:val="1B2232"/>
                <w:sz w:val="18"/>
                <w:szCs w:val="18"/>
              </w:rPr>
            </w:pPr>
            <w:r w:rsidRPr="00DA2128">
              <w:rPr>
                <w:rFonts w:eastAsia="Tahoma" w:cs="Times New Roman"/>
                <w:color w:val="1B2232"/>
                <w:sz w:val="18"/>
                <w:szCs w:val="18"/>
              </w:rPr>
              <w:t>2.76</w:t>
            </w:r>
          </w:p>
        </w:tc>
        <w:tc>
          <w:tcPr>
            <w:tcW w:w="256" w:type="pct"/>
            <w:shd w:val="clear" w:color="auto" w:fill="DADADA" w:themeFill="background2" w:themeFillShade="E6"/>
            <w:tcMar>
              <w:left w:w="105" w:type="dxa"/>
              <w:right w:w="105" w:type="dxa"/>
            </w:tcMar>
          </w:tcPr>
          <w:p w14:paraId="7618BF22" w14:textId="77777777" w:rsidR="00C84210" w:rsidRPr="00DA2128" w:rsidRDefault="00C84210" w:rsidP="00A937C6">
            <w:pPr>
              <w:spacing w:after="200" w:line="240" w:lineRule="auto"/>
              <w:jc w:val="center"/>
              <w:rPr>
                <w:rFonts w:eastAsia="Tahoma" w:cs="Times New Roman"/>
                <w:color w:val="1B2232"/>
                <w:sz w:val="18"/>
                <w:szCs w:val="18"/>
              </w:rPr>
            </w:pPr>
            <w:r w:rsidRPr="00DA2128">
              <w:rPr>
                <w:rFonts w:eastAsia="Tahoma" w:cs="Times New Roman"/>
                <w:color w:val="1B2232"/>
                <w:sz w:val="18"/>
                <w:szCs w:val="18"/>
              </w:rPr>
              <w:t>3.14</w:t>
            </w:r>
          </w:p>
        </w:tc>
        <w:tc>
          <w:tcPr>
            <w:tcW w:w="256" w:type="pct"/>
            <w:shd w:val="clear" w:color="auto" w:fill="DADADA" w:themeFill="background2" w:themeFillShade="E6"/>
            <w:tcMar>
              <w:left w:w="105" w:type="dxa"/>
              <w:right w:w="105" w:type="dxa"/>
            </w:tcMar>
          </w:tcPr>
          <w:p w14:paraId="2E696C32" w14:textId="77777777" w:rsidR="00C84210" w:rsidRPr="00DA2128" w:rsidRDefault="00C84210" w:rsidP="00A937C6">
            <w:pPr>
              <w:spacing w:after="200" w:line="240" w:lineRule="auto"/>
              <w:jc w:val="center"/>
              <w:rPr>
                <w:rFonts w:eastAsia="Tahoma" w:cs="Times New Roman"/>
                <w:color w:val="1B2232"/>
                <w:sz w:val="18"/>
                <w:szCs w:val="18"/>
              </w:rPr>
            </w:pPr>
            <w:r w:rsidRPr="00DA2128">
              <w:rPr>
                <w:rFonts w:eastAsia="Tahoma" w:cs="Times New Roman"/>
                <w:color w:val="1B2232"/>
                <w:sz w:val="18"/>
                <w:szCs w:val="18"/>
              </w:rPr>
              <w:t>3.10</w:t>
            </w:r>
          </w:p>
        </w:tc>
        <w:tc>
          <w:tcPr>
            <w:tcW w:w="256" w:type="pct"/>
            <w:tcMar>
              <w:left w:w="105" w:type="dxa"/>
              <w:right w:w="105" w:type="dxa"/>
            </w:tcMar>
          </w:tcPr>
          <w:p w14:paraId="1D6882EC" w14:textId="77777777" w:rsidR="00C84210" w:rsidRPr="00DA2128" w:rsidRDefault="00C84210" w:rsidP="00A937C6">
            <w:pPr>
              <w:spacing w:after="200" w:line="240" w:lineRule="auto"/>
              <w:jc w:val="center"/>
              <w:rPr>
                <w:rFonts w:eastAsia="Tahoma" w:cs="Times New Roman"/>
                <w:color w:val="1B2232"/>
                <w:sz w:val="18"/>
                <w:szCs w:val="18"/>
              </w:rPr>
            </w:pPr>
            <w:r w:rsidRPr="00DA2128">
              <w:rPr>
                <w:rFonts w:eastAsia="Tahoma" w:cs="Times New Roman"/>
                <w:color w:val="1B2232"/>
                <w:sz w:val="18"/>
                <w:szCs w:val="18"/>
              </w:rPr>
              <w:t>2.98</w:t>
            </w:r>
          </w:p>
        </w:tc>
        <w:tc>
          <w:tcPr>
            <w:tcW w:w="256" w:type="pct"/>
            <w:tcMar>
              <w:left w:w="105" w:type="dxa"/>
              <w:right w:w="105" w:type="dxa"/>
            </w:tcMar>
          </w:tcPr>
          <w:p w14:paraId="4D735985" w14:textId="77777777" w:rsidR="00C84210" w:rsidRPr="00DA2128" w:rsidRDefault="00C84210" w:rsidP="00A937C6">
            <w:pPr>
              <w:spacing w:after="200" w:line="240" w:lineRule="auto"/>
              <w:jc w:val="center"/>
              <w:rPr>
                <w:rFonts w:eastAsia="Tahoma" w:cs="Times New Roman"/>
                <w:color w:val="1B2232"/>
                <w:sz w:val="18"/>
                <w:szCs w:val="18"/>
              </w:rPr>
            </w:pPr>
            <w:r w:rsidRPr="00DA2128">
              <w:rPr>
                <w:rFonts w:eastAsia="Tahoma" w:cs="Times New Roman"/>
                <w:color w:val="1B2232"/>
                <w:sz w:val="18"/>
                <w:szCs w:val="18"/>
              </w:rPr>
              <w:t>2.88</w:t>
            </w:r>
          </w:p>
        </w:tc>
        <w:tc>
          <w:tcPr>
            <w:tcW w:w="264" w:type="pct"/>
            <w:shd w:val="clear" w:color="auto" w:fill="DADADA" w:themeFill="background2" w:themeFillShade="E6"/>
            <w:tcMar>
              <w:left w:w="105" w:type="dxa"/>
              <w:right w:w="105" w:type="dxa"/>
            </w:tcMar>
          </w:tcPr>
          <w:p w14:paraId="5D3E2F96" w14:textId="77777777" w:rsidR="00C84210" w:rsidRPr="00DA2128" w:rsidRDefault="00C84210" w:rsidP="00A937C6">
            <w:pPr>
              <w:spacing w:after="200" w:line="240" w:lineRule="auto"/>
              <w:jc w:val="center"/>
              <w:rPr>
                <w:rFonts w:eastAsia="Tahoma" w:cs="Times New Roman"/>
                <w:color w:val="1B2232"/>
                <w:sz w:val="18"/>
                <w:szCs w:val="18"/>
              </w:rPr>
            </w:pPr>
            <w:r w:rsidRPr="00DA2128">
              <w:rPr>
                <w:rFonts w:eastAsia="Tahoma" w:cs="Times New Roman"/>
                <w:color w:val="1B2232"/>
                <w:sz w:val="18"/>
                <w:szCs w:val="18"/>
              </w:rPr>
              <w:t>2.82</w:t>
            </w:r>
          </w:p>
        </w:tc>
        <w:tc>
          <w:tcPr>
            <w:tcW w:w="264" w:type="pct"/>
            <w:shd w:val="clear" w:color="auto" w:fill="DADADA" w:themeFill="background2" w:themeFillShade="E6"/>
            <w:tcMar>
              <w:left w:w="105" w:type="dxa"/>
              <w:right w:w="105" w:type="dxa"/>
            </w:tcMar>
          </w:tcPr>
          <w:p w14:paraId="35B47964" w14:textId="77777777" w:rsidR="00C84210" w:rsidRPr="00DA2128" w:rsidRDefault="00C84210" w:rsidP="00A937C6">
            <w:pPr>
              <w:spacing w:after="200" w:line="240" w:lineRule="auto"/>
              <w:jc w:val="center"/>
              <w:rPr>
                <w:rFonts w:eastAsia="Tahoma" w:cs="Times New Roman"/>
                <w:color w:val="1B2232"/>
                <w:sz w:val="18"/>
                <w:szCs w:val="18"/>
              </w:rPr>
            </w:pPr>
            <w:r w:rsidRPr="00DA2128">
              <w:rPr>
                <w:rFonts w:eastAsia="Tahoma" w:cs="Times New Roman"/>
                <w:color w:val="1B2232"/>
                <w:sz w:val="18"/>
                <w:szCs w:val="18"/>
              </w:rPr>
              <w:t>2.82</w:t>
            </w:r>
          </w:p>
        </w:tc>
        <w:tc>
          <w:tcPr>
            <w:tcW w:w="256" w:type="pct"/>
            <w:tcMar>
              <w:left w:w="105" w:type="dxa"/>
              <w:right w:w="105" w:type="dxa"/>
            </w:tcMar>
          </w:tcPr>
          <w:p w14:paraId="67A1BA62" w14:textId="77777777" w:rsidR="00C84210" w:rsidRPr="00DA2128" w:rsidRDefault="00C84210" w:rsidP="00A937C6">
            <w:pPr>
              <w:spacing w:after="200" w:line="240" w:lineRule="auto"/>
              <w:jc w:val="center"/>
              <w:rPr>
                <w:rFonts w:eastAsia="Tahoma" w:cs="Times New Roman"/>
                <w:color w:val="1B2232"/>
                <w:sz w:val="18"/>
                <w:szCs w:val="18"/>
              </w:rPr>
            </w:pPr>
            <w:r w:rsidRPr="00DA2128">
              <w:rPr>
                <w:rFonts w:eastAsia="Tahoma" w:cs="Times New Roman"/>
                <w:color w:val="1B2232"/>
                <w:sz w:val="18"/>
                <w:szCs w:val="18"/>
              </w:rPr>
              <w:t>2.97</w:t>
            </w:r>
          </w:p>
        </w:tc>
        <w:tc>
          <w:tcPr>
            <w:tcW w:w="256" w:type="pct"/>
            <w:tcMar>
              <w:left w:w="105" w:type="dxa"/>
              <w:right w:w="105" w:type="dxa"/>
            </w:tcMar>
          </w:tcPr>
          <w:p w14:paraId="42781F43" w14:textId="77777777" w:rsidR="00C84210" w:rsidRPr="00DA2128" w:rsidRDefault="00C84210" w:rsidP="00A937C6">
            <w:pPr>
              <w:spacing w:after="200" w:line="240" w:lineRule="auto"/>
              <w:jc w:val="center"/>
              <w:rPr>
                <w:rFonts w:eastAsia="Tahoma" w:cs="Times New Roman"/>
                <w:color w:val="1B2232"/>
                <w:sz w:val="18"/>
                <w:szCs w:val="18"/>
              </w:rPr>
            </w:pPr>
            <w:r w:rsidRPr="00DA2128">
              <w:rPr>
                <w:rFonts w:eastAsia="Tahoma" w:cs="Times New Roman"/>
                <w:color w:val="1B2232"/>
                <w:sz w:val="18"/>
                <w:szCs w:val="18"/>
              </w:rPr>
              <w:t>3.00</w:t>
            </w:r>
          </w:p>
        </w:tc>
        <w:tc>
          <w:tcPr>
            <w:tcW w:w="253" w:type="pct"/>
            <w:shd w:val="clear" w:color="auto" w:fill="DADADA" w:themeFill="background2" w:themeFillShade="E6"/>
            <w:tcMar>
              <w:left w:w="105" w:type="dxa"/>
              <w:right w:w="105" w:type="dxa"/>
            </w:tcMar>
          </w:tcPr>
          <w:p w14:paraId="15542921" w14:textId="77777777" w:rsidR="00C84210" w:rsidRPr="00DA2128" w:rsidRDefault="00C84210" w:rsidP="00A937C6">
            <w:pPr>
              <w:spacing w:after="200" w:line="240" w:lineRule="auto"/>
              <w:jc w:val="center"/>
              <w:rPr>
                <w:rFonts w:eastAsia="Tahoma" w:cs="Times New Roman"/>
                <w:color w:val="1B2232"/>
                <w:sz w:val="18"/>
                <w:szCs w:val="18"/>
              </w:rPr>
            </w:pPr>
            <w:r w:rsidRPr="00DA2128">
              <w:rPr>
                <w:rFonts w:eastAsia="Tahoma" w:cs="Times New Roman"/>
                <w:color w:val="1B2232"/>
                <w:sz w:val="18"/>
                <w:szCs w:val="18"/>
              </w:rPr>
              <w:t>2.63</w:t>
            </w:r>
          </w:p>
        </w:tc>
        <w:tc>
          <w:tcPr>
            <w:tcW w:w="249" w:type="pct"/>
            <w:shd w:val="clear" w:color="auto" w:fill="DADADA" w:themeFill="background2" w:themeFillShade="E6"/>
            <w:tcMar>
              <w:left w:w="105" w:type="dxa"/>
              <w:right w:w="105" w:type="dxa"/>
            </w:tcMar>
          </w:tcPr>
          <w:p w14:paraId="58BA9E05" w14:textId="77777777" w:rsidR="00C84210" w:rsidRPr="00DA2128" w:rsidRDefault="00C84210" w:rsidP="00A937C6">
            <w:pPr>
              <w:spacing w:after="200" w:line="240" w:lineRule="auto"/>
              <w:jc w:val="center"/>
              <w:rPr>
                <w:rFonts w:eastAsia="Tahoma" w:cs="Times New Roman"/>
                <w:color w:val="1B2232"/>
                <w:sz w:val="18"/>
                <w:szCs w:val="18"/>
              </w:rPr>
            </w:pPr>
            <w:r w:rsidRPr="00DA2128">
              <w:rPr>
                <w:rFonts w:eastAsia="Tahoma" w:cs="Times New Roman"/>
                <w:color w:val="1B2232"/>
                <w:sz w:val="18"/>
                <w:szCs w:val="18"/>
              </w:rPr>
              <w:t>2.54</w:t>
            </w:r>
          </w:p>
        </w:tc>
      </w:tr>
      <w:tr w:rsidR="00C84210" w:rsidRPr="00DA2128" w14:paraId="2BDFD912" w14:textId="77777777" w:rsidTr="007B0AA8">
        <w:trPr>
          <w:trHeight w:val="300"/>
        </w:trPr>
        <w:tc>
          <w:tcPr>
            <w:tcW w:w="343" w:type="pct"/>
            <w:tcMar>
              <w:left w:w="105" w:type="dxa"/>
              <w:right w:w="105" w:type="dxa"/>
            </w:tcMar>
          </w:tcPr>
          <w:p w14:paraId="481814C5" w14:textId="77777777" w:rsidR="00C84210" w:rsidRPr="00DA2128" w:rsidRDefault="00C84210"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color w:val="000000" w:themeColor="text1"/>
                <w:sz w:val="18"/>
                <w:szCs w:val="18"/>
              </w:rPr>
              <w:t>Cluster 3</w:t>
            </w:r>
          </w:p>
        </w:tc>
        <w:tc>
          <w:tcPr>
            <w:tcW w:w="277" w:type="pct"/>
            <w:shd w:val="clear" w:color="auto" w:fill="DADADA" w:themeFill="background2" w:themeFillShade="E6"/>
            <w:tcMar>
              <w:left w:w="105" w:type="dxa"/>
              <w:right w:w="105" w:type="dxa"/>
            </w:tcMar>
          </w:tcPr>
          <w:p w14:paraId="5EE1ACD8" w14:textId="77777777" w:rsidR="00C84210" w:rsidRPr="00DA2128" w:rsidRDefault="00C84210"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color w:val="000000" w:themeColor="text1"/>
                <w:sz w:val="18"/>
                <w:szCs w:val="18"/>
              </w:rPr>
              <w:t>2.93</w:t>
            </w:r>
          </w:p>
        </w:tc>
        <w:tc>
          <w:tcPr>
            <w:tcW w:w="278" w:type="pct"/>
            <w:shd w:val="clear" w:color="auto" w:fill="DADADA" w:themeFill="background2" w:themeFillShade="E6"/>
            <w:tcMar>
              <w:left w:w="105" w:type="dxa"/>
              <w:right w:w="105" w:type="dxa"/>
            </w:tcMar>
          </w:tcPr>
          <w:p w14:paraId="12B0CE29" w14:textId="77777777" w:rsidR="00C84210" w:rsidRPr="00DA2128" w:rsidRDefault="00C84210"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color w:val="000000" w:themeColor="text1"/>
                <w:sz w:val="18"/>
                <w:szCs w:val="18"/>
              </w:rPr>
              <w:t>2.83</w:t>
            </w:r>
          </w:p>
        </w:tc>
        <w:tc>
          <w:tcPr>
            <w:tcW w:w="256" w:type="pct"/>
            <w:tcMar>
              <w:left w:w="105" w:type="dxa"/>
              <w:right w:w="105" w:type="dxa"/>
            </w:tcMar>
          </w:tcPr>
          <w:p w14:paraId="23E1BFC1" w14:textId="77777777" w:rsidR="00C84210" w:rsidRPr="00DA2128" w:rsidRDefault="00C84210" w:rsidP="00A937C6">
            <w:pPr>
              <w:spacing w:after="200" w:line="240" w:lineRule="auto"/>
              <w:rPr>
                <w:rFonts w:eastAsia="Times New Roman" w:cs="Times New Roman"/>
                <w:color w:val="1B2232"/>
                <w:sz w:val="18"/>
                <w:szCs w:val="18"/>
              </w:rPr>
            </w:pPr>
            <w:r w:rsidRPr="00DA2128">
              <w:rPr>
                <w:rFonts w:eastAsia="Times New Roman" w:cs="Times New Roman"/>
                <w:color w:val="1B2232"/>
                <w:sz w:val="18"/>
                <w:szCs w:val="18"/>
              </w:rPr>
              <w:t>3.01</w:t>
            </w:r>
          </w:p>
        </w:tc>
        <w:tc>
          <w:tcPr>
            <w:tcW w:w="256" w:type="pct"/>
            <w:tcMar>
              <w:left w:w="105" w:type="dxa"/>
              <w:right w:w="105" w:type="dxa"/>
            </w:tcMar>
          </w:tcPr>
          <w:p w14:paraId="2686262F" w14:textId="77777777" w:rsidR="00C84210" w:rsidRPr="00DA2128" w:rsidRDefault="00C84210" w:rsidP="00A937C6">
            <w:pPr>
              <w:spacing w:after="200" w:line="240" w:lineRule="auto"/>
              <w:jc w:val="center"/>
              <w:rPr>
                <w:rFonts w:eastAsia="Times New Roman" w:cs="Times New Roman"/>
                <w:color w:val="1B2232"/>
                <w:sz w:val="18"/>
                <w:szCs w:val="18"/>
              </w:rPr>
            </w:pPr>
            <w:r w:rsidRPr="00DA2128">
              <w:rPr>
                <w:rFonts w:eastAsia="Times New Roman" w:cs="Times New Roman"/>
                <w:color w:val="1B2232"/>
                <w:sz w:val="18"/>
                <w:szCs w:val="18"/>
              </w:rPr>
              <w:t>2.78</w:t>
            </w:r>
          </w:p>
        </w:tc>
        <w:tc>
          <w:tcPr>
            <w:tcW w:w="256" w:type="pct"/>
            <w:shd w:val="clear" w:color="auto" w:fill="DADADA" w:themeFill="background2" w:themeFillShade="E6"/>
            <w:tcMar>
              <w:left w:w="105" w:type="dxa"/>
              <w:right w:w="105" w:type="dxa"/>
            </w:tcMar>
          </w:tcPr>
          <w:p w14:paraId="03738F1A" w14:textId="77777777" w:rsidR="00C84210" w:rsidRPr="00DA2128" w:rsidRDefault="00C84210" w:rsidP="00A937C6">
            <w:pPr>
              <w:spacing w:after="200" w:line="240" w:lineRule="auto"/>
              <w:jc w:val="center"/>
              <w:rPr>
                <w:rFonts w:eastAsia="Tahoma" w:cs="Times New Roman"/>
                <w:color w:val="1B2232"/>
                <w:sz w:val="18"/>
                <w:szCs w:val="18"/>
              </w:rPr>
            </w:pPr>
            <w:r w:rsidRPr="00DA2128">
              <w:rPr>
                <w:rFonts w:eastAsia="Tahoma" w:cs="Times New Roman"/>
                <w:color w:val="1B2232"/>
                <w:sz w:val="18"/>
                <w:szCs w:val="18"/>
              </w:rPr>
              <w:t>3.00</w:t>
            </w:r>
          </w:p>
        </w:tc>
        <w:tc>
          <w:tcPr>
            <w:tcW w:w="256" w:type="pct"/>
            <w:shd w:val="clear" w:color="auto" w:fill="DADADA" w:themeFill="background2" w:themeFillShade="E6"/>
            <w:tcMar>
              <w:left w:w="105" w:type="dxa"/>
              <w:right w:w="105" w:type="dxa"/>
            </w:tcMar>
          </w:tcPr>
          <w:p w14:paraId="03458A80" w14:textId="77777777" w:rsidR="00C84210" w:rsidRPr="00DA2128" w:rsidRDefault="00C84210" w:rsidP="00A937C6">
            <w:pPr>
              <w:spacing w:after="200" w:line="240" w:lineRule="auto"/>
              <w:jc w:val="center"/>
              <w:rPr>
                <w:rFonts w:eastAsia="Tahoma" w:cs="Times New Roman"/>
                <w:color w:val="1B2232"/>
                <w:sz w:val="18"/>
                <w:szCs w:val="18"/>
              </w:rPr>
            </w:pPr>
            <w:r w:rsidRPr="00DA2128">
              <w:rPr>
                <w:rFonts w:eastAsia="Tahoma" w:cs="Times New Roman"/>
                <w:color w:val="1B2232"/>
                <w:sz w:val="18"/>
                <w:szCs w:val="18"/>
              </w:rPr>
              <w:t>2.60</w:t>
            </w:r>
          </w:p>
        </w:tc>
        <w:tc>
          <w:tcPr>
            <w:tcW w:w="256" w:type="pct"/>
            <w:tcMar>
              <w:left w:w="105" w:type="dxa"/>
              <w:right w:w="105" w:type="dxa"/>
            </w:tcMar>
          </w:tcPr>
          <w:p w14:paraId="1DDF10DE" w14:textId="77777777" w:rsidR="00C84210" w:rsidRPr="00DA2128" w:rsidRDefault="00C84210" w:rsidP="00A937C6">
            <w:pPr>
              <w:spacing w:after="200" w:line="240" w:lineRule="auto"/>
              <w:jc w:val="center"/>
              <w:rPr>
                <w:rFonts w:eastAsia="Tahoma" w:cs="Times New Roman"/>
                <w:color w:val="1B2232"/>
                <w:sz w:val="18"/>
                <w:szCs w:val="18"/>
              </w:rPr>
            </w:pPr>
            <w:r w:rsidRPr="00DA2128">
              <w:rPr>
                <w:rFonts w:eastAsia="Tahoma" w:cs="Times New Roman"/>
                <w:color w:val="1B2232"/>
                <w:sz w:val="18"/>
                <w:szCs w:val="18"/>
              </w:rPr>
              <w:t>2.93</w:t>
            </w:r>
          </w:p>
        </w:tc>
        <w:tc>
          <w:tcPr>
            <w:tcW w:w="256" w:type="pct"/>
            <w:tcMar>
              <w:left w:w="105" w:type="dxa"/>
              <w:right w:w="105" w:type="dxa"/>
            </w:tcMar>
          </w:tcPr>
          <w:p w14:paraId="1196C941" w14:textId="77777777" w:rsidR="00C84210" w:rsidRPr="00DA2128" w:rsidRDefault="00C84210" w:rsidP="00A937C6">
            <w:pPr>
              <w:spacing w:after="200" w:line="240" w:lineRule="auto"/>
              <w:jc w:val="center"/>
              <w:rPr>
                <w:rFonts w:eastAsia="Tahoma" w:cs="Times New Roman"/>
                <w:color w:val="1B2232"/>
                <w:sz w:val="18"/>
                <w:szCs w:val="18"/>
              </w:rPr>
            </w:pPr>
            <w:r w:rsidRPr="00DA2128">
              <w:rPr>
                <w:rFonts w:eastAsia="Tahoma" w:cs="Times New Roman"/>
                <w:color w:val="1B2232"/>
                <w:sz w:val="18"/>
                <w:szCs w:val="18"/>
              </w:rPr>
              <w:t>2.74</w:t>
            </w:r>
          </w:p>
        </w:tc>
        <w:tc>
          <w:tcPr>
            <w:tcW w:w="256" w:type="pct"/>
            <w:shd w:val="clear" w:color="auto" w:fill="DADADA" w:themeFill="background2" w:themeFillShade="E6"/>
            <w:tcMar>
              <w:left w:w="105" w:type="dxa"/>
              <w:right w:w="105" w:type="dxa"/>
            </w:tcMar>
          </w:tcPr>
          <w:p w14:paraId="60B37A5C" w14:textId="77777777" w:rsidR="00C84210" w:rsidRPr="00DA2128" w:rsidRDefault="00C84210" w:rsidP="00A937C6">
            <w:pPr>
              <w:spacing w:after="200" w:line="240" w:lineRule="auto"/>
              <w:jc w:val="center"/>
              <w:rPr>
                <w:rFonts w:eastAsia="Tahoma" w:cs="Times New Roman"/>
                <w:color w:val="1B2232"/>
                <w:sz w:val="18"/>
                <w:szCs w:val="18"/>
              </w:rPr>
            </w:pPr>
            <w:r w:rsidRPr="00DA2128">
              <w:rPr>
                <w:rFonts w:eastAsia="Tahoma" w:cs="Times New Roman"/>
                <w:color w:val="1B2232"/>
                <w:sz w:val="18"/>
                <w:szCs w:val="18"/>
              </w:rPr>
              <w:t>3.06</w:t>
            </w:r>
          </w:p>
        </w:tc>
        <w:tc>
          <w:tcPr>
            <w:tcW w:w="256" w:type="pct"/>
            <w:shd w:val="clear" w:color="auto" w:fill="DADADA" w:themeFill="background2" w:themeFillShade="E6"/>
            <w:tcMar>
              <w:left w:w="105" w:type="dxa"/>
              <w:right w:w="105" w:type="dxa"/>
            </w:tcMar>
          </w:tcPr>
          <w:p w14:paraId="6069FAA7" w14:textId="77777777" w:rsidR="00C84210" w:rsidRPr="00DA2128" w:rsidRDefault="00C84210" w:rsidP="00A937C6">
            <w:pPr>
              <w:spacing w:after="200" w:line="240" w:lineRule="auto"/>
              <w:jc w:val="center"/>
              <w:rPr>
                <w:rFonts w:eastAsia="Tahoma" w:cs="Times New Roman"/>
                <w:color w:val="1B2232"/>
                <w:sz w:val="18"/>
                <w:szCs w:val="18"/>
              </w:rPr>
            </w:pPr>
            <w:r w:rsidRPr="00DA2128">
              <w:rPr>
                <w:rFonts w:eastAsia="Tahoma" w:cs="Times New Roman"/>
                <w:color w:val="1B2232"/>
                <w:sz w:val="18"/>
                <w:szCs w:val="18"/>
              </w:rPr>
              <w:t>3.02</w:t>
            </w:r>
          </w:p>
        </w:tc>
        <w:tc>
          <w:tcPr>
            <w:tcW w:w="256" w:type="pct"/>
            <w:tcMar>
              <w:left w:w="105" w:type="dxa"/>
              <w:right w:w="105" w:type="dxa"/>
            </w:tcMar>
          </w:tcPr>
          <w:p w14:paraId="5CC1D3B3" w14:textId="77777777" w:rsidR="00C84210" w:rsidRPr="00DA2128" w:rsidRDefault="00C84210" w:rsidP="00A937C6">
            <w:pPr>
              <w:spacing w:after="200" w:line="240" w:lineRule="auto"/>
              <w:jc w:val="center"/>
              <w:rPr>
                <w:rFonts w:eastAsia="Tahoma" w:cs="Times New Roman"/>
                <w:color w:val="1B2232"/>
                <w:sz w:val="18"/>
                <w:szCs w:val="18"/>
              </w:rPr>
            </w:pPr>
            <w:r w:rsidRPr="00DA2128">
              <w:rPr>
                <w:rFonts w:eastAsia="Tahoma" w:cs="Times New Roman"/>
                <w:color w:val="1B2232"/>
                <w:sz w:val="18"/>
                <w:szCs w:val="18"/>
              </w:rPr>
              <w:t>3.05</w:t>
            </w:r>
          </w:p>
        </w:tc>
        <w:tc>
          <w:tcPr>
            <w:tcW w:w="256" w:type="pct"/>
            <w:tcMar>
              <w:left w:w="105" w:type="dxa"/>
              <w:right w:w="105" w:type="dxa"/>
            </w:tcMar>
          </w:tcPr>
          <w:p w14:paraId="12E35D9C" w14:textId="77777777" w:rsidR="00C84210" w:rsidRPr="00DA2128" w:rsidRDefault="00C84210" w:rsidP="00A937C6">
            <w:pPr>
              <w:spacing w:after="200" w:line="240" w:lineRule="auto"/>
              <w:jc w:val="center"/>
              <w:rPr>
                <w:rFonts w:eastAsia="Tahoma" w:cs="Times New Roman"/>
                <w:color w:val="1B2232"/>
                <w:sz w:val="18"/>
                <w:szCs w:val="18"/>
              </w:rPr>
            </w:pPr>
            <w:r w:rsidRPr="00DA2128">
              <w:rPr>
                <w:rFonts w:eastAsia="Tahoma" w:cs="Times New Roman"/>
                <w:color w:val="1B2232"/>
                <w:sz w:val="18"/>
                <w:szCs w:val="18"/>
              </w:rPr>
              <w:t>2.80</w:t>
            </w:r>
          </w:p>
        </w:tc>
        <w:tc>
          <w:tcPr>
            <w:tcW w:w="264" w:type="pct"/>
            <w:shd w:val="clear" w:color="auto" w:fill="DADADA" w:themeFill="background2" w:themeFillShade="E6"/>
            <w:tcMar>
              <w:left w:w="105" w:type="dxa"/>
              <w:right w:w="105" w:type="dxa"/>
            </w:tcMar>
          </w:tcPr>
          <w:p w14:paraId="378AEC82" w14:textId="77777777" w:rsidR="00C84210" w:rsidRPr="00DA2128" w:rsidRDefault="00C84210" w:rsidP="00A937C6">
            <w:pPr>
              <w:spacing w:after="200" w:line="240" w:lineRule="auto"/>
              <w:jc w:val="center"/>
              <w:rPr>
                <w:rFonts w:eastAsia="Tahoma" w:cs="Times New Roman"/>
                <w:color w:val="1B2232"/>
                <w:sz w:val="18"/>
                <w:szCs w:val="18"/>
              </w:rPr>
            </w:pPr>
            <w:r w:rsidRPr="00DA2128">
              <w:rPr>
                <w:rFonts w:eastAsia="Tahoma" w:cs="Times New Roman"/>
                <w:color w:val="1B2232"/>
                <w:sz w:val="18"/>
                <w:szCs w:val="18"/>
              </w:rPr>
              <w:t>3.01</w:t>
            </w:r>
          </w:p>
        </w:tc>
        <w:tc>
          <w:tcPr>
            <w:tcW w:w="264" w:type="pct"/>
            <w:shd w:val="clear" w:color="auto" w:fill="DADADA" w:themeFill="background2" w:themeFillShade="E6"/>
            <w:tcMar>
              <w:left w:w="105" w:type="dxa"/>
              <w:right w:w="105" w:type="dxa"/>
            </w:tcMar>
          </w:tcPr>
          <w:p w14:paraId="67A011F6" w14:textId="77777777" w:rsidR="00C84210" w:rsidRPr="00DA2128" w:rsidRDefault="00C84210" w:rsidP="00A937C6">
            <w:pPr>
              <w:spacing w:after="200" w:line="240" w:lineRule="auto"/>
              <w:jc w:val="center"/>
              <w:rPr>
                <w:rFonts w:eastAsia="Tahoma" w:cs="Times New Roman"/>
                <w:color w:val="1B2232"/>
                <w:sz w:val="18"/>
                <w:szCs w:val="18"/>
              </w:rPr>
            </w:pPr>
            <w:r w:rsidRPr="00DA2128">
              <w:rPr>
                <w:rFonts w:eastAsia="Tahoma" w:cs="Times New Roman"/>
                <w:color w:val="1B2232"/>
                <w:sz w:val="18"/>
                <w:szCs w:val="18"/>
              </w:rPr>
              <w:t>2.95</w:t>
            </w:r>
          </w:p>
        </w:tc>
        <w:tc>
          <w:tcPr>
            <w:tcW w:w="256" w:type="pct"/>
            <w:tcMar>
              <w:left w:w="105" w:type="dxa"/>
              <w:right w:w="105" w:type="dxa"/>
            </w:tcMar>
          </w:tcPr>
          <w:p w14:paraId="02DE094D" w14:textId="77777777" w:rsidR="00C84210" w:rsidRPr="00DA2128" w:rsidRDefault="00C84210" w:rsidP="00A937C6">
            <w:pPr>
              <w:spacing w:after="200" w:line="240" w:lineRule="auto"/>
              <w:rPr>
                <w:rFonts w:eastAsia="Tahoma" w:cs="Times New Roman"/>
                <w:color w:val="1B2232"/>
                <w:sz w:val="18"/>
                <w:szCs w:val="18"/>
              </w:rPr>
            </w:pPr>
            <w:r w:rsidRPr="00DA2128">
              <w:rPr>
                <w:rFonts w:eastAsia="Tahoma" w:cs="Times New Roman"/>
                <w:color w:val="1B2232"/>
                <w:sz w:val="18"/>
                <w:szCs w:val="18"/>
              </w:rPr>
              <w:t>3.08</w:t>
            </w:r>
          </w:p>
        </w:tc>
        <w:tc>
          <w:tcPr>
            <w:tcW w:w="256" w:type="pct"/>
            <w:tcMar>
              <w:left w:w="105" w:type="dxa"/>
              <w:right w:w="105" w:type="dxa"/>
            </w:tcMar>
          </w:tcPr>
          <w:p w14:paraId="1B1776E9" w14:textId="77777777" w:rsidR="00C84210" w:rsidRPr="00DA2128" w:rsidRDefault="00C84210" w:rsidP="00A937C6">
            <w:pPr>
              <w:spacing w:after="200" w:line="240" w:lineRule="auto"/>
              <w:jc w:val="center"/>
              <w:rPr>
                <w:rFonts w:eastAsia="Tahoma" w:cs="Times New Roman"/>
                <w:color w:val="1B2232"/>
                <w:sz w:val="18"/>
                <w:szCs w:val="18"/>
              </w:rPr>
            </w:pPr>
            <w:r w:rsidRPr="00DA2128">
              <w:rPr>
                <w:rFonts w:eastAsia="Tahoma" w:cs="Times New Roman"/>
                <w:color w:val="1B2232"/>
                <w:sz w:val="18"/>
                <w:szCs w:val="18"/>
              </w:rPr>
              <w:t>2.95</w:t>
            </w:r>
          </w:p>
        </w:tc>
        <w:tc>
          <w:tcPr>
            <w:tcW w:w="253" w:type="pct"/>
            <w:shd w:val="clear" w:color="auto" w:fill="DADADA" w:themeFill="background2" w:themeFillShade="E6"/>
            <w:tcMar>
              <w:left w:w="105" w:type="dxa"/>
              <w:right w:w="105" w:type="dxa"/>
            </w:tcMar>
          </w:tcPr>
          <w:p w14:paraId="6E399B5D" w14:textId="77777777" w:rsidR="00C84210" w:rsidRPr="00DA2128" w:rsidRDefault="00C84210" w:rsidP="00A937C6">
            <w:pPr>
              <w:spacing w:after="200" w:line="240" w:lineRule="auto"/>
              <w:jc w:val="center"/>
              <w:rPr>
                <w:rFonts w:eastAsia="Tahoma" w:cs="Times New Roman"/>
                <w:color w:val="1B2232"/>
                <w:sz w:val="18"/>
                <w:szCs w:val="18"/>
              </w:rPr>
            </w:pPr>
            <w:r w:rsidRPr="00DA2128">
              <w:rPr>
                <w:rFonts w:eastAsia="Tahoma" w:cs="Times New Roman"/>
                <w:color w:val="1B2232"/>
                <w:sz w:val="18"/>
                <w:szCs w:val="18"/>
              </w:rPr>
              <w:t>2.76</w:t>
            </w:r>
          </w:p>
        </w:tc>
        <w:tc>
          <w:tcPr>
            <w:tcW w:w="249" w:type="pct"/>
            <w:shd w:val="clear" w:color="auto" w:fill="DADADA" w:themeFill="background2" w:themeFillShade="E6"/>
            <w:tcMar>
              <w:left w:w="105" w:type="dxa"/>
              <w:right w:w="105" w:type="dxa"/>
            </w:tcMar>
          </w:tcPr>
          <w:p w14:paraId="330A4402" w14:textId="77777777" w:rsidR="00C84210" w:rsidRPr="00DA2128" w:rsidRDefault="00C84210" w:rsidP="00A937C6">
            <w:pPr>
              <w:spacing w:after="200" w:line="240" w:lineRule="auto"/>
              <w:jc w:val="center"/>
              <w:rPr>
                <w:rFonts w:eastAsia="Tahoma" w:cs="Times New Roman"/>
                <w:color w:val="1B2232"/>
                <w:sz w:val="18"/>
                <w:szCs w:val="18"/>
              </w:rPr>
            </w:pPr>
            <w:r w:rsidRPr="00DA2128">
              <w:rPr>
                <w:rFonts w:eastAsia="Tahoma" w:cs="Times New Roman"/>
                <w:color w:val="1B2232"/>
                <w:sz w:val="18"/>
                <w:szCs w:val="18"/>
              </w:rPr>
              <w:t>2.70</w:t>
            </w:r>
          </w:p>
        </w:tc>
      </w:tr>
      <w:tr w:rsidR="00C84210" w:rsidRPr="00DA2128" w14:paraId="5CC5BBD5" w14:textId="77777777" w:rsidTr="007B0AA8">
        <w:trPr>
          <w:trHeight w:val="300"/>
        </w:trPr>
        <w:tc>
          <w:tcPr>
            <w:tcW w:w="343" w:type="pct"/>
            <w:tcMar>
              <w:left w:w="105" w:type="dxa"/>
              <w:right w:w="105" w:type="dxa"/>
            </w:tcMar>
          </w:tcPr>
          <w:p w14:paraId="459740EF" w14:textId="77777777" w:rsidR="00C84210" w:rsidRPr="00DA2128" w:rsidRDefault="00C84210"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color w:val="000000" w:themeColor="text1"/>
                <w:sz w:val="18"/>
                <w:szCs w:val="18"/>
              </w:rPr>
              <w:t>Cluster 4</w:t>
            </w:r>
          </w:p>
        </w:tc>
        <w:tc>
          <w:tcPr>
            <w:tcW w:w="277" w:type="pct"/>
            <w:shd w:val="clear" w:color="auto" w:fill="DADADA" w:themeFill="background2" w:themeFillShade="E6"/>
            <w:tcMar>
              <w:left w:w="105" w:type="dxa"/>
              <w:right w:w="105" w:type="dxa"/>
            </w:tcMar>
          </w:tcPr>
          <w:p w14:paraId="56A2EFE8" w14:textId="77777777" w:rsidR="00C84210" w:rsidRPr="00DA2128" w:rsidRDefault="00C84210"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color w:val="000000" w:themeColor="text1"/>
                <w:sz w:val="18"/>
                <w:szCs w:val="18"/>
              </w:rPr>
              <w:t>2.93</w:t>
            </w:r>
          </w:p>
        </w:tc>
        <w:tc>
          <w:tcPr>
            <w:tcW w:w="278" w:type="pct"/>
            <w:shd w:val="clear" w:color="auto" w:fill="DADADA" w:themeFill="background2" w:themeFillShade="E6"/>
            <w:tcMar>
              <w:left w:w="105" w:type="dxa"/>
              <w:right w:w="105" w:type="dxa"/>
            </w:tcMar>
          </w:tcPr>
          <w:p w14:paraId="43DA8460" w14:textId="77777777" w:rsidR="00C84210" w:rsidRPr="00DA2128" w:rsidRDefault="00C84210"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color w:val="000000" w:themeColor="text1"/>
                <w:sz w:val="18"/>
                <w:szCs w:val="18"/>
              </w:rPr>
              <w:t>2.57</w:t>
            </w:r>
          </w:p>
        </w:tc>
        <w:tc>
          <w:tcPr>
            <w:tcW w:w="256" w:type="pct"/>
            <w:tcMar>
              <w:left w:w="105" w:type="dxa"/>
              <w:right w:w="105" w:type="dxa"/>
            </w:tcMar>
          </w:tcPr>
          <w:p w14:paraId="311542B3" w14:textId="77777777" w:rsidR="00C84210" w:rsidRPr="00DA2128" w:rsidRDefault="00C84210" w:rsidP="00A937C6">
            <w:pPr>
              <w:spacing w:after="200" w:line="240" w:lineRule="auto"/>
              <w:jc w:val="center"/>
              <w:rPr>
                <w:rFonts w:eastAsia="Times New Roman" w:cs="Times New Roman"/>
                <w:color w:val="1B2232"/>
                <w:sz w:val="18"/>
                <w:szCs w:val="18"/>
              </w:rPr>
            </w:pPr>
            <w:r w:rsidRPr="00DA2128">
              <w:rPr>
                <w:rFonts w:eastAsia="Times New Roman" w:cs="Times New Roman"/>
                <w:color w:val="1B2232"/>
                <w:sz w:val="18"/>
                <w:szCs w:val="18"/>
              </w:rPr>
              <w:t>3.09</w:t>
            </w:r>
          </w:p>
        </w:tc>
        <w:tc>
          <w:tcPr>
            <w:tcW w:w="256" w:type="pct"/>
            <w:tcMar>
              <w:left w:w="105" w:type="dxa"/>
              <w:right w:w="105" w:type="dxa"/>
            </w:tcMar>
          </w:tcPr>
          <w:p w14:paraId="17AC8F1E" w14:textId="77777777" w:rsidR="00C84210" w:rsidRPr="00DA2128" w:rsidRDefault="00C84210" w:rsidP="00A937C6">
            <w:pPr>
              <w:spacing w:after="200" w:line="240" w:lineRule="auto"/>
              <w:jc w:val="center"/>
              <w:rPr>
                <w:rFonts w:eastAsia="Times New Roman" w:cs="Times New Roman"/>
                <w:color w:val="1B2232"/>
                <w:sz w:val="18"/>
                <w:szCs w:val="18"/>
              </w:rPr>
            </w:pPr>
            <w:r w:rsidRPr="00DA2128">
              <w:rPr>
                <w:rFonts w:eastAsia="Times New Roman" w:cs="Times New Roman"/>
                <w:color w:val="1B2232"/>
                <w:sz w:val="18"/>
                <w:szCs w:val="18"/>
              </w:rPr>
              <w:t>2.77</w:t>
            </w:r>
          </w:p>
        </w:tc>
        <w:tc>
          <w:tcPr>
            <w:tcW w:w="256" w:type="pct"/>
            <w:shd w:val="clear" w:color="auto" w:fill="DADADA" w:themeFill="background2" w:themeFillShade="E6"/>
            <w:tcMar>
              <w:left w:w="105" w:type="dxa"/>
              <w:right w:w="105" w:type="dxa"/>
            </w:tcMar>
          </w:tcPr>
          <w:p w14:paraId="51FB2D51" w14:textId="77777777" w:rsidR="00C84210" w:rsidRPr="00DA2128" w:rsidRDefault="00C84210" w:rsidP="00A937C6">
            <w:pPr>
              <w:spacing w:after="200" w:line="240" w:lineRule="auto"/>
              <w:jc w:val="center"/>
              <w:rPr>
                <w:rFonts w:eastAsia="Tahoma" w:cs="Times New Roman"/>
                <w:color w:val="1B2232"/>
                <w:sz w:val="18"/>
                <w:szCs w:val="18"/>
              </w:rPr>
            </w:pPr>
            <w:r w:rsidRPr="00DA2128">
              <w:rPr>
                <w:rFonts w:eastAsia="Tahoma" w:cs="Times New Roman"/>
                <w:color w:val="1B2232"/>
                <w:sz w:val="18"/>
                <w:szCs w:val="18"/>
              </w:rPr>
              <w:t>3.17</w:t>
            </w:r>
          </w:p>
        </w:tc>
        <w:tc>
          <w:tcPr>
            <w:tcW w:w="256" w:type="pct"/>
            <w:shd w:val="clear" w:color="auto" w:fill="DADADA" w:themeFill="background2" w:themeFillShade="E6"/>
            <w:tcMar>
              <w:left w:w="105" w:type="dxa"/>
              <w:right w:w="105" w:type="dxa"/>
            </w:tcMar>
          </w:tcPr>
          <w:p w14:paraId="2C0657D7" w14:textId="77777777" w:rsidR="00C84210" w:rsidRPr="00DA2128" w:rsidRDefault="00C84210" w:rsidP="00A937C6">
            <w:pPr>
              <w:spacing w:after="200" w:line="240" w:lineRule="auto"/>
              <w:jc w:val="center"/>
              <w:rPr>
                <w:rFonts w:eastAsia="Tahoma" w:cs="Times New Roman"/>
                <w:color w:val="1B2232"/>
                <w:sz w:val="18"/>
                <w:szCs w:val="18"/>
              </w:rPr>
            </w:pPr>
            <w:r w:rsidRPr="00DA2128">
              <w:rPr>
                <w:rFonts w:eastAsia="Tahoma" w:cs="Times New Roman"/>
                <w:color w:val="1B2232"/>
                <w:sz w:val="18"/>
                <w:szCs w:val="18"/>
              </w:rPr>
              <w:t>2.48</w:t>
            </w:r>
          </w:p>
        </w:tc>
        <w:tc>
          <w:tcPr>
            <w:tcW w:w="256" w:type="pct"/>
            <w:tcMar>
              <w:left w:w="105" w:type="dxa"/>
              <w:right w:w="105" w:type="dxa"/>
            </w:tcMar>
          </w:tcPr>
          <w:p w14:paraId="0A649DAA" w14:textId="77777777" w:rsidR="00C84210" w:rsidRPr="00DA2128" w:rsidRDefault="00C84210" w:rsidP="00A937C6">
            <w:pPr>
              <w:spacing w:after="200" w:line="240" w:lineRule="auto"/>
              <w:jc w:val="center"/>
              <w:rPr>
                <w:rFonts w:eastAsia="Tahoma" w:cs="Times New Roman"/>
                <w:color w:val="1B2232"/>
                <w:sz w:val="18"/>
                <w:szCs w:val="18"/>
              </w:rPr>
            </w:pPr>
            <w:r w:rsidRPr="00DA2128">
              <w:rPr>
                <w:rFonts w:eastAsia="Tahoma" w:cs="Times New Roman"/>
                <w:color w:val="1B2232"/>
                <w:sz w:val="18"/>
                <w:szCs w:val="18"/>
              </w:rPr>
              <w:t>3.03</w:t>
            </w:r>
          </w:p>
        </w:tc>
        <w:tc>
          <w:tcPr>
            <w:tcW w:w="256" w:type="pct"/>
            <w:tcMar>
              <w:left w:w="105" w:type="dxa"/>
              <w:right w:w="105" w:type="dxa"/>
            </w:tcMar>
          </w:tcPr>
          <w:p w14:paraId="51012BF8" w14:textId="77777777" w:rsidR="00C84210" w:rsidRPr="00DA2128" w:rsidRDefault="00C84210" w:rsidP="00A937C6">
            <w:pPr>
              <w:spacing w:after="200" w:line="240" w:lineRule="auto"/>
              <w:jc w:val="center"/>
              <w:rPr>
                <w:rFonts w:eastAsia="Tahoma" w:cs="Times New Roman"/>
                <w:color w:val="1B2232"/>
                <w:sz w:val="18"/>
                <w:szCs w:val="18"/>
              </w:rPr>
            </w:pPr>
            <w:r w:rsidRPr="00DA2128">
              <w:rPr>
                <w:rFonts w:eastAsia="Tahoma" w:cs="Times New Roman"/>
                <w:color w:val="1B2232"/>
                <w:sz w:val="18"/>
                <w:szCs w:val="18"/>
              </w:rPr>
              <w:t>2.57</w:t>
            </w:r>
          </w:p>
        </w:tc>
        <w:tc>
          <w:tcPr>
            <w:tcW w:w="256" w:type="pct"/>
            <w:shd w:val="clear" w:color="auto" w:fill="DADADA" w:themeFill="background2" w:themeFillShade="E6"/>
            <w:tcMar>
              <w:left w:w="105" w:type="dxa"/>
              <w:right w:w="105" w:type="dxa"/>
            </w:tcMar>
          </w:tcPr>
          <w:p w14:paraId="35009F30" w14:textId="77777777" w:rsidR="00C84210" w:rsidRPr="00DA2128" w:rsidRDefault="00C84210" w:rsidP="00A937C6">
            <w:pPr>
              <w:spacing w:after="200" w:line="240" w:lineRule="auto"/>
              <w:jc w:val="center"/>
              <w:rPr>
                <w:rFonts w:eastAsia="Tahoma" w:cs="Times New Roman"/>
                <w:color w:val="1B2232"/>
                <w:sz w:val="18"/>
                <w:szCs w:val="18"/>
              </w:rPr>
            </w:pPr>
            <w:r w:rsidRPr="00DA2128">
              <w:rPr>
                <w:rFonts w:eastAsia="Tahoma" w:cs="Times New Roman"/>
                <w:color w:val="1B2232"/>
                <w:sz w:val="18"/>
                <w:szCs w:val="18"/>
              </w:rPr>
              <w:t>3.26</w:t>
            </w:r>
          </w:p>
        </w:tc>
        <w:tc>
          <w:tcPr>
            <w:tcW w:w="256" w:type="pct"/>
            <w:shd w:val="clear" w:color="auto" w:fill="DADADA" w:themeFill="background2" w:themeFillShade="E6"/>
            <w:tcMar>
              <w:left w:w="105" w:type="dxa"/>
              <w:right w:w="105" w:type="dxa"/>
            </w:tcMar>
          </w:tcPr>
          <w:p w14:paraId="73E7C2F6" w14:textId="77777777" w:rsidR="00C84210" w:rsidRPr="00DA2128" w:rsidRDefault="00C84210" w:rsidP="00A937C6">
            <w:pPr>
              <w:spacing w:after="200" w:line="240" w:lineRule="auto"/>
              <w:jc w:val="center"/>
              <w:rPr>
                <w:rFonts w:eastAsia="Tahoma" w:cs="Times New Roman"/>
                <w:color w:val="1B2232"/>
                <w:sz w:val="18"/>
                <w:szCs w:val="18"/>
              </w:rPr>
            </w:pPr>
            <w:r w:rsidRPr="00DA2128">
              <w:rPr>
                <w:rFonts w:eastAsia="Tahoma" w:cs="Times New Roman"/>
                <w:color w:val="1B2232"/>
                <w:sz w:val="18"/>
                <w:szCs w:val="18"/>
              </w:rPr>
              <w:t>2.92</w:t>
            </w:r>
          </w:p>
        </w:tc>
        <w:tc>
          <w:tcPr>
            <w:tcW w:w="256" w:type="pct"/>
            <w:tcMar>
              <w:left w:w="105" w:type="dxa"/>
              <w:right w:w="105" w:type="dxa"/>
            </w:tcMar>
          </w:tcPr>
          <w:p w14:paraId="1D2F3EFF" w14:textId="77777777" w:rsidR="00C84210" w:rsidRPr="00DA2128" w:rsidRDefault="00C84210" w:rsidP="00A937C6">
            <w:pPr>
              <w:spacing w:after="200" w:line="240" w:lineRule="auto"/>
              <w:jc w:val="center"/>
              <w:rPr>
                <w:rFonts w:eastAsia="Tahoma" w:cs="Times New Roman"/>
                <w:color w:val="1B2232"/>
                <w:sz w:val="18"/>
                <w:szCs w:val="18"/>
              </w:rPr>
            </w:pPr>
            <w:r w:rsidRPr="00DA2128">
              <w:rPr>
                <w:rFonts w:eastAsia="Tahoma" w:cs="Times New Roman"/>
                <w:color w:val="1B2232"/>
                <w:sz w:val="18"/>
                <w:szCs w:val="18"/>
              </w:rPr>
              <w:t>3.14</w:t>
            </w:r>
          </w:p>
        </w:tc>
        <w:tc>
          <w:tcPr>
            <w:tcW w:w="256" w:type="pct"/>
            <w:tcMar>
              <w:left w:w="105" w:type="dxa"/>
              <w:right w:w="105" w:type="dxa"/>
            </w:tcMar>
          </w:tcPr>
          <w:p w14:paraId="38907835" w14:textId="77777777" w:rsidR="00C84210" w:rsidRPr="00DA2128" w:rsidRDefault="00C84210" w:rsidP="00A937C6">
            <w:pPr>
              <w:spacing w:after="200" w:line="240" w:lineRule="auto"/>
              <w:jc w:val="center"/>
              <w:rPr>
                <w:rFonts w:eastAsia="Tahoma" w:cs="Times New Roman"/>
                <w:color w:val="1B2232"/>
                <w:sz w:val="18"/>
                <w:szCs w:val="18"/>
              </w:rPr>
            </w:pPr>
            <w:r w:rsidRPr="00DA2128">
              <w:rPr>
                <w:rFonts w:eastAsia="Tahoma" w:cs="Times New Roman"/>
                <w:color w:val="1B2232"/>
                <w:sz w:val="18"/>
                <w:szCs w:val="18"/>
              </w:rPr>
              <w:t>2.73</w:t>
            </w:r>
          </w:p>
        </w:tc>
        <w:tc>
          <w:tcPr>
            <w:tcW w:w="264" w:type="pct"/>
            <w:shd w:val="clear" w:color="auto" w:fill="DADADA" w:themeFill="background2" w:themeFillShade="E6"/>
            <w:tcMar>
              <w:left w:w="105" w:type="dxa"/>
              <w:right w:w="105" w:type="dxa"/>
            </w:tcMar>
          </w:tcPr>
          <w:p w14:paraId="19604C3E" w14:textId="77777777" w:rsidR="00C84210" w:rsidRPr="00DA2128" w:rsidRDefault="00C84210" w:rsidP="00A937C6">
            <w:pPr>
              <w:spacing w:after="200" w:line="240" w:lineRule="auto"/>
              <w:jc w:val="center"/>
              <w:rPr>
                <w:rFonts w:eastAsia="Tahoma" w:cs="Times New Roman"/>
                <w:color w:val="1B2232"/>
                <w:sz w:val="18"/>
                <w:szCs w:val="18"/>
              </w:rPr>
            </w:pPr>
            <w:r w:rsidRPr="00DA2128">
              <w:rPr>
                <w:rFonts w:eastAsia="Tahoma" w:cs="Times New Roman"/>
                <w:color w:val="1B2232"/>
                <w:sz w:val="18"/>
                <w:szCs w:val="18"/>
              </w:rPr>
              <w:t>3.07</w:t>
            </w:r>
          </w:p>
        </w:tc>
        <w:tc>
          <w:tcPr>
            <w:tcW w:w="264" w:type="pct"/>
            <w:shd w:val="clear" w:color="auto" w:fill="DADADA" w:themeFill="background2" w:themeFillShade="E6"/>
            <w:tcMar>
              <w:left w:w="105" w:type="dxa"/>
              <w:right w:w="105" w:type="dxa"/>
            </w:tcMar>
          </w:tcPr>
          <w:p w14:paraId="1E59A8D6" w14:textId="77777777" w:rsidR="00C84210" w:rsidRPr="00DA2128" w:rsidRDefault="00C84210" w:rsidP="00A937C6">
            <w:pPr>
              <w:spacing w:after="200" w:line="240" w:lineRule="auto"/>
              <w:jc w:val="center"/>
              <w:rPr>
                <w:rFonts w:eastAsia="Tahoma" w:cs="Times New Roman"/>
                <w:color w:val="1B2232"/>
                <w:sz w:val="18"/>
                <w:szCs w:val="18"/>
              </w:rPr>
            </w:pPr>
            <w:r w:rsidRPr="00DA2128">
              <w:rPr>
                <w:rFonts w:eastAsia="Tahoma" w:cs="Times New Roman"/>
                <w:color w:val="1B2232"/>
                <w:sz w:val="18"/>
                <w:szCs w:val="18"/>
              </w:rPr>
              <w:t>2.84</w:t>
            </w:r>
          </w:p>
        </w:tc>
        <w:tc>
          <w:tcPr>
            <w:tcW w:w="256" w:type="pct"/>
            <w:tcMar>
              <w:left w:w="105" w:type="dxa"/>
              <w:right w:w="105" w:type="dxa"/>
            </w:tcMar>
          </w:tcPr>
          <w:p w14:paraId="70AEEA10" w14:textId="77777777" w:rsidR="00C84210" w:rsidRPr="00DA2128" w:rsidRDefault="00C84210" w:rsidP="00A937C6">
            <w:pPr>
              <w:spacing w:after="200" w:line="240" w:lineRule="auto"/>
              <w:jc w:val="center"/>
              <w:rPr>
                <w:rFonts w:eastAsia="Tahoma" w:cs="Times New Roman"/>
                <w:color w:val="1B2232"/>
                <w:sz w:val="18"/>
                <w:szCs w:val="18"/>
              </w:rPr>
            </w:pPr>
            <w:r w:rsidRPr="00DA2128">
              <w:rPr>
                <w:rFonts w:eastAsia="Tahoma" w:cs="Times New Roman"/>
                <w:color w:val="1B2232"/>
                <w:sz w:val="18"/>
                <w:szCs w:val="18"/>
              </w:rPr>
              <w:t>3.22</w:t>
            </w:r>
          </w:p>
        </w:tc>
        <w:tc>
          <w:tcPr>
            <w:tcW w:w="256" w:type="pct"/>
            <w:tcMar>
              <w:left w:w="105" w:type="dxa"/>
              <w:right w:w="105" w:type="dxa"/>
            </w:tcMar>
          </w:tcPr>
          <w:p w14:paraId="01565D3B" w14:textId="77777777" w:rsidR="00C84210" w:rsidRPr="00DA2128" w:rsidRDefault="00C84210" w:rsidP="00A937C6">
            <w:pPr>
              <w:spacing w:after="200" w:line="240" w:lineRule="auto"/>
              <w:jc w:val="center"/>
              <w:rPr>
                <w:rFonts w:eastAsia="Tahoma" w:cs="Times New Roman"/>
                <w:color w:val="1B2232"/>
                <w:sz w:val="18"/>
                <w:szCs w:val="18"/>
              </w:rPr>
            </w:pPr>
            <w:r w:rsidRPr="00DA2128">
              <w:rPr>
                <w:rFonts w:eastAsia="Tahoma" w:cs="Times New Roman"/>
                <w:color w:val="1B2232"/>
                <w:sz w:val="18"/>
                <w:szCs w:val="18"/>
              </w:rPr>
              <w:t>2.87</w:t>
            </w:r>
          </w:p>
        </w:tc>
        <w:tc>
          <w:tcPr>
            <w:tcW w:w="253" w:type="pct"/>
            <w:shd w:val="clear" w:color="auto" w:fill="DADADA" w:themeFill="background2" w:themeFillShade="E6"/>
            <w:tcMar>
              <w:left w:w="105" w:type="dxa"/>
              <w:right w:w="105" w:type="dxa"/>
            </w:tcMar>
          </w:tcPr>
          <w:p w14:paraId="694345D2" w14:textId="77777777" w:rsidR="00C84210" w:rsidRPr="00DA2128" w:rsidRDefault="00C84210" w:rsidP="00A937C6">
            <w:pPr>
              <w:spacing w:after="200" w:line="240" w:lineRule="auto"/>
              <w:jc w:val="center"/>
              <w:rPr>
                <w:rFonts w:eastAsia="Tahoma" w:cs="Times New Roman"/>
                <w:color w:val="1B2232"/>
                <w:sz w:val="18"/>
                <w:szCs w:val="18"/>
              </w:rPr>
            </w:pPr>
            <w:r w:rsidRPr="00DA2128">
              <w:rPr>
                <w:rFonts w:eastAsia="Tahoma" w:cs="Times New Roman"/>
                <w:color w:val="1B2232"/>
                <w:sz w:val="18"/>
                <w:szCs w:val="18"/>
              </w:rPr>
              <w:t>2.90</w:t>
            </w:r>
          </w:p>
        </w:tc>
        <w:tc>
          <w:tcPr>
            <w:tcW w:w="249" w:type="pct"/>
            <w:shd w:val="clear" w:color="auto" w:fill="DADADA" w:themeFill="background2" w:themeFillShade="E6"/>
            <w:tcMar>
              <w:left w:w="105" w:type="dxa"/>
              <w:right w:w="105" w:type="dxa"/>
            </w:tcMar>
          </w:tcPr>
          <w:p w14:paraId="54DA7BA1" w14:textId="77777777" w:rsidR="00C84210" w:rsidRPr="00DA2128" w:rsidRDefault="00C84210" w:rsidP="00A937C6">
            <w:pPr>
              <w:spacing w:after="200" w:line="240" w:lineRule="auto"/>
              <w:jc w:val="center"/>
              <w:rPr>
                <w:rFonts w:eastAsia="Tahoma" w:cs="Times New Roman"/>
                <w:color w:val="1B2232"/>
                <w:sz w:val="18"/>
                <w:szCs w:val="18"/>
              </w:rPr>
            </w:pPr>
            <w:r w:rsidRPr="00DA2128">
              <w:rPr>
                <w:rFonts w:eastAsia="Tahoma" w:cs="Times New Roman"/>
                <w:color w:val="1B2232"/>
                <w:sz w:val="18"/>
                <w:szCs w:val="18"/>
              </w:rPr>
              <w:t>2.50</w:t>
            </w:r>
          </w:p>
        </w:tc>
      </w:tr>
      <w:tr w:rsidR="00C84210" w:rsidRPr="00DA2128" w14:paraId="1D8C647C" w14:textId="77777777" w:rsidTr="007B0AA8">
        <w:trPr>
          <w:trHeight w:val="300"/>
        </w:trPr>
        <w:tc>
          <w:tcPr>
            <w:tcW w:w="343" w:type="pct"/>
            <w:tcMar>
              <w:left w:w="105" w:type="dxa"/>
              <w:right w:w="105" w:type="dxa"/>
            </w:tcMar>
          </w:tcPr>
          <w:p w14:paraId="28C3CD3F" w14:textId="77777777" w:rsidR="00C84210" w:rsidRPr="00DA2128" w:rsidRDefault="00C84210"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color w:val="000000" w:themeColor="text1"/>
                <w:sz w:val="18"/>
                <w:szCs w:val="18"/>
              </w:rPr>
              <w:t>Cluster 5</w:t>
            </w:r>
          </w:p>
        </w:tc>
        <w:tc>
          <w:tcPr>
            <w:tcW w:w="277" w:type="pct"/>
            <w:shd w:val="clear" w:color="auto" w:fill="DADADA" w:themeFill="background2" w:themeFillShade="E6"/>
            <w:tcMar>
              <w:left w:w="105" w:type="dxa"/>
              <w:right w:w="105" w:type="dxa"/>
            </w:tcMar>
          </w:tcPr>
          <w:p w14:paraId="7AA5AED1" w14:textId="77777777" w:rsidR="00C84210" w:rsidRPr="00DA2128" w:rsidRDefault="00C84210"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color w:val="000000" w:themeColor="text1"/>
                <w:sz w:val="18"/>
                <w:szCs w:val="18"/>
              </w:rPr>
              <w:t>2.94</w:t>
            </w:r>
          </w:p>
        </w:tc>
        <w:tc>
          <w:tcPr>
            <w:tcW w:w="278" w:type="pct"/>
            <w:shd w:val="clear" w:color="auto" w:fill="DADADA" w:themeFill="background2" w:themeFillShade="E6"/>
            <w:tcMar>
              <w:left w:w="105" w:type="dxa"/>
              <w:right w:w="105" w:type="dxa"/>
            </w:tcMar>
          </w:tcPr>
          <w:p w14:paraId="41308C53" w14:textId="77777777" w:rsidR="00C84210" w:rsidRPr="00DA2128" w:rsidRDefault="00C84210"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color w:val="000000" w:themeColor="text1"/>
                <w:sz w:val="18"/>
                <w:szCs w:val="18"/>
              </w:rPr>
              <w:t>2.48</w:t>
            </w:r>
          </w:p>
        </w:tc>
        <w:tc>
          <w:tcPr>
            <w:tcW w:w="256" w:type="pct"/>
            <w:tcMar>
              <w:left w:w="105" w:type="dxa"/>
              <w:right w:w="105" w:type="dxa"/>
            </w:tcMar>
          </w:tcPr>
          <w:p w14:paraId="7E84247D" w14:textId="77777777" w:rsidR="00C84210" w:rsidRPr="00DA2128" w:rsidRDefault="00C84210" w:rsidP="00A937C6">
            <w:pPr>
              <w:spacing w:after="200" w:line="240" w:lineRule="auto"/>
              <w:jc w:val="center"/>
              <w:rPr>
                <w:rFonts w:eastAsia="Times New Roman" w:cs="Times New Roman"/>
                <w:color w:val="1B2232"/>
                <w:sz w:val="18"/>
                <w:szCs w:val="18"/>
              </w:rPr>
            </w:pPr>
            <w:r w:rsidRPr="00DA2128">
              <w:rPr>
                <w:rFonts w:eastAsia="Times New Roman" w:cs="Times New Roman"/>
                <w:color w:val="1B2232"/>
                <w:sz w:val="18"/>
                <w:szCs w:val="18"/>
              </w:rPr>
              <w:t>2.93</w:t>
            </w:r>
          </w:p>
        </w:tc>
        <w:tc>
          <w:tcPr>
            <w:tcW w:w="256" w:type="pct"/>
            <w:tcMar>
              <w:left w:w="105" w:type="dxa"/>
              <w:right w:w="105" w:type="dxa"/>
            </w:tcMar>
          </w:tcPr>
          <w:p w14:paraId="2E78D589" w14:textId="77777777" w:rsidR="00C84210" w:rsidRPr="00DA2128" w:rsidRDefault="00C84210" w:rsidP="00A937C6">
            <w:pPr>
              <w:spacing w:after="200" w:line="240" w:lineRule="auto"/>
              <w:jc w:val="center"/>
              <w:rPr>
                <w:rFonts w:eastAsia="Times New Roman" w:cs="Times New Roman"/>
                <w:color w:val="1B2232"/>
                <w:sz w:val="18"/>
                <w:szCs w:val="18"/>
              </w:rPr>
            </w:pPr>
            <w:r w:rsidRPr="00DA2128">
              <w:rPr>
                <w:rFonts w:eastAsia="Times New Roman" w:cs="Times New Roman"/>
                <w:color w:val="1B2232"/>
                <w:sz w:val="18"/>
                <w:szCs w:val="18"/>
              </w:rPr>
              <w:t>2.55</w:t>
            </w:r>
          </w:p>
        </w:tc>
        <w:tc>
          <w:tcPr>
            <w:tcW w:w="256" w:type="pct"/>
            <w:shd w:val="clear" w:color="auto" w:fill="DADADA" w:themeFill="background2" w:themeFillShade="E6"/>
            <w:tcMar>
              <w:left w:w="105" w:type="dxa"/>
              <w:right w:w="105" w:type="dxa"/>
            </w:tcMar>
          </w:tcPr>
          <w:p w14:paraId="6CA4A1A3" w14:textId="77777777" w:rsidR="00C84210" w:rsidRPr="00DA2128" w:rsidRDefault="00C84210" w:rsidP="00A937C6">
            <w:pPr>
              <w:spacing w:after="200" w:line="240" w:lineRule="auto"/>
              <w:jc w:val="center"/>
              <w:rPr>
                <w:rFonts w:eastAsia="Tahoma" w:cs="Times New Roman"/>
                <w:color w:val="1B2232"/>
                <w:sz w:val="18"/>
                <w:szCs w:val="18"/>
              </w:rPr>
            </w:pPr>
            <w:r w:rsidRPr="00DA2128">
              <w:rPr>
                <w:rFonts w:eastAsia="Tahoma" w:cs="Times New Roman"/>
                <w:color w:val="1B2232"/>
                <w:sz w:val="18"/>
                <w:szCs w:val="18"/>
              </w:rPr>
              <w:t>3.17</w:t>
            </w:r>
          </w:p>
        </w:tc>
        <w:tc>
          <w:tcPr>
            <w:tcW w:w="256" w:type="pct"/>
            <w:shd w:val="clear" w:color="auto" w:fill="DADADA" w:themeFill="background2" w:themeFillShade="E6"/>
            <w:tcMar>
              <w:left w:w="105" w:type="dxa"/>
              <w:right w:w="105" w:type="dxa"/>
            </w:tcMar>
          </w:tcPr>
          <w:p w14:paraId="02D9E540" w14:textId="77777777" w:rsidR="00C84210" w:rsidRPr="00DA2128" w:rsidRDefault="00C84210" w:rsidP="00A937C6">
            <w:pPr>
              <w:spacing w:after="200" w:line="240" w:lineRule="auto"/>
              <w:jc w:val="center"/>
              <w:rPr>
                <w:rFonts w:eastAsia="Tahoma" w:cs="Times New Roman"/>
                <w:color w:val="1B2232"/>
                <w:sz w:val="18"/>
                <w:szCs w:val="18"/>
              </w:rPr>
            </w:pPr>
            <w:r w:rsidRPr="00DA2128">
              <w:rPr>
                <w:rFonts w:eastAsia="Tahoma" w:cs="Times New Roman"/>
                <w:color w:val="1B2232"/>
                <w:sz w:val="18"/>
                <w:szCs w:val="18"/>
              </w:rPr>
              <w:t>2.29</w:t>
            </w:r>
          </w:p>
        </w:tc>
        <w:tc>
          <w:tcPr>
            <w:tcW w:w="256" w:type="pct"/>
            <w:tcMar>
              <w:left w:w="105" w:type="dxa"/>
              <w:right w:w="105" w:type="dxa"/>
            </w:tcMar>
          </w:tcPr>
          <w:p w14:paraId="7C3C859D" w14:textId="77777777" w:rsidR="00C84210" w:rsidRPr="00DA2128" w:rsidRDefault="00C84210" w:rsidP="00A937C6">
            <w:pPr>
              <w:spacing w:after="200" w:line="240" w:lineRule="auto"/>
              <w:jc w:val="center"/>
              <w:rPr>
                <w:rFonts w:eastAsia="Tahoma" w:cs="Times New Roman"/>
                <w:color w:val="1B2232"/>
                <w:sz w:val="18"/>
                <w:szCs w:val="18"/>
              </w:rPr>
            </w:pPr>
            <w:r w:rsidRPr="00DA2128">
              <w:rPr>
                <w:rFonts w:eastAsia="Tahoma" w:cs="Times New Roman"/>
                <w:color w:val="1B2232"/>
                <w:sz w:val="18"/>
                <w:szCs w:val="18"/>
              </w:rPr>
              <w:t>3.04</w:t>
            </w:r>
          </w:p>
        </w:tc>
        <w:tc>
          <w:tcPr>
            <w:tcW w:w="256" w:type="pct"/>
            <w:tcMar>
              <w:left w:w="105" w:type="dxa"/>
              <w:right w:w="105" w:type="dxa"/>
            </w:tcMar>
          </w:tcPr>
          <w:p w14:paraId="38DECF2D" w14:textId="77777777" w:rsidR="00C84210" w:rsidRPr="00DA2128" w:rsidRDefault="00C84210" w:rsidP="00A937C6">
            <w:pPr>
              <w:spacing w:after="200" w:line="240" w:lineRule="auto"/>
              <w:jc w:val="center"/>
              <w:rPr>
                <w:rFonts w:eastAsia="Tahoma" w:cs="Times New Roman"/>
                <w:color w:val="1B2232"/>
                <w:sz w:val="18"/>
                <w:szCs w:val="18"/>
              </w:rPr>
            </w:pPr>
            <w:r w:rsidRPr="00DA2128">
              <w:rPr>
                <w:rFonts w:eastAsia="Tahoma" w:cs="Times New Roman"/>
                <w:color w:val="1B2232"/>
                <w:sz w:val="18"/>
                <w:szCs w:val="18"/>
              </w:rPr>
              <w:t>2.58</w:t>
            </w:r>
          </w:p>
        </w:tc>
        <w:tc>
          <w:tcPr>
            <w:tcW w:w="256" w:type="pct"/>
            <w:shd w:val="clear" w:color="auto" w:fill="DADADA" w:themeFill="background2" w:themeFillShade="E6"/>
            <w:tcMar>
              <w:left w:w="105" w:type="dxa"/>
              <w:right w:w="105" w:type="dxa"/>
            </w:tcMar>
          </w:tcPr>
          <w:p w14:paraId="56BEB48F" w14:textId="77777777" w:rsidR="00C84210" w:rsidRPr="00DA2128" w:rsidRDefault="00C84210" w:rsidP="00A937C6">
            <w:pPr>
              <w:spacing w:after="200" w:line="240" w:lineRule="auto"/>
              <w:jc w:val="center"/>
              <w:rPr>
                <w:rFonts w:eastAsia="Tahoma" w:cs="Times New Roman"/>
                <w:color w:val="1B2232"/>
                <w:sz w:val="18"/>
                <w:szCs w:val="18"/>
              </w:rPr>
            </w:pPr>
            <w:r w:rsidRPr="00DA2128">
              <w:rPr>
                <w:rFonts w:eastAsia="Tahoma" w:cs="Times New Roman"/>
                <w:color w:val="1B2232"/>
                <w:sz w:val="18"/>
                <w:szCs w:val="18"/>
              </w:rPr>
              <w:t>3.00</w:t>
            </w:r>
          </w:p>
        </w:tc>
        <w:tc>
          <w:tcPr>
            <w:tcW w:w="256" w:type="pct"/>
            <w:shd w:val="clear" w:color="auto" w:fill="DADADA" w:themeFill="background2" w:themeFillShade="E6"/>
            <w:tcMar>
              <w:left w:w="105" w:type="dxa"/>
              <w:right w:w="105" w:type="dxa"/>
            </w:tcMar>
          </w:tcPr>
          <w:p w14:paraId="6D21A92A" w14:textId="77777777" w:rsidR="00C84210" w:rsidRPr="00DA2128" w:rsidRDefault="00C84210" w:rsidP="00A937C6">
            <w:pPr>
              <w:spacing w:after="200" w:line="240" w:lineRule="auto"/>
              <w:jc w:val="center"/>
              <w:rPr>
                <w:rFonts w:eastAsia="Tahoma" w:cs="Times New Roman"/>
                <w:color w:val="1B2232"/>
                <w:sz w:val="18"/>
                <w:szCs w:val="18"/>
              </w:rPr>
            </w:pPr>
            <w:r w:rsidRPr="00DA2128">
              <w:rPr>
                <w:rFonts w:eastAsia="Tahoma" w:cs="Times New Roman"/>
                <w:color w:val="1B2232"/>
                <w:sz w:val="18"/>
                <w:szCs w:val="18"/>
              </w:rPr>
              <w:t>2.86</w:t>
            </w:r>
          </w:p>
        </w:tc>
        <w:tc>
          <w:tcPr>
            <w:tcW w:w="256" w:type="pct"/>
            <w:tcMar>
              <w:left w:w="105" w:type="dxa"/>
              <w:right w:w="105" w:type="dxa"/>
            </w:tcMar>
          </w:tcPr>
          <w:p w14:paraId="3F639A95" w14:textId="77777777" w:rsidR="00C84210" w:rsidRPr="00DA2128" w:rsidRDefault="00C84210" w:rsidP="00A937C6">
            <w:pPr>
              <w:spacing w:after="200" w:line="240" w:lineRule="auto"/>
              <w:jc w:val="center"/>
              <w:rPr>
                <w:rFonts w:eastAsia="Tahoma" w:cs="Times New Roman"/>
                <w:color w:val="1B2232"/>
                <w:sz w:val="18"/>
                <w:szCs w:val="18"/>
              </w:rPr>
            </w:pPr>
            <w:r w:rsidRPr="00DA2128">
              <w:rPr>
                <w:rFonts w:eastAsia="Tahoma" w:cs="Times New Roman"/>
                <w:color w:val="1B2232"/>
                <w:sz w:val="18"/>
                <w:szCs w:val="18"/>
              </w:rPr>
              <w:t>3.26</w:t>
            </w:r>
          </w:p>
        </w:tc>
        <w:tc>
          <w:tcPr>
            <w:tcW w:w="256" w:type="pct"/>
            <w:tcMar>
              <w:left w:w="105" w:type="dxa"/>
              <w:right w:w="105" w:type="dxa"/>
            </w:tcMar>
          </w:tcPr>
          <w:p w14:paraId="6B2E1660" w14:textId="77777777" w:rsidR="00C84210" w:rsidRPr="00DA2128" w:rsidRDefault="00C84210" w:rsidP="00A937C6">
            <w:pPr>
              <w:spacing w:after="200" w:line="240" w:lineRule="auto"/>
              <w:jc w:val="center"/>
              <w:rPr>
                <w:rFonts w:eastAsia="Tahoma" w:cs="Times New Roman"/>
                <w:color w:val="1B2232"/>
                <w:sz w:val="18"/>
                <w:szCs w:val="18"/>
              </w:rPr>
            </w:pPr>
            <w:r w:rsidRPr="00DA2128">
              <w:rPr>
                <w:rFonts w:eastAsia="Tahoma" w:cs="Times New Roman"/>
                <w:color w:val="1B2232"/>
                <w:sz w:val="18"/>
                <w:szCs w:val="18"/>
              </w:rPr>
              <w:t>2.61</w:t>
            </w:r>
          </w:p>
        </w:tc>
        <w:tc>
          <w:tcPr>
            <w:tcW w:w="264" w:type="pct"/>
            <w:shd w:val="clear" w:color="auto" w:fill="DADADA" w:themeFill="background2" w:themeFillShade="E6"/>
            <w:tcMar>
              <w:left w:w="105" w:type="dxa"/>
              <w:right w:w="105" w:type="dxa"/>
            </w:tcMar>
          </w:tcPr>
          <w:p w14:paraId="621D4F51" w14:textId="77777777" w:rsidR="00C84210" w:rsidRPr="00DA2128" w:rsidRDefault="00C84210" w:rsidP="00A937C6">
            <w:pPr>
              <w:spacing w:after="200" w:line="240" w:lineRule="auto"/>
              <w:jc w:val="center"/>
              <w:rPr>
                <w:rFonts w:eastAsia="Tahoma" w:cs="Times New Roman"/>
                <w:color w:val="1B2232"/>
                <w:sz w:val="18"/>
                <w:szCs w:val="18"/>
              </w:rPr>
            </w:pPr>
            <w:r w:rsidRPr="00DA2128">
              <w:rPr>
                <w:rFonts w:eastAsia="Tahoma" w:cs="Times New Roman"/>
                <w:color w:val="1B2232"/>
                <w:sz w:val="18"/>
                <w:szCs w:val="18"/>
              </w:rPr>
              <w:t>3.08</w:t>
            </w:r>
          </w:p>
        </w:tc>
        <w:tc>
          <w:tcPr>
            <w:tcW w:w="264" w:type="pct"/>
            <w:shd w:val="clear" w:color="auto" w:fill="DADADA" w:themeFill="background2" w:themeFillShade="E6"/>
            <w:tcMar>
              <w:left w:w="105" w:type="dxa"/>
              <w:right w:w="105" w:type="dxa"/>
            </w:tcMar>
          </w:tcPr>
          <w:p w14:paraId="1978CCBD" w14:textId="77777777" w:rsidR="00C84210" w:rsidRPr="00DA2128" w:rsidRDefault="00C84210" w:rsidP="00A937C6">
            <w:pPr>
              <w:spacing w:after="200" w:line="240" w:lineRule="auto"/>
              <w:jc w:val="center"/>
              <w:rPr>
                <w:rFonts w:eastAsia="Tahoma" w:cs="Times New Roman"/>
                <w:color w:val="1B2232"/>
                <w:sz w:val="18"/>
                <w:szCs w:val="18"/>
              </w:rPr>
            </w:pPr>
            <w:r w:rsidRPr="00DA2128">
              <w:rPr>
                <w:rFonts w:eastAsia="Tahoma" w:cs="Times New Roman"/>
                <w:color w:val="1B2232"/>
                <w:sz w:val="18"/>
                <w:szCs w:val="18"/>
              </w:rPr>
              <w:t>2.69</w:t>
            </w:r>
          </w:p>
        </w:tc>
        <w:tc>
          <w:tcPr>
            <w:tcW w:w="256" w:type="pct"/>
            <w:tcMar>
              <w:left w:w="105" w:type="dxa"/>
              <w:right w:w="105" w:type="dxa"/>
            </w:tcMar>
          </w:tcPr>
          <w:p w14:paraId="4A53413B" w14:textId="77777777" w:rsidR="00C84210" w:rsidRPr="00DA2128" w:rsidRDefault="00C84210" w:rsidP="00A937C6">
            <w:pPr>
              <w:spacing w:after="200" w:line="240" w:lineRule="auto"/>
              <w:jc w:val="center"/>
              <w:rPr>
                <w:rFonts w:eastAsia="Tahoma" w:cs="Times New Roman"/>
                <w:color w:val="1B2232"/>
                <w:sz w:val="18"/>
                <w:szCs w:val="18"/>
              </w:rPr>
            </w:pPr>
            <w:r w:rsidRPr="00DA2128">
              <w:rPr>
                <w:rFonts w:eastAsia="Tahoma" w:cs="Times New Roman"/>
                <w:color w:val="1B2232"/>
                <w:sz w:val="18"/>
                <w:szCs w:val="18"/>
              </w:rPr>
              <w:t>3.14</w:t>
            </w:r>
          </w:p>
        </w:tc>
        <w:tc>
          <w:tcPr>
            <w:tcW w:w="256" w:type="pct"/>
            <w:tcMar>
              <w:left w:w="105" w:type="dxa"/>
              <w:right w:w="105" w:type="dxa"/>
            </w:tcMar>
          </w:tcPr>
          <w:p w14:paraId="76FA54B7" w14:textId="77777777" w:rsidR="00C84210" w:rsidRPr="00DA2128" w:rsidRDefault="00C84210" w:rsidP="00A937C6">
            <w:pPr>
              <w:spacing w:after="200" w:line="240" w:lineRule="auto"/>
              <w:jc w:val="center"/>
              <w:rPr>
                <w:rFonts w:eastAsia="Tahoma" w:cs="Times New Roman"/>
                <w:color w:val="1B2232"/>
                <w:sz w:val="18"/>
                <w:szCs w:val="18"/>
              </w:rPr>
            </w:pPr>
            <w:r w:rsidRPr="00DA2128">
              <w:rPr>
                <w:rFonts w:eastAsia="Tahoma" w:cs="Times New Roman"/>
                <w:color w:val="1B2232"/>
                <w:sz w:val="18"/>
                <w:szCs w:val="18"/>
              </w:rPr>
              <w:t>2.61</w:t>
            </w:r>
          </w:p>
        </w:tc>
        <w:tc>
          <w:tcPr>
            <w:tcW w:w="253" w:type="pct"/>
            <w:shd w:val="clear" w:color="auto" w:fill="DADADA" w:themeFill="background2" w:themeFillShade="E6"/>
            <w:tcMar>
              <w:left w:w="105" w:type="dxa"/>
              <w:right w:w="105" w:type="dxa"/>
            </w:tcMar>
          </w:tcPr>
          <w:p w14:paraId="7C90D9FA" w14:textId="77777777" w:rsidR="00C84210" w:rsidRPr="00DA2128" w:rsidRDefault="00C84210" w:rsidP="00A937C6">
            <w:pPr>
              <w:spacing w:after="200" w:line="240" w:lineRule="auto"/>
              <w:jc w:val="center"/>
              <w:rPr>
                <w:rFonts w:eastAsia="Tahoma" w:cs="Times New Roman"/>
                <w:color w:val="1B2232"/>
                <w:sz w:val="18"/>
                <w:szCs w:val="18"/>
              </w:rPr>
            </w:pPr>
            <w:r w:rsidRPr="00DA2128">
              <w:rPr>
                <w:rFonts w:eastAsia="Tahoma" w:cs="Times New Roman"/>
                <w:color w:val="1B2232"/>
                <w:sz w:val="18"/>
                <w:szCs w:val="18"/>
              </w:rPr>
              <w:t>2.81</w:t>
            </w:r>
          </w:p>
        </w:tc>
        <w:tc>
          <w:tcPr>
            <w:tcW w:w="249" w:type="pct"/>
            <w:shd w:val="clear" w:color="auto" w:fill="DADADA" w:themeFill="background2" w:themeFillShade="E6"/>
            <w:tcMar>
              <w:left w:w="105" w:type="dxa"/>
              <w:right w:w="105" w:type="dxa"/>
            </w:tcMar>
          </w:tcPr>
          <w:p w14:paraId="5C07426E" w14:textId="77777777" w:rsidR="00C84210" w:rsidRPr="00DA2128" w:rsidRDefault="00C84210" w:rsidP="00A937C6">
            <w:pPr>
              <w:spacing w:after="200" w:line="240" w:lineRule="auto"/>
              <w:jc w:val="center"/>
              <w:rPr>
                <w:rFonts w:eastAsia="Tahoma" w:cs="Times New Roman"/>
                <w:color w:val="1B2232"/>
                <w:sz w:val="18"/>
                <w:szCs w:val="18"/>
              </w:rPr>
            </w:pPr>
            <w:r w:rsidRPr="00DA2128">
              <w:rPr>
                <w:rFonts w:eastAsia="Tahoma" w:cs="Times New Roman"/>
                <w:color w:val="1B2232"/>
                <w:sz w:val="18"/>
                <w:szCs w:val="18"/>
              </w:rPr>
              <w:t>2.38</w:t>
            </w:r>
          </w:p>
        </w:tc>
      </w:tr>
      <w:tr w:rsidR="00C84210" w:rsidRPr="00DA2128" w14:paraId="2BC07CB0" w14:textId="77777777" w:rsidTr="007B0AA8">
        <w:trPr>
          <w:trHeight w:val="300"/>
        </w:trPr>
        <w:tc>
          <w:tcPr>
            <w:tcW w:w="343" w:type="pct"/>
            <w:tcMar>
              <w:left w:w="105" w:type="dxa"/>
              <w:right w:w="105" w:type="dxa"/>
            </w:tcMar>
          </w:tcPr>
          <w:p w14:paraId="2DF79974" w14:textId="77777777" w:rsidR="00C84210" w:rsidRPr="00DA2128" w:rsidRDefault="00C84210"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color w:val="000000" w:themeColor="text1"/>
                <w:sz w:val="18"/>
                <w:szCs w:val="18"/>
              </w:rPr>
              <w:t>Cluster 6</w:t>
            </w:r>
          </w:p>
        </w:tc>
        <w:tc>
          <w:tcPr>
            <w:tcW w:w="277" w:type="pct"/>
            <w:shd w:val="clear" w:color="auto" w:fill="DADADA" w:themeFill="background2" w:themeFillShade="E6"/>
            <w:tcMar>
              <w:left w:w="105" w:type="dxa"/>
              <w:right w:w="105" w:type="dxa"/>
            </w:tcMar>
          </w:tcPr>
          <w:p w14:paraId="0EC6B7A8" w14:textId="77777777" w:rsidR="00C84210" w:rsidRPr="00DA2128" w:rsidRDefault="00C84210"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color w:val="000000" w:themeColor="text1"/>
                <w:sz w:val="18"/>
                <w:szCs w:val="18"/>
              </w:rPr>
              <w:t>2.85</w:t>
            </w:r>
          </w:p>
        </w:tc>
        <w:tc>
          <w:tcPr>
            <w:tcW w:w="278" w:type="pct"/>
            <w:shd w:val="clear" w:color="auto" w:fill="DADADA" w:themeFill="background2" w:themeFillShade="E6"/>
            <w:tcMar>
              <w:left w:w="105" w:type="dxa"/>
              <w:right w:w="105" w:type="dxa"/>
            </w:tcMar>
          </w:tcPr>
          <w:p w14:paraId="78806A90" w14:textId="77777777" w:rsidR="00C84210" w:rsidRPr="00DA2128" w:rsidRDefault="00C84210" w:rsidP="00A937C6">
            <w:pPr>
              <w:spacing w:after="200" w:line="240" w:lineRule="auto"/>
              <w:jc w:val="center"/>
              <w:rPr>
                <w:rFonts w:eastAsia="Times New Roman" w:cs="Times New Roman"/>
                <w:color w:val="000000" w:themeColor="text1"/>
                <w:sz w:val="18"/>
                <w:szCs w:val="18"/>
              </w:rPr>
            </w:pPr>
            <w:r w:rsidRPr="00DA2128">
              <w:rPr>
                <w:rFonts w:eastAsia="Times New Roman" w:cs="Times New Roman"/>
                <w:color w:val="000000" w:themeColor="text1"/>
                <w:sz w:val="18"/>
                <w:szCs w:val="18"/>
              </w:rPr>
              <w:t>2.66</w:t>
            </w:r>
          </w:p>
        </w:tc>
        <w:tc>
          <w:tcPr>
            <w:tcW w:w="256" w:type="pct"/>
            <w:tcMar>
              <w:left w:w="105" w:type="dxa"/>
              <w:right w:w="105" w:type="dxa"/>
            </w:tcMar>
          </w:tcPr>
          <w:p w14:paraId="718521E7" w14:textId="77777777" w:rsidR="00C84210" w:rsidRPr="00DA2128" w:rsidRDefault="00C84210" w:rsidP="00A937C6">
            <w:pPr>
              <w:spacing w:after="200" w:line="240" w:lineRule="auto"/>
              <w:jc w:val="center"/>
              <w:rPr>
                <w:rFonts w:eastAsia="Times New Roman" w:cs="Times New Roman"/>
                <w:color w:val="1B2232"/>
                <w:sz w:val="18"/>
                <w:szCs w:val="18"/>
              </w:rPr>
            </w:pPr>
            <w:r w:rsidRPr="00DA2128">
              <w:rPr>
                <w:rFonts w:eastAsia="Times New Roman" w:cs="Times New Roman"/>
                <w:color w:val="1B2232"/>
                <w:sz w:val="18"/>
                <w:szCs w:val="18"/>
              </w:rPr>
              <w:t>2.95</w:t>
            </w:r>
          </w:p>
        </w:tc>
        <w:tc>
          <w:tcPr>
            <w:tcW w:w="256" w:type="pct"/>
            <w:tcMar>
              <w:left w:w="105" w:type="dxa"/>
              <w:right w:w="105" w:type="dxa"/>
            </w:tcMar>
          </w:tcPr>
          <w:p w14:paraId="1B72840C" w14:textId="77777777" w:rsidR="00C84210" w:rsidRPr="00DA2128" w:rsidRDefault="00C84210" w:rsidP="00A937C6">
            <w:pPr>
              <w:spacing w:after="200" w:line="240" w:lineRule="auto"/>
              <w:jc w:val="center"/>
              <w:rPr>
                <w:rFonts w:eastAsia="Times New Roman" w:cs="Times New Roman"/>
                <w:color w:val="1B2232"/>
                <w:sz w:val="18"/>
                <w:szCs w:val="18"/>
              </w:rPr>
            </w:pPr>
            <w:r w:rsidRPr="00DA2128">
              <w:rPr>
                <w:rFonts w:eastAsia="Times New Roman" w:cs="Times New Roman"/>
                <w:color w:val="1B2232"/>
                <w:sz w:val="18"/>
                <w:szCs w:val="18"/>
              </w:rPr>
              <w:t>2.67</w:t>
            </w:r>
          </w:p>
        </w:tc>
        <w:tc>
          <w:tcPr>
            <w:tcW w:w="256" w:type="pct"/>
            <w:shd w:val="clear" w:color="auto" w:fill="DADADA" w:themeFill="background2" w:themeFillShade="E6"/>
            <w:tcMar>
              <w:left w:w="105" w:type="dxa"/>
              <w:right w:w="105" w:type="dxa"/>
            </w:tcMar>
          </w:tcPr>
          <w:p w14:paraId="13406DD8" w14:textId="77777777" w:rsidR="00C84210" w:rsidRPr="00DA2128" w:rsidRDefault="00C84210" w:rsidP="00A937C6">
            <w:pPr>
              <w:spacing w:after="200" w:line="240" w:lineRule="auto"/>
              <w:jc w:val="center"/>
              <w:rPr>
                <w:rFonts w:eastAsia="Tahoma" w:cs="Times New Roman"/>
                <w:color w:val="1B2232"/>
                <w:sz w:val="18"/>
                <w:szCs w:val="18"/>
              </w:rPr>
            </w:pPr>
            <w:r w:rsidRPr="00DA2128">
              <w:rPr>
                <w:rFonts w:eastAsia="Tahoma" w:cs="Times New Roman"/>
                <w:color w:val="1B2232"/>
                <w:sz w:val="18"/>
                <w:szCs w:val="18"/>
              </w:rPr>
              <w:t>3.04</w:t>
            </w:r>
          </w:p>
        </w:tc>
        <w:tc>
          <w:tcPr>
            <w:tcW w:w="256" w:type="pct"/>
            <w:shd w:val="clear" w:color="auto" w:fill="DADADA" w:themeFill="background2" w:themeFillShade="E6"/>
            <w:tcMar>
              <w:left w:w="105" w:type="dxa"/>
              <w:right w:w="105" w:type="dxa"/>
            </w:tcMar>
          </w:tcPr>
          <w:p w14:paraId="29C2B4C3" w14:textId="77777777" w:rsidR="00C84210" w:rsidRPr="00DA2128" w:rsidRDefault="00C84210" w:rsidP="00A937C6">
            <w:pPr>
              <w:spacing w:after="200" w:line="240" w:lineRule="auto"/>
              <w:jc w:val="center"/>
              <w:rPr>
                <w:rFonts w:eastAsia="Tahoma" w:cs="Times New Roman"/>
                <w:color w:val="1B2232"/>
                <w:sz w:val="18"/>
                <w:szCs w:val="18"/>
              </w:rPr>
            </w:pPr>
            <w:r w:rsidRPr="00DA2128">
              <w:rPr>
                <w:rFonts w:eastAsia="Tahoma" w:cs="Times New Roman"/>
                <w:color w:val="1B2232"/>
                <w:sz w:val="18"/>
                <w:szCs w:val="18"/>
              </w:rPr>
              <w:t>2.56</w:t>
            </w:r>
          </w:p>
        </w:tc>
        <w:tc>
          <w:tcPr>
            <w:tcW w:w="256" w:type="pct"/>
            <w:tcMar>
              <w:left w:w="105" w:type="dxa"/>
              <w:right w:w="105" w:type="dxa"/>
            </w:tcMar>
          </w:tcPr>
          <w:p w14:paraId="2D9D66A5" w14:textId="77777777" w:rsidR="00C84210" w:rsidRPr="00DA2128" w:rsidRDefault="00C84210" w:rsidP="00A937C6">
            <w:pPr>
              <w:spacing w:after="200" w:line="240" w:lineRule="auto"/>
              <w:jc w:val="center"/>
              <w:rPr>
                <w:rFonts w:eastAsia="Tahoma" w:cs="Times New Roman"/>
                <w:color w:val="1B2232"/>
                <w:sz w:val="18"/>
                <w:szCs w:val="18"/>
              </w:rPr>
            </w:pPr>
            <w:r w:rsidRPr="00DA2128">
              <w:rPr>
                <w:rFonts w:eastAsia="Tahoma" w:cs="Times New Roman"/>
                <w:color w:val="1B2232"/>
                <w:sz w:val="18"/>
                <w:szCs w:val="18"/>
              </w:rPr>
              <w:t>2.91</w:t>
            </w:r>
          </w:p>
        </w:tc>
        <w:tc>
          <w:tcPr>
            <w:tcW w:w="256" w:type="pct"/>
            <w:tcMar>
              <w:left w:w="105" w:type="dxa"/>
              <w:right w:w="105" w:type="dxa"/>
            </w:tcMar>
          </w:tcPr>
          <w:p w14:paraId="0A779E90" w14:textId="77777777" w:rsidR="00C84210" w:rsidRPr="00DA2128" w:rsidRDefault="00C84210" w:rsidP="00A937C6">
            <w:pPr>
              <w:spacing w:after="200" w:line="240" w:lineRule="auto"/>
              <w:jc w:val="center"/>
              <w:rPr>
                <w:rFonts w:eastAsia="Tahoma" w:cs="Times New Roman"/>
                <w:color w:val="1B2232"/>
                <w:sz w:val="18"/>
                <w:szCs w:val="18"/>
              </w:rPr>
            </w:pPr>
            <w:r w:rsidRPr="00DA2128">
              <w:rPr>
                <w:rFonts w:eastAsia="Tahoma" w:cs="Times New Roman"/>
                <w:color w:val="1B2232"/>
                <w:sz w:val="18"/>
                <w:szCs w:val="18"/>
              </w:rPr>
              <w:t>2.74</w:t>
            </w:r>
          </w:p>
        </w:tc>
        <w:tc>
          <w:tcPr>
            <w:tcW w:w="256" w:type="pct"/>
            <w:shd w:val="clear" w:color="auto" w:fill="DADADA" w:themeFill="background2" w:themeFillShade="E6"/>
            <w:tcMar>
              <w:left w:w="105" w:type="dxa"/>
              <w:right w:w="105" w:type="dxa"/>
            </w:tcMar>
          </w:tcPr>
          <w:p w14:paraId="2A0AACE4" w14:textId="77777777" w:rsidR="00C84210" w:rsidRPr="00DA2128" w:rsidRDefault="00C84210" w:rsidP="00A937C6">
            <w:pPr>
              <w:spacing w:after="200" w:line="240" w:lineRule="auto"/>
              <w:jc w:val="center"/>
              <w:rPr>
                <w:rFonts w:eastAsia="Tahoma" w:cs="Times New Roman"/>
                <w:color w:val="1B2232"/>
                <w:sz w:val="18"/>
                <w:szCs w:val="18"/>
              </w:rPr>
            </w:pPr>
            <w:r w:rsidRPr="00DA2128">
              <w:rPr>
                <w:rFonts w:eastAsia="Tahoma" w:cs="Times New Roman"/>
                <w:color w:val="1B2232"/>
                <w:sz w:val="18"/>
                <w:szCs w:val="18"/>
              </w:rPr>
              <w:t>3.00</w:t>
            </w:r>
          </w:p>
        </w:tc>
        <w:tc>
          <w:tcPr>
            <w:tcW w:w="256" w:type="pct"/>
            <w:shd w:val="clear" w:color="auto" w:fill="DADADA" w:themeFill="background2" w:themeFillShade="E6"/>
            <w:tcMar>
              <w:left w:w="105" w:type="dxa"/>
              <w:right w:w="105" w:type="dxa"/>
            </w:tcMar>
          </w:tcPr>
          <w:p w14:paraId="7697719B" w14:textId="77777777" w:rsidR="00C84210" w:rsidRPr="00DA2128" w:rsidRDefault="00C84210" w:rsidP="00A937C6">
            <w:pPr>
              <w:spacing w:after="200" w:line="240" w:lineRule="auto"/>
              <w:jc w:val="center"/>
              <w:rPr>
                <w:rFonts w:eastAsia="Tahoma" w:cs="Times New Roman"/>
                <w:color w:val="1B2232"/>
                <w:sz w:val="18"/>
                <w:szCs w:val="18"/>
              </w:rPr>
            </w:pPr>
            <w:r w:rsidRPr="00DA2128">
              <w:rPr>
                <w:rFonts w:eastAsia="Tahoma" w:cs="Times New Roman"/>
                <w:color w:val="1B2232"/>
                <w:sz w:val="18"/>
                <w:szCs w:val="18"/>
              </w:rPr>
              <w:t>2.94</w:t>
            </w:r>
          </w:p>
        </w:tc>
        <w:tc>
          <w:tcPr>
            <w:tcW w:w="256" w:type="pct"/>
            <w:tcMar>
              <w:left w:w="105" w:type="dxa"/>
              <w:right w:w="105" w:type="dxa"/>
            </w:tcMar>
          </w:tcPr>
          <w:p w14:paraId="2AEE2BCA" w14:textId="77777777" w:rsidR="00C84210" w:rsidRPr="00DA2128" w:rsidRDefault="00C84210" w:rsidP="00A937C6">
            <w:pPr>
              <w:spacing w:after="200" w:line="240" w:lineRule="auto"/>
              <w:jc w:val="center"/>
              <w:rPr>
                <w:rFonts w:eastAsia="Tahoma" w:cs="Times New Roman"/>
                <w:color w:val="1B2232"/>
                <w:sz w:val="18"/>
                <w:szCs w:val="18"/>
              </w:rPr>
            </w:pPr>
            <w:r w:rsidRPr="00DA2128">
              <w:rPr>
                <w:rFonts w:eastAsia="Tahoma" w:cs="Times New Roman"/>
                <w:color w:val="1B2232"/>
                <w:sz w:val="18"/>
                <w:szCs w:val="18"/>
              </w:rPr>
              <w:t>3.12</w:t>
            </w:r>
          </w:p>
        </w:tc>
        <w:tc>
          <w:tcPr>
            <w:tcW w:w="256" w:type="pct"/>
            <w:tcMar>
              <w:left w:w="105" w:type="dxa"/>
              <w:right w:w="105" w:type="dxa"/>
            </w:tcMar>
          </w:tcPr>
          <w:p w14:paraId="0E12AE31" w14:textId="77777777" w:rsidR="00C84210" w:rsidRPr="00DA2128" w:rsidRDefault="00C84210" w:rsidP="00A937C6">
            <w:pPr>
              <w:spacing w:after="200" w:line="240" w:lineRule="auto"/>
              <w:jc w:val="center"/>
              <w:rPr>
                <w:rFonts w:eastAsia="Tahoma" w:cs="Times New Roman"/>
                <w:color w:val="1B2232"/>
                <w:sz w:val="18"/>
                <w:szCs w:val="18"/>
              </w:rPr>
            </w:pPr>
            <w:r w:rsidRPr="00DA2128">
              <w:rPr>
                <w:rFonts w:eastAsia="Tahoma" w:cs="Times New Roman"/>
                <w:color w:val="1B2232"/>
                <w:sz w:val="18"/>
                <w:szCs w:val="18"/>
              </w:rPr>
              <w:t>2.80</w:t>
            </w:r>
          </w:p>
        </w:tc>
        <w:tc>
          <w:tcPr>
            <w:tcW w:w="264" w:type="pct"/>
            <w:shd w:val="clear" w:color="auto" w:fill="DADADA" w:themeFill="background2" w:themeFillShade="E6"/>
            <w:tcMar>
              <w:left w:w="105" w:type="dxa"/>
              <w:right w:w="105" w:type="dxa"/>
            </w:tcMar>
          </w:tcPr>
          <w:p w14:paraId="7DB13E0D" w14:textId="77777777" w:rsidR="00C84210" w:rsidRPr="00DA2128" w:rsidRDefault="00C84210" w:rsidP="00A937C6">
            <w:pPr>
              <w:spacing w:after="200" w:line="240" w:lineRule="auto"/>
              <w:jc w:val="center"/>
              <w:rPr>
                <w:rFonts w:eastAsia="Tahoma" w:cs="Times New Roman"/>
                <w:color w:val="1B2232"/>
                <w:sz w:val="18"/>
                <w:szCs w:val="18"/>
              </w:rPr>
            </w:pPr>
            <w:r w:rsidRPr="00DA2128">
              <w:rPr>
                <w:rFonts w:eastAsia="Tahoma" w:cs="Times New Roman"/>
                <w:color w:val="1B2232"/>
                <w:sz w:val="18"/>
                <w:szCs w:val="18"/>
              </w:rPr>
              <w:t>3.02</w:t>
            </w:r>
          </w:p>
        </w:tc>
        <w:tc>
          <w:tcPr>
            <w:tcW w:w="264" w:type="pct"/>
            <w:shd w:val="clear" w:color="auto" w:fill="DADADA" w:themeFill="background2" w:themeFillShade="E6"/>
            <w:tcMar>
              <w:left w:w="105" w:type="dxa"/>
              <w:right w:w="105" w:type="dxa"/>
            </w:tcMar>
          </w:tcPr>
          <w:p w14:paraId="13A67807" w14:textId="77777777" w:rsidR="00C84210" w:rsidRPr="00DA2128" w:rsidRDefault="00C84210" w:rsidP="00A937C6">
            <w:pPr>
              <w:spacing w:after="200" w:line="240" w:lineRule="auto"/>
              <w:jc w:val="center"/>
              <w:rPr>
                <w:rFonts w:eastAsia="Tahoma" w:cs="Times New Roman"/>
                <w:color w:val="1B2232"/>
                <w:sz w:val="18"/>
                <w:szCs w:val="18"/>
              </w:rPr>
            </w:pPr>
            <w:r w:rsidRPr="00DA2128">
              <w:rPr>
                <w:rFonts w:eastAsia="Tahoma" w:cs="Times New Roman"/>
                <w:color w:val="1B2232"/>
                <w:sz w:val="18"/>
                <w:szCs w:val="18"/>
              </w:rPr>
              <w:t>2.87</w:t>
            </w:r>
          </w:p>
        </w:tc>
        <w:tc>
          <w:tcPr>
            <w:tcW w:w="256" w:type="pct"/>
            <w:tcMar>
              <w:left w:w="105" w:type="dxa"/>
              <w:right w:w="105" w:type="dxa"/>
            </w:tcMar>
          </w:tcPr>
          <w:p w14:paraId="74576F65" w14:textId="77777777" w:rsidR="00C84210" w:rsidRPr="00DA2128" w:rsidRDefault="00C84210" w:rsidP="00A937C6">
            <w:pPr>
              <w:spacing w:after="200" w:line="240" w:lineRule="auto"/>
              <w:jc w:val="center"/>
              <w:rPr>
                <w:rFonts w:eastAsia="Tahoma" w:cs="Times New Roman"/>
                <w:color w:val="1B2232"/>
                <w:sz w:val="18"/>
                <w:szCs w:val="18"/>
              </w:rPr>
            </w:pPr>
            <w:r w:rsidRPr="00DA2128">
              <w:rPr>
                <w:rFonts w:eastAsia="Tahoma" w:cs="Times New Roman"/>
                <w:color w:val="1B2232"/>
                <w:sz w:val="18"/>
                <w:szCs w:val="18"/>
              </w:rPr>
              <w:t>3.05</w:t>
            </w:r>
          </w:p>
        </w:tc>
        <w:tc>
          <w:tcPr>
            <w:tcW w:w="256" w:type="pct"/>
            <w:tcMar>
              <w:left w:w="105" w:type="dxa"/>
              <w:right w:w="105" w:type="dxa"/>
            </w:tcMar>
          </w:tcPr>
          <w:p w14:paraId="59596123" w14:textId="77777777" w:rsidR="00C84210" w:rsidRPr="00DA2128" w:rsidRDefault="00C84210" w:rsidP="00A937C6">
            <w:pPr>
              <w:spacing w:after="200" w:line="240" w:lineRule="auto"/>
              <w:jc w:val="center"/>
              <w:rPr>
                <w:rFonts w:eastAsia="Tahoma" w:cs="Times New Roman"/>
                <w:color w:val="1B2232"/>
                <w:sz w:val="18"/>
                <w:szCs w:val="18"/>
              </w:rPr>
            </w:pPr>
            <w:r w:rsidRPr="00DA2128">
              <w:rPr>
                <w:rFonts w:eastAsia="Tahoma" w:cs="Times New Roman"/>
                <w:color w:val="1B2232"/>
                <w:sz w:val="18"/>
                <w:szCs w:val="18"/>
              </w:rPr>
              <w:t>2.79</w:t>
            </w:r>
          </w:p>
        </w:tc>
        <w:tc>
          <w:tcPr>
            <w:tcW w:w="253" w:type="pct"/>
            <w:shd w:val="clear" w:color="auto" w:fill="DADADA" w:themeFill="background2" w:themeFillShade="E6"/>
            <w:tcMar>
              <w:left w:w="105" w:type="dxa"/>
              <w:right w:w="105" w:type="dxa"/>
            </w:tcMar>
          </w:tcPr>
          <w:p w14:paraId="54F067D6" w14:textId="77777777" w:rsidR="00C84210" w:rsidRPr="00DA2128" w:rsidRDefault="00C84210" w:rsidP="00A937C6">
            <w:pPr>
              <w:spacing w:after="200" w:line="240" w:lineRule="auto"/>
              <w:jc w:val="center"/>
              <w:rPr>
                <w:rFonts w:eastAsia="Tahoma" w:cs="Times New Roman"/>
                <w:color w:val="1B2232"/>
                <w:sz w:val="18"/>
                <w:szCs w:val="18"/>
              </w:rPr>
            </w:pPr>
            <w:r w:rsidRPr="00DA2128">
              <w:rPr>
                <w:rFonts w:eastAsia="Tahoma" w:cs="Times New Roman"/>
                <w:color w:val="1B2232"/>
                <w:sz w:val="18"/>
                <w:szCs w:val="18"/>
              </w:rPr>
              <w:t>2.68</w:t>
            </w:r>
          </w:p>
        </w:tc>
        <w:tc>
          <w:tcPr>
            <w:tcW w:w="249" w:type="pct"/>
            <w:shd w:val="clear" w:color="auto" w:fill="DADADA" w:themeFill="background2" w:themeFillShade="E6"/>
            <w:tcMar>
              <w:left w:w="105" w:type="dxa"/>
              <w:right w:w="105" w:type="dxa"/>
            </w:tcMar>
          </w:tcPr>
          <w:p w14:paraId="25CC5AB4" w14:textId="77777777" w:rsidR="00C84210" w:rsidRPr="00DA2128" w:rsidRDefault="00C84210" w:rsidP="00A937C6">
            <w:pPr>
              <w:spacing w:after="200" w:line="240" w:lineRule="auto"/>
              <w:jc w:val="center"/>
              <w:rPr>
                <w:rFonts w:eastAsia="Tahoma" w:cs="Times New Roman"/>
                <w:color w:val="1B2232"/>
                <w:sz w:val="18"/>
                <w:szCs w:val="18"/>
              </w:rPr>
            </w:pPr>
            <w:r w:rsidRPr="00DA2128">
              <w:rPr>
                <w:rFonts w:eastAsia="Tahoma" w:cs="Times New Roman"/>
                <w:color w:val="1B2232"/>
                <w:sz w:val="18"/>
                <w:szCs w:val="18"/>
              </w:rPr>
              <w:t>2.53</w:t>
            </w:r>
          </w:p>
        </w:tc>
      </w:tr>
    </w:tbl>
    <w:p w14:paraId="127C48DA" w14:textId="77777777" w:rsidR="00C84210" w:rsidRPr="00DA2128" w:rsidRDefault="00C84210" w:rsidP="00A937C6">
      <w:pPr>
        <w:spacing w:line="240" w:lineRule="auto"/>
      </w:pPr>
      <w:r w:rsidRPr="00DA2128">
        <w:rPr>
          <w:noProof/>
          <w:lang w:eastAsia="en-GB"/>
        </w:rPr>
        <w:drawing>
          <wp:anchor distT="0" distB="0" distL="114300" distR="114300" simplePos="0" relativeHeight="251723776" behindDoc="0" locked="0" layoutInCell="1" allowOverlap="1" wp14:anchorId="2B225C5D" wp14:editId="603E2E48">
            <wp:simplePos x="0" y="0"/>
            <wp:positionH relativeFrom="column">
              <wp:posOffset>0</wp:posOffset>
            </wp:positionH>
            <wp:positionV relativeFrom="paragraph">
              <wp:posOffset>0</wp:posOffset>
            </wp:positionV>
            <wp:extent cx="5295568" cy="637127"/>
            <wp:effectExtent l="0" t="0" r="635" b="0"/>
            <wp:wrapNone/>
            <wp:docPr id="524398079" name="Bildobjekt 19" descr="En bild som visar text, skärmbild, algebra&#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463874" name="Bildobjekt 19" descr="En bild som visar text, skärmbild, algebra&#10;&#10;AI-genererat innehåll kan vara felaktigt."/>
                    <pic:cNvPicPr/>
                  </pic:nvPicPr>
                  <pic:blipFill rotWithShape="1">
                    <a:blip r:embed="rId26">
                      <a:extLst>
                        <a:ext uri="{28A0092B-C50C-407E-A947-70E740481C1C}">
                          <a14:useLocalDpi xmlns:a14="http://schemas.microsoft.com/office/drawing/2010/main" val="0"/>
                        </a:ext>
                      </a:extLst>
                    </a:blip>
                    <a:srcRect l="6092" t="31500" r="4916" b="49466"/>
                    <a:stretch>
                      <a:fillRect/>
                    </a:stretch>
                  </pic:blipFill>
                  <pic:spPr bwMode="auto">
                    <a:xfrm>
                      <a:off x="0" y="0"/>
                      <a:ext cx="5295568" cy="63712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038FAA" w14:textId="77777777" w:rsidR="00C84210" w:rsidRPr="00DA2128" w:rsidRDefault="00C84210" w:rsidP="00A937C6">
      <w:pPr>
        <w:spacing w:line="240" w:lineRule="auto"/>
      </w:pPr>
    </w:p>
    <w:p w14:paraId="34AB36A3" w14:textId="77777777" w:rsidR="00C84210" w:rsidRPr="00DA2128" w:rsidRDefault="00C84210" w:rsidP="00A937C6">
      <w:pPr>
        <w:spacing w:line="240" w:lineRule="auto"/>
      </w:pPr>
    </w:p>
    <w:p w14:paraId="275BE8CD" w14:textId="77777777" w:rsidR="00C84210" w:rsidRPr="00DA2128" w:rsidRDefault="00C84210" w:rsidP="00A937C6">
      <w:pPr>
        <w:spacing w:line="240" w:lineRule="auto"/>
      </w:pPr>
    </w:p>
    <w:p w14:paraId="0BFED54C" w14:textId="77777777" w:rsidR="00C84210" w:rsidRPr="00DA2128" w:rsidRDefault="00C84210" w:rsidP="00A937C6">
      <w:pPr>
        <w:spacing w:line="240" w:lineRule="auto"/>
      </w:pPr>
    </w:p>
    <w:p w14:paraId="4A496966" w14:textId="77777777" w:rsidR="00C84210" w:rsidRPr="00DA2128" w:rsidRDefault="00C84210" w:rsidP="00A937C6">
      <w:pPr>
        <w:spacing w:line="240" w:lineRule="auto"/>
      </w:pPr>
    </w:p>
    <w:p w14:paraId="7D5D4F02" w14:textId="77777777" w:rsidR="00C84210" w:rsidRPr="00DA2128" w:rsidRDefault="00C84210" w:rsidP="00A937C6">
      <w:pPr>
        <w:spacing w:line="240" w:lineRule="auto"/>
      </w:pPr>
    </w:p>
    <w:p w14:paraId="2DC5CFC4" w14:textId="77777777" w:rsidR="00C22CBD" w:rsidRPr="00DA2128" w:rsidRDefault="00C22CBD" w:rsidP="00A937C6">
      <w:pPr>
        <w:spacing w:line="240" w:lineRule="auto"/>
      </w:pPr>
      <w:r w:rsidRPr="00DA2128">
        <w:rPr>
          <w:b/>
          <w:bCs/>
        </w:rPr>
        <w:lastRenderedPageBreak/>
        <w:t>Figure 3</w:t>
      </w:r>
      <w:r w:rsidRPr="00DA2128">
        <w:t xml:space="preserve">. Pattern match illustrating average rating at the cluster level for all nine universities. </w:t>
      </w:r>
      <w:r w:rsidRPr="00DA2128">
        <w:rPr>
          <w:noProof/>
          <w:lang w:eastAsia="en-GB"/>
        </w:rPr>
        <mc:AlternateContent>
          <mc:Choice Requires="wpg">
            <w:drawing>
              <wp:anchor distT="0" distB="0" distL="114300" distR="114300" simplePos="0" relativeHeight="251725824" behindDoc="0" locked="0" layoutInCell="1" allowOverlap="1" wp14:anchorId="18C06C58" wp14:editId="29093327">
                <wp:simplePos x="0" y="0"/>
                <wp:positionH relativeFrom="column">
                  <wp:posOffset>1598295</wp:posOffset>
                </wp:positionH>
                <wp:positionV relativeFrom="paragraph">
                  <wp:posOffset>337185</wp:posOffset>
                </wp:positionV>
                <wp:extent cx="1590675" cy="4330700"/>
                <wp:effectExtent l="0" t="0" r="9525" b="0"/>
                <wp:wrapSquare wrapText="bothSides"/>
                <wp:docPr id="1152763453" name="Grupp 32"/>
                <wp:cNvGraphicFramePr/>
                <a:graphic xmlns:a="http://schemas.openxmlformats.org/drawingml/2006/main">
                  <a:graphicData uri="http://schemas.microsoft.com/office/word/2010/wordprocessingGroup">
                    <wpg:wgp>
                      <wpg:cNvGrpSpPr/>
                      <wpg:grpSpPr>
                        <a:xfrm>
                          <a:off x="0" y="0"/>
                          <a:ext cx="1590675" cy="4330700"/>
                          <a:chOff x="0" y="0"/>
                          <a:chExt cx="1590675" cy="4330700"/>
                        </a:xfrm>
                      </wpg:grpSpPr>
                      <wps:wsp>
                        <wps:cNvPr id="1055053066" name="Textruta 2"/>
                        <wps:cNvSpPr txBox="1">
                          <a:spLocks noChangeArrowheads="1"/>
                        </wps:cNvSpPr>
                        <wps:spPr bwMode="auto">
                          <a:xfrm>
                            <a:off x="525145" y="4044950"/>
                            <a:ext cx="600075" cy="285750"/>
                          </a:xfrm>
                          <a:prstGeom prst="rect">
                            <a:avLst/>
                          </a:prstGeom>
                          <a:solidFill>
                            <a:srgbClr val="FFFFFF"/>
                          </a:solidFill>
                          <a:ln w="9525">
                            <a:noFill/>
                            <a:miter lim="800000"/>
                            <a:headEnd/>
                            <a:tailEnd/>
                          </a:ln>
                        </wps:spPr>
                        <wps:txbx>
                          <w:txbxContent>
                            <w:p w14:paraId="72BA1F10" w14:textId="77777777" w:rsidR="00C22CBD" w:rsidRPr="00DA2128" w:rsidRDefault="00C22CBD" w:rsidP="00C22CBD">
                              <w:pPr>
                                <w:rPr>
                                  <w:rFonts w:ascii="Times New Roman" w:hAnsi="Times New Roman" w:cs="Times New Roman"/>
                                  <w:b/>
                                  <w:bCs/>
                                </w:rPr>
                              </w:pPr>
                              <w:r w:rsidRPr="00DA2128">
                                <w:rPr>
                                  <w:rFonts w:ascii="Times New Roman" w:hAnsi="Times New Roman" w:cs="Times New Roman"/>
                                  <w:b/>
                                  <w:bCs/>
                                </w:rPr>
                                <w:t>JDU</w:t>
                              </w:r>
                            </w:p>
                          </w:txbxContent>
                        </wps:txbx>
                        <wps:bodyPr rot="0" vert="horz" wrap="square" lIns="91440" tIns="45720" rIns="91440" bIns="45720" anchor="t" anchorCtr="0">
                          <a:noAutofit/>
                        </wps:bodyPr>
                      </wps:wsp>
                      <pic:pic xmlns:pic="http://schemas.openxmlformats.org/drawingml/2006/picture">
                        <pic:nvPicPr>
                          <pic:cNvPr id="2062439421" name="Bildobjekt 31" descr="En bild som visar linje, diagram&#10;&#10;AI-genererat innehåll kan vara felaktigt."/>
                          <pic:cNvPicPr>
                            <a:picLocks noChangeAspect="1"/>
                          </pic:cNvPicPr>
                        </pic:nvPicPr>
                        <pic:blipFill rotWithShape="1">
                          <a:blip r:embed="rId27">
                            <a:extLst>
                              <a:ext uri="{28A0092B-C50C-407E-A947-70E740481C1C}">
                                <a14:useLocalDpi xmlns:a14="http://schemas.microsoft.com/office/drawing/2010/main" val="0"/>
                              </a:ext>
                            </a:extLst>
                          </a:blip>
                          <a:srcRect l="35133" t="12187" r="46979" b="10308"/>
                          <a:stretch>
                            <a:fillRect/>
                          </a:stretch>
                        </pic:blipFill>
                        <pic:spPr bwMode="auto">
                          <a:xfrm>
                            <a:off x="0" y="0"/>
                            <a:ext cx="1590675" cy="3876675"/>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8C06C58" id="Grupp 32" o:spid="_x0000_s1046" style="position:absolute;margin-left:125.85pt;margin-top:26.55pt;width:125.25pt;height:341pt;z-index:251725824;mso-height-relative:margin" coordsize="15906,4330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VzvxA8UXHhe00yS3EJa81K3s38xS2FkfacYPWuirjfjN/yDdB&#10;/wCw7Z/+jKqOrsTJ2R2VFFFSUFFFFABRRRQAUUUUAFFFFABRRRQAUUUUAFFFFABRRRQAUUUUAFZv&#10;i3U5NE8L6lewhDLZ2ssyBh8pKoSM+3FaVY/xE/5EDXP+wfP/AOi2oW4PYm8JanJrfhfTb2YIJby1&#10;imcKPlBZATj25rSrH+Hf/IgaH/2D4P8A0WtbFHUS2CiiigY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XG/Gb/AJBug/8AYds//RldlXG/&#10;Gb/kG6D/ANh2z/8ARlVD4kTPY7KiiipKCiiigAooooAKKKKACiiigAooooAKKKKACiiigAooooAK&#10;KKKACsf4if8AIga5/wBg+f8A9FtWxWP8RP8AkQNc/wCwfP8A+i2o6ilsHw7/AORA0P8A7B8H/ota&#10;2Kx/h3/yIGh/9g+D/wBFrWxQ9wjsFFFFAw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jPNBG4UAFFFFABRRRQAVxvxm/5Bug/9h2z/wDRldlXG/Gb/kG6D/2H&#10;bP8A9GVUPiRM9jsqKKKkoKKKKACiiigAooooAKKKKACiiigAooooAKKKKACiiigAooooAKx/iJ/y&#10;IGuf9g+f/wBFtWxWP8RP+RA1z/sHz/8AotqOopbB8O/+RA0P/sHwf+i1rYrH+Hf/ACIGh/8AYPg/&#10;9FrWxQ9wjsFFFFA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gHNFNVqAHUU113D9RTqACiiigArjfjN/yDdB/7Dtn/wCjK7KuN+M3/IN0H/sO2f8A6MqofEiZ&#10;7HZUUUVJQUUUUAFFFFABRRRQAUUUUAFFFFABRRRQAUUUUAFFFFABRRRQAVj/ABE/5EDXP+wfP/6L&#10;atisf4if8iBrn/YPn/8ARbUdRS2D4d/8iBof/YPg/wDRa1sVj/Dv/kQND/7B8H/ota2KHuEdgooo&#10;oG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jDIpaACo5&#10;ExllzzjIqSigAoqNo9rZBPXpUlABXG/Gb/kG6D/2HbP/ANGV2Vcb8Zv+QboP/Yds/wD0ZVQ+JEz2&#10;OyoooqSgooooAKKKKACiiigAooooAKKKKACiiigAooooAKKKKACiiigArH+In/Iga5/2D5//AEW1&#10;bFY/xE/5EDXP+wfP/wCi2o6ilsHw7/5EDQ/+wfB/6LWtisf4d/8AIgaH/wBg+D/0WtbFD3COwUUU&#10;UD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M0EbhQAUU&#10;UUAFFAOaCMigArjfjN/yDdB/7Dtn/wCjK7KuN+M3/IN0H/sO2f8A6MqofEiZ7HZUUUVJQUUUUAFF&#10;FFABRRRQAUUUUAFFFFABRRRQAUUUUAFFFFABRRRQAVj/ABE/5EDXP+wfP/6Latisf4if8iBrn/YP&#10;n/8ARbUdRS2D4d/8iBof/YPg/wDRa1sVj/Dv/kQND/7B8H/ota2KHuEdgooooG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xvxm/wCQboP/AGHbP/0ZXZVxvxm/5Bug/wDYds//AEZVQ+JEz2OyoooqSgoo&#10;ooAKKKKACiiigAooooAKKKKACiiigAooooAKKKKACiiigArH+In/ACIGuf8AYPn/APRbVsVj/ET/&#10;AJEDXP8AsHz/APotqOopbB8O/wDkQND/AOwfB/6LWtisf4d/8iBof/YPg/8ARa1sUPcI7BRRRQM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rjfjN/yDdB/wCw7Z/+jK7KuN+M3/IN0H/sO2f/AKMqofEiZ7HZUUUVJQUUUUAFFFFABRRRQAUU&#10;UUAFFFFABRRRQAUUUUAFFFFABRRRQAVj/ET/AJEDXP8AsHz/APotq2Kx/iJ/yIGuf9g+f/0W1HUU&#10;tg+Hf/IgaH/2D4P/AEWtbFY/w7/5EDQ/+wfB/wCi1rYoe4R2CiiigY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XG/Gb/kG6D/ANh2z/8A&#10;RldlXG/Gb/kG6D/2HbP/ANGVUPiRM9jsqKKKkoKKKKACiiigAooooAKKKKACiiigAooooAKKKKAC&#10;iiigAooooAKx/iJ/yIGuf9g+f/0W1bFY/wARP+RA1z/sHz/+i2o6ilsHw7/5EDQ/+wfB/wCi1rYr&#10;H+Hf/IgaH/2D4P8A0WtbFD3COwUUUUD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434zf8g3Qf+w7Z/8AoyuyrjfjN/yDdB/7Dtn/AOjK&#10;qHxImex2VFFFSUFFFFABRRRQAUUUUAFFFFABRRRQAUUUUAFFFFABRRRQAUUUUAFY/wARP+RA1z/s&#10;Hz/+i2rYrH+In/Iga5/2D5//AEW1HUUtg+Hf/IgaH/2D4P8A0WtbFY/w7/5EDQ/+wfB/6LWtih7h&#10;HYKKKKBh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cb8Zv+QboP/Yds/8A0ZXZVxvxm/5Bug/9h2z/APRlVD4kTPY7KiiipKCiiigAoooo&#10;AKKKKACiiigAooooAKKKKACiiigAooooAKKKKACsf4if8iBrn/YPn/8ARbVsVj/ET/kQNc/7B8//&#10;AKLajqKWwfDv/kQND/7B8H/ota2Kx/h3/wAiBof/AGD4P/Ra1sUPcI7BRRRQM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rjfjN/yDdB/7&#10;Dtn/AOjK7KuN+M3/ACDdB/7Dtn/6MqofEiZ7HZUUUVJQUUUUAFFFFABRRRQAUUUUAFFFFABRRRQA&#10;UUUUAFFFFABRRRQAVj/ET/kQNc/7B8//AKLatisf4if8iBrn/YPn/wDRbUdRS2D4d/8AIgaH/wBg&#10;+D/0WtbFY/w7/wCRA0P/ALB8H/ota2KHuEdgooooG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Vxvxm/5Bug/9h2z/APRldlXG/Gb/AJBu&#10;g/8AYds//RlVD4kTPY7KiiipKCiiigAooooAKKKKACiiigAooooAKKKKACiiigAooooAKKKKACsf&#10;4if8iBrn/YPn/wDRbVsVj/ET/kQNc/7B8/8A6LajqKWwfDv/AJEDQ/8AsHwf+i1rYrH+Hf8AyIGh&#10;/wDYPg/9FrWxQ9wjsFFFFA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uN+M3/ACDdB/7Dtn/6Mrsq434zf8g3Qf8AsO2f/oyqh8SJnsdl&#10;RRRUlBRRRQAUUUUAFFFFABRRRQAUUUUAFFFFABRRRQAUUUUAFFFFABWP8RP+RA1z/sHz/wDotq2K&#10;x/iJ/wAiBrn/AGD5/wD0W1HUUtg+Hf8AyIGh/wDYPg/9FrWxWP8ADv8A5EDQ/wDsHwf+i1rYoe4R&#10;2CiiigY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XG/Gb/AJBug/8AYds//RldlXG/Gb/kG6D/ANh2z/8ARlVD4kTPY7KiiipKCiiigAoo&#10;ooAKKKKACiiigAooooAKKKKACiiigAooooAKKKKACsf4if8AIga5/wBg+f8A9FtWxWP8RP8AkQNc&#10;/wCwfP8A+i2o6ilsHw7/AORA0P8A7B8H/ota2Kx/h3/yIGh/9g+D/wBFrWxQ9wjsFFFFAw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uN+&#10;M3/IN0H/ALDtn/6Mrsq434zf8g3Qf+w7Z/8Aoyqh8SJnsdlRRRUlBRRRQAUUUUAFFFFABRRRQAUU&#10;UUAFFFFABRRRQAUUUUAFFFFABWP8RP8AkQNc/wCwfP8A+i2rYrH+In/Iga5/2D5//RbUdRS2D4d/&#10;8iBof/YPg/8ARa1sVj/Dv/kQND/7B8H/AKLWtih7hHYKKKKB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cb8Zv+QboP8A2HbP/wBGV2Vc&#10;38RvDlz4ks9KS1VGNrqlvdSZOPkRsmqjo7ky1R0lFFFSUFFFFABRRRQAUUUUAFFFFABRRRQAUUUU&#10;AFFFFABRRRQAUUUUAFY/xE/5EDXP+wfP/wCi2rYrL8Y6bJrHhPVLOAKZrq0lhjydo3MhA/nR1B7E&#10;fw7/AORA0P8A7B8H/ota2Ky/B2myaP4T0uznCia1tIoZMHcNyoAf5VqUCWwUUUUD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">
                <v:shape id="_x0000_s1047" type="#_x0000_t202" style="position:absolute;left:5251;top:40449;width:6001;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" stroked="f">
                  <v:textbox>
                    <w:txbxContent>
                      <w:p w14:paraId="72BA1F10" w14:textId="77777777" w:rsidR="00C22CBD" w:rsidRPr="00DA2128" w:rsidRDefault="00C22CBD" w:rsidP="00C22CBD">
                        <w:pPr>
                          <w:rPr>
                            <w:rFonts w:ascii="Times New Roman" w:hAnsi="Times New Roman" w:cs="Times New Roman"/>
                            <w:b/>
                            <w:bCs/>
                          </w:rPr>
                        </w:pPr>
                        <w:r w:rsidRPr="00DA2128">
                          <w:rPr>
                            <w:rFonts w:ascii="Times New Roman" w:hAnsi="Times New Roman" w:cs="Times New Roman"/>
                            <w:b/>
                            <w:bCs/>
                          </w:rPr>
                          <w:t>JDU</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31" o:spid="_x0000_s1048" type="#_x0000_t75" alt="En bild som visar linje, diagram&#10;&#10;AI-genererat innehåll kan vara felaktigt." style="position:absolute;width:15906;height:38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">
                  <v:imagedata r:id="rId28" o:title="En bild som visar linje, diagram&#10;&#10;AI-genererat innehåll kan vara felaktigt" croptop="7987f" cropbottom="6755f" cropleft="23025f" cropright="30788f"/>
                </v:shape>
                <w10:wrap type="square"/>
              </v:group>
            </w:pict>
          </mc:Fallback>
        </mc:AlternateContent>
      </w:r>
      <w:r w:rsidRPr="00DA2128">
        <w:rPr>
          <w:noProof/>
          <w:lang w:eastAsia="en-GB"/>
        </w:rPr>
        <mc:AlternateContent>
          <mc:Choice Requires="wpg">
            <w:drawing>
              <wp:anchor distT="0" distB="0" distL="114300" distR="114300" simplePos="0" relativeHeight="251726848" behindDoc="0" locked="0" layoutInCell="1" allowOverlap="1" wp14:anchorId="60FC2812" wp14:editId="449A30A0">
                <wp:simplePos x="0" y="0"/>
                <wp:positionH relativeFrom="column">
                  <wp:posOffset>0</wp:posOffset>
                </wp:positionH>
                <wp:positionV relativeFrom="paragraph">
                  <wp:posOffset>318135</wp:posOffset>
                </wp:positionV>
                <wp:extent cx="1485900" cy="4349750"/>
                <wp:effectExtent l="0" t="0" r="0" b="0"/>
                <wp:wrapSquare wrapText="bothSides"/>
                <wp:docPr id="817082603" name="Grupp 34"/>
                <wp:cNvGraphicFramePr/>
                <a:graphic xmlns:a="http://schemas.openxmlformats.org/drawingml/2006/main">
                  <a:graphicData uri="http://schemas.microsoft.com/office/word/2010/wordprocessingGroup">
                    <wpg:wgp>
                      <wpg:cNvGrpSpPr/>
                      <wpg:grpSpPr>
                        <a:xfrm>
                          <a:off x="0" y="0"/>
                          <a:ext cx="1485900" cy="4349750"/>
                          <a:chOff x="0" y="0"/>
                          <a:chExt cx="1485900" cy="4349750"/>
                        </a:xfrm>
                      </wpg:grpSpPr>
                      <wps:wsp>
                        <wps:cNvPr id="672015815" name="Textruta 2"/>
                        <wps:cNvSpPr txBox="1">
                          <a:spLocks noChangeArrowheads="1"/>
                        </wps:cNvSpPr>
                        <wps:spPr bwMode="auto">
                          <a:xfrm>
                            <a:off x="508000" y="4076700"/>
                            <a:ext cx="539750" cy="273050"/>
                          </a:xfrm>
                          <a:prstGeom prst="rect">
                            <a:avLst/>
                          </a:prstGeom>
                          <a:solidFill>
                            <a:srgbClr val="FFFFFF"/>
                          </a:solidFill>
                          <a:ln w="9525">
                            <a:noFill/>
                            <a:miter lim="800000"/>
                            <a:headEnd/>
                            <a:tailEnd/>
                          </a:ln>
                        </wps:spPr>
                        <wps:txbx>
                          <w:txbxContent>
                            <w:p w14:paraId="532B7A1A" w14:textId="77777777" w:rsidR="00C22CBD" w:rsidRPr="00DA2128" w:rsidRDefault="00C22CBD" w:rsidP="00C22CBD">
                              <w:pPr>
                                <w:rPr>
                                  <w:rFonts w:ascii="Times New Roman" w:hAnsi="Times New Roman" w:cs="Times New Roman"/>
                                  <w:b/>
                                  <w:bCs/>
                                </w:rPr>
                              </w:pPr>
                              <w:r w:rsidRPr="00DA2128">
                                <w:rPr>
                                  <w:rFonts w:ascii="Times New Roman" w:hAnsi="Times New Roman" w:cs="Times New Roman"/>
                                  <w:b/>
                                  <w:bCs/>
                                </w:rPr>
                                <w:t>HKR</w:t>
                              </w:r>
                            </w:p>
                          </w:txbxContent>
                        </wps:txbx>
                        <wps:bodyPr rot="0" vert="horz" wrap="square" lIns="91440" tIns="45720" rIns="91440" bIns="45720" anchor="t" anchorCtr="0">
                          <a:noAutofit/>
                        </wps:bodyPr>
                      </wps:wsp>
                      <pic:pic xmlns:pic="http://schemas.openxmlformats.org/drawingml/2006/picture">
                        <pic:nvPicPr>
                          <pic:cNvPr id="192747484" name="Bildobjekt 33" descr="En bild som visar diagram, linje&#10;&#10;AI-genererat innehåll kan vara felaktigt."/>
                          <pic:cNvPicPr>
                            <a:picLocks noChangeAspect="1"/>
                          </pic:cNvPicPr>
                        </pic:nvPicPr>
                        <pic:blipFill rotWithShape="1">
                          <a:blip r:embed="rId29">
                            <a:extLst>
                              <a:ext uri="{28A0092B-C50C-407E-A947-70E740481C1C}">
                                <a14:useLocalDpi xmlns:a14="http://schemas.microsoft.com/office/drawing/2010/main" val="0"/>
                              </a:ext>
                            </a:extLst>
                          </a:blip>
                          <a:srcRect l="35490" t="11426" r="47801" b="10499"/>
                          <a:stretch>
                            <a:fillRect/>
                          </a:stretch>
                        </pic:blipFill>
                        <pic:spPr bwMode="auto">
                          <a:xfrm>
                            <a:off x="0" y="0"/>
                            <a:ext cx="1485900" cy="3905250"/>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0FC2812" id="Grupp 34" o:spid="_x0000_s1049" style="position:absolute;margin-left:0;margin-top:25.05pt;width:117pt;height:342.5pt;z-index:251726848" coordsize="14859,434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XO/EDxRceF7TTJLcQlrzUrez&#10;fzFLYWR9pxg9a6KuN+M3/IN0H/sO2f8A6Mqo6uxMnZHZUUUVJQUUUUAFFFFABRRRQAUUUUAFFFFA&#10;BRRRQAUUUUAFFFFABRRRQAVm+LdTk0TwvqV7CEMtnayzIGHykqhIz7cVpVj/ABE/5EDXP+wfP/6L&#10;ahbg9ibwlqcmt+F9NvZgglvLWKZwo+UFkBOPbmtKsf4d/wDIgaH/ANg+D/0WtbFHUS2CiiigY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XG/Gb/kG6D/2HbP/ANGV2Vcb8Zv+QboP/Yds/wD0ZVQ+JEz2OyoooqSgooooAKKKKACiiigAoooo&#10;AKKKKACiiigAooooAKKKKACiiigArH+In/Iga5/2D5//AEW1bFY/xE/5EDXP+wfP/wCi2o6ilsHw&#10;7/5EDQ/+wfB/6LWtisf4d/8AIgaH/wBg+D/0WtbFD3COwUUUUD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434zf8g3Qf+w7Z/wDoyuyr&#10;jfjN/wAg3Qf+w7Z/+jKqHxImex2VFFFSUFFFFABRRRQAUUUUAFFFFABRRRQAUUUUAFFFFABRRRQA&#10;UUUUAFY/xE/5EDXP+wfP/wCi2rYrH+In/Iga5/2D5/8A0W1HUUtg+Hf/ACIGh/8AYPg/9FrWxWP8&#10;O/8AkQND/wCwfB/6LWtih7hHYKKKKB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cb8Zv+QboP/Yds/wD0ZXZVxvxm/wCQboP/AGHbP/0Z&#10;VQ+JEz2OyoooqSgooooAKKKKACiiigAooooAKKKKACiiigAooooAKKKKACiiigArH+In/Iga5/2D&#10;5/8A0W1bFY/xE/5EDXP+wfP/AOi2o6ilsHw7/wCRA0P/ALB8H/ota2Kx/h3/AMiBof8A2D4P/Ra1&#10;sUPcI7BRRRQM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rjfjN/wAg3Qf+w7Z/+jK7KuN+M3/IN0H/ALDtn/6MqofEiZ7HZUUUVJQUUUUA&#10;FFFFABRRRQAUUUUAFFFFABRRRQAUUUUAFFFFABRRRQAVj/ET/kQNc/7B8/8A6Latisf4if8AIga5&#10;/wBg+f8A9FtR1FLYPh3/AMiBof8A2D4P/Ra1sVj/AA7/AORA0P8A7B8H/ota2KHuEdgooooG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NypooAKKKKACiii&#10;gArjfjN/yDdB/wCw7Z/+jK7KuN+M3/IN0H/sO2f/AKMqofEiZ7HZUUUVJQUUUUAFFFFABRRRQAUU&#10;UUAFFFFABRRRQAUUUUAFFFFABRRRQAVj/ET/AJEDXP8AsHz/APotq2Kx/iJ/yIGuf9g+f/0W1HUU&#10;tg+Hf/IgaH/2D4P/AEWtbFY/w7/5EDQ/+wfB/wCi1rYoe4R2CiiigY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XG/Gb/kG6D/ANh2z/8A&#10;RldlXG/Gb/kG6D/2HbP/ANGVUPiRM9jsqKKKkoKKKKACiiigAooooAKKKKACiiigAooooAKKKKAC&#10;iiigAooooAKx/iJ/yIGuf9g+f/0W1bFY/wARP+RA1z/sHz/+i2o6ilsHw7/5EDQ/+wfB/wCi1rYr&#10;H+Hf/IgaH/2D4P8A0WtbFD3COwUUUUD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RW3dPpS0UADdKKKKACiiigArjfjN/yDdB/wCw7Z/+jK7KuN+M3/IN0H/s&#10;O2f/AKMqofEiZ7HZUUUVJQUUUUAFFFFABRRRQAUUUUAFFFFABRRRQAUUUUAFFFFABRRRQAVj/ET/&#10;AJEDXP8AsHz/APotq2Kx/iJ/yIGuf9g+f/0W1HUUtg+Hf/IgaH/2D4P/AEWtbFY/w7/5EDQ/+wfB&#10;/wCi1rYoe4R2CiiigY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AeRRRSMu4UACnIpSM0UUAFFFFABXG/Gb/kG6D/2HbP8A9GV2Vcb8Zv8AkG6D/wBh2z/9GVUP&#10;iRM9jsqKKKkoKKKKACiiigAooooAKKKKACiiigAooooAKKKKACiiigAooooAKx/iJ/yIGuf9g+f/&#10;ANFtWxWP8RP+RA1z/sHz/wDotqOopbB8O/8AkQND/wCwfB/6LWtisf4d/wDIgaH/ANg+D/0WtbFD&#10;3COwUUUUD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gHIooAKKKQrmgBa434zf8g3Qf+w7Z/wDoyuyrjfjN/wAg3Qf+w7Z/+jKqHxImex2VFFFSUFFF&#10;FABRRRQAUUUUAFFFFABRRRQAUUUUAFFFFABRRRQAUUUUAFY/xE/5EDXP+wfP/wCi2rYrH+In/Iga&#10;5/2D5/8A0W1HUUtg+Hf/ACIGh/8AYPg/9FrWxWP8O/8AkQND/wCwfB/6LWtih7hHYKKKKB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B5FFABRRQDxQAUUUU&#10;AFcb8Zv+QboP/Yds/wD0ZXYMuRXH/Gb/AJBug/8AYds//RlVD4kTPY7KiiipKCiiigAooooAKKKK&#10;ACiiigAooooAKKKKACiiigAooooAKKKKACsf4if8iBrn/YPn/wDRbVsVj/ET/kQNc/7B8/8A6Laj&#10;qKWwfDv/AJEDQ/8AsHwf+i1rYrH+Hf8AyIGh/wDYPg/9FrWxQ9wjsFFFFA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&#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434zf8g3Qf+w7Z&#10;/wDoyuyrjfjN/wAg3Qf+w7Z/+jKqHxImex2VFFFSUFFFFABRRRQAUUUUAFFFFABRRRQAUUUUAFFF&#10;FABRRRQAUUUUAFY/xE/5EDXP+wfP/wCi2rYrH+In/Iga5/2D5/8A0W1HUUtg+Hf/ACIGh/8AYPg/&#10;9FrWxWP8O/8AkQND/wCwfB/6LWtih7hHYKKKKB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cb8Zv+QboP/Yds/wD0ZXZVxvxm/wCQboP/&#10;AGHbP/0ZVQ+JEz2OyoooqSgooooAKKKKACiiigAooooAKKKKACiiigAooooAKKKKACiiigArH+In&#10;/Iga5/2D5/8A0W1bFY/xE/5EDXP+wfP/AOi2o6ilsHw7/wCRA0P/ALB8H/ota2Kx/h3/AMiBof8A&#10;2D4P/Ra1sUPcI7BRRRQM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rjfjN/wAg3Qf+w7Z/+jK7KuN+M3/IN0H/ALDtn/6MqofEiZ7HZUUU&#10;VJQUUUUAFFFFABRRRQAUUUUAFFFFABRRRQAUUUUAFFFFABRRRQAVj/ET/kQNc/7B8/8A6Latisf4&#10;if8AIga5/wBg+f8A9FtR1FLYPh3/AMiBof8A2D4P/Ra1sVj/AA7/AORA0P8A7B8H/ota2KHuEdgo&#10;oooG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Vxvxm/wCQboP/AGHbP/0ZXZVxvxm/5Bug/wDYds//AEZVQ+JEz2OyoooqSgooooAKKKKA&#10;CiiigAooooAKKKKACiiigAooooAKKKKACiiigArH+In/ACIGuf8AYPn/APRbVsVj/ET/AJEDXP8A&#10;sHz/APotqOopbB8O/wDkQND/AOwfB/6LWtisf4d/8iBof/YPg/8ARa1sUPcI7BRRRQM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rjfjN/&#10;yDdB/wCw7Z/+jK7KuN+M3/IN0H/sO2f/AKMqofEiZ7HZUUUVJQUUUUAFFFFABRRRQAUUUUAFFFFA&#10;BRRRQAUUUUAFFFFABRRRQAVj/ET/AJEDXP8AsHz/APotq2Kx/iJ/yIGuf9g+f/0W1HUUtg+Hf/Ig&#10;aH/2D4P/AEWtbFY/w7/5EDQ/+wfB/wCi1rYoe4R2CiiigY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XG/Gb/kG6D/ANh2z/8ARldlXG/G&#10;b/kG6D/2HbP/ANGVUPiRM9jsqKKKkoKKKKACiiigAooooAKKKKACiiigAooooAKKKKACiiigAooo&#10;oAKx/iJ/yIGuf9g+f/0W1bFY/wARP+RA1z/sHz/+i2o6ilsHw7/5EDQ/+wfB/wCi1rYrH+Hf/Iga&#10;H/2D4P8A0WtbFD3COwUUUUD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434zf8g3Qf+w7Z/8AoyuyrjfjN/yDdB/7Dtn/AOjKqHxImex2&#10;VFFFSUFFFFABRRRQAUUUUAFFFFABRRRQAUUUUAFFFFABRRRQAUUUUAFY/wARP+RA1z/sHz/+i2rY&#10;rH+In/Iga5/2D5//AEW1HUUtg+Hf/IgaH/2D4P8A0WtbFY/w7/5EDQ/+wfB/6LWtih7hHYKKKKB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cb8Zv+QboP/Yds/8A0ZXZVxvxm/5Bug/9h2z/APRlVD4kTPY7KiiipKCiiigAooooAKKKKACi&#10;iigAooooAKKKKACiiigAooooAKKKKACsf4if8iBrn/YPn/8ARbVsVj/ET/kQNc/7B8//AKLajqKW&#10;wfDv/kQND/7B8H/ota2Kx/h3/wAiBof/AGD4P/Ra1sUPcI7BRRRQM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jfjN/yDdB/7Dtn/AOjK&#10;7Kub+I3hy58SWelJaqjG11S3upMnHyI2TVR0dyZao6SiiipKCiiigAooooAKKKKACiiigAooooAK&#10;KKKACiiigAooooAKKKKACsf4if8AIga5/wBg+f8A9FtWxWX4x02TWPCeqWcAUzXVpLDHk7RuZCB/&#10;OjqD2I/h3/yIGh/9g+D/ANFrWxWX4O02TR/Cel2c4UTWtpFDJg7huVAD/KtSgS2CiiigY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">
                <v:shape id="_x0000_s1050" type="#_x0000_t202" style="position:absolute;left:5080;top:40767;width:5397;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" stroked="f">
                  <v:textbox>
                    <w:txbxContent>
                      <w:p w14:paraId="532B7A1A" w14:textId="77777777" w:rsidR="00C22CBD" w:rsidRPr="00DA2128" w:rsidRDefault="00C22CBD" w:rsidP="00C22CBD">
                        <w:pPr>
                          <w:rPr>
                            <w:rFonts w:ascii="Times New Roman" w:hAnsi="Times New Roman" w:cs="Times New Roman"/>
                            <w:b/>
                            <w:bCs/>
                          </w:rPr>
                        </w:pPr>
                        <w:r w:rsidRPr="00DA2128">
                          <w:rPr>
                            <w:rFonts w:ascii="Times New Roman" w:hAnsi="Times New Roman" w:cs="Times New Roman"/>
                            <w:b/>
                            <w:bCs/>
                          </w:rPr>
                          <w:t>HKR</w:t>
                        </w:r>
                      </w:p>
                    </w:txbxContent>
                  </v:textbox>
                </v:shape>
                <v:shape id="Bildobjekt 33" o:spid="_x0000_s1051" type="#_x0000_t75" alt="En bild som visar diagram, linje&#10;&#10;AI-genererat innehåll kan vara felaktigt." style="position:absolute;width:14859;height:39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">
                  <v:imagedata r:id="rId30" o:title="En bild som visar diagram, linje&#10;&#10;AI-genererat innehåll kan vara felaktigt" croptop="7488f" cropbottom="6881f" cropleft="23259f" cropright="31327f"/>
                </v:shape>
                <w10:wrap type="square"/>
              </v:group>
            </w:pict>
          </mc:Fallback>
        </mc:AlternateContent>
      </w:r>
      <w:r w:rsidRPr="00DA2128">
        <w:rPr>
          <w:noProof/>
          <w:lang w:eastAsia="en-GB"/>
        </w:rPr>
        <mc:AlternateContent>
          <mc:Choice Requires="wpg">
            <w:drawing>
              <wp:anchor distT="0" distB="0" distL="114300" distR="114300" simplePos="0" relativeHeight="251727872" behindDoc="0" locked="0" layoutInCell="1" allowOverlap="1" wp14:anchorId="6A484E27" wp14:editId="72EB1AD0">
                <wp:simplePos x="0" y="0"/>
                <wp:positionH relativeFrom="column">
                  <wp:posOffset>3308350</wp:posOffset>
                </wp:positionH>
                <wp:positionV relativeFrom="paragraph">
                  <wp:posOffset>318135</wp:posOffset>
                </wp:positionV>
                <wp:extent cx="1562100" cy="4368800"/>
                <wp:effectExtent l="0" t="0" r="0" b="0"/>
                <wp:wrapSquare wrapText="bothSides"/>
                <wp:docPr id="1697451353" name="Grupp 36"/>
                <wp:cNvGraphicFramePr/>
                <a:graphic xmlns:a="http://schemas.openxmlformats.org/drawingml/2006/main">
                  <a:graphicData uri="http://schemas.microsoft.com/office/word/2010/wordprocessingGroup">
                    <wpg:wgp>
                      <wpg:cNvGrpSpPr/>
                      <wpg:grpSpPr>
                        <a:xfrm>
                          <a:off x="0" y="0"/>
                          <a:ext cx="1562100" cy="4368800"/>
                          <a:chOff x="0" y="0"/>
                          <a:chExt cx="1562100" cy="4368800"/>
                        </a:xfrm>
                      </wpg:grpSpPr>
                      <wps:wsp>
                        <wps:cNvPr id="1101836736" name="Textruta 2"/>
                        <wps:cNvSpPr txBox="1">
                          <a:spLocks noChangeArrowheads="1"/>
                        </wps:cNvSpPr>
                        <wps:spPr bwMode="auto">
                          <a:xfrm>
                            <a:off x="463550" y="4083050"/>
                            <a:ext cx="760095" cy="285750"/>
                          </a:xfrm>
                          <a:prstGeom prst="rect">
                            <a:avLst/>
                          </a:prstGeom>
                          <a:solidFill>
                            <a:srgbClr val="FFFFFF"/>
                          </a:solidFill>
                          <a:ln w="9525">
                            <a:noFill/>
                            <a:miter lim="800000"/>
                            <a:headEnd/>
                            <a:tailEnd/>
                          </a:ln>
                        </wps:spPr>
                        <wps:txbx>
                          <w:txbxContent>
                            <w:p w14:paraId="589690DF" w14:textId="77777777" w:rsidR="00C22CBD" w:rsidRPr="00DA2128" w:rsidRDefault="00C22CBD" w:rsidP="00C22CBD">
                              <w:pPr>
                                <w:rPr>
                                  <w:rFonts w:ascii="Times New Roman" w:hAnsi="Times New Roman" w:cs="Times New Roman"/>
                                  <w:b/>
                                  <w:bCs/>
                                  <w:szCs w:val="22"/>
                                </w:rPr>
                              </w:pPr>
                              <w:r w:rsidRPr="00DA2128">
                                <w:rPr>
                                  <w:rFonts w:ascii="Times New Roman" w:hAnsi="Times New Roman" w:cs="Times New Roman"/>
                                  <w:b/>
                                  <w:bCs/>
                                  <w:szCs w:val="22"/>
                                </w:rPr>
                                <w:t>LMU</w:t>
                              </w:r>
                            </w:p>
                          </w:txbxContent>
                        </wps:txbx>
                        <wps:bodyPr rot="0" vert="horz" wrap="square" lIns="91440" tIns="45720" rIns="91440" bIns="45720" anchor="t" anchorCtr="0">
                          <a:noAutofit/>
                        </wps:bodyPr>
                      </wps:wsp>
                      <pic:pic xmlns:pic="http://schemas.openxmlformats.org/drawingml/2006/picture">
                        <pic:nvPicPr>
                          <pic:cNvPr id="204932310" name="Bildobjekt 35" descr="En bild som visar skidsport, sluttning&#10;&#10;AI-genererat innehåll kan vara felaktigt."/>
                          <pic:cNvPicPr>
                            <a:picLocks noChangeAspect="1"/>
                          </pic:cNvPicPr>
                        </pic:nvPicPr>
                        <pic:blipFill rotWithShape="1">
                          <a:blip r:embed="rId31">
                            <a:extLst>
                              <a:ext uri="{28A0092B-C50C-407E-A947-70E740481C1C}">
                                <a14:useLocalDpi xmlns:a14="http://schemas.microsoft.com/office/drawing/2010/main" val="0"/>
                              </a:ext>
                            </a:extLst>
                          </a:blip>
                          <a:srcRect l="35204" t="11681" r="47229" b="10245"/>
                          <a:stretch>
                            <a:fillRect/>
                          </a:stretch>
                        </pic:blipFill>
                        <pic:spPr bwMode="auto">
                          <a:xfrm>
                            <a:off x="0" y="0"/>
                            <a:ext cx="1562100" cy="3905250"/>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A484E27" id="Grupp 36" o:spid="_x0000_s1052" style="position:absolute;margin-left:260.5pt;margin-top:25.05pt;width:123pt;height:344pt;z-index:251727872" coordsize="15621,4368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QRk0UUAFFIybjS0AFFFFABRRRQAVzvxA8UXH&#10;he00yS3EJa81K3s38xS2FkfacYPWuirjfjN/yDdB/wCw7Z/+jKqOrsTJ2R2VFFFSUFFFFABRRRQA&#10;UUUUAFFFFABRRRQAUUUUAFFFFABRRRQAUUUUAFZvi3U5NE8L6lewhDLZ2ssyBh8pKoSM+3FaVY/x&#10;E/5EDXP+wfP/AOi2oW4PYm8JanJrfhfTb2YIJby1imcKPlBZATj25rSrH+Hf/IgaH/2D4P8A0Wtb&#10;FHUS2CiiigY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TZ&#10;Y9496dRQAUUjLupaACiiigArjfjN/wAg3Qf+w7Z/+jK7KuN+M3/IN0H/ALDtn/6MqofEiZ7HZUUU&#10;VJQUUUUAFFFFABRRRQAUUUUAFFFFABRRRQAUUUUAFFFFABRRRQAVj/ET/kQNc/7B8/8A6Latisf4&#10;if8AIga5/wBg+f8A9FtR1FLYPh3/AMiBof8A2D4P/Ra1sVj/AA7/AORA0P8A7B8H/ota2KHuEdgo&#10;oooG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IGDU&#10;pGRRTY5PMz22nBoAdRSMu5aWgArjfjN/yDdB/wCw7Z/+jK7KuN+M3/IN0H/sO2f/AKMqofEiZ7HZ&#10;UUUVJQUUUUAFFFFABRRRQAUUUUAFFFFABRRRQAUUUUAFFFFABRRRQAVj/ET/AJEDXP8AsHz/APot&#10;q2Kx/iJ/yIGuf9g+f/0W1HUUtg+Hf/IgaH/2D4P/AEWtbFY/w7/5EDQ/+wfB/wCi1rYoe4R2Ciii&#10;gY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QRmikLYOKAF&#10;oooIzQAA5FMlj3cjr/On0UAFcb8Zv+QboP8A2HbP/wBGV2DJk5rj/jN/yDdB/wCw7Z/+jKqHxIme&#10;x2VFFFSUFFFFABRRRQAUUUUAFFFFABRRRQAUUUUAFFFFABRRRQAUUUUAFY/xE/5EDXP+wfP/AOi2&#10;rYrH+In/ACIGuf8AYPn/APRbUdRS2D4d/wDIgaH/ANg+D/0WtbFY/wAO/wDkQND/AOwfB/6LWtih&#10;7hHYKKKKB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434zf8g3Qf+w7Z/wDoyuyrjfjN/wAg3Qf+w7Z/+jKqHxImex2V&#10;FFFSUFFFFABRRRQAUUUUAFFFFABRRRQAUUUUAFFFFABRRRQAUUUUAFY/xE/5EDXP+wfP/wCi2rYr&#10;H+In/Iga5/2D5/8A0W1HUUtg+Hf/ACIGh/8AYPg/9FrWxWP8O/8AkQND/wCwfB/6LWtih7hHYKKK&#10;KB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cb8Zv+QboP/Yds/wD0ZXZVzfxG8OXPiSz0pLVUY2uqW91Jk4+RGyaqOjuTLVHSUUUVJQUU&#10;UUAFFFFABRRRQAUUUUAFFFFABRRRQAUUUUAFFFFABRRRQAVj/ET/AJEDXP8AsHz/APotq2Ky/GOm&#10;yax4T1SzgCma6tJYY8naNzIQP50dQexH8O/+RA0P/sHwf+i1rYrL8HabJo/hPS7OcKJrW0ihkwdw&#10;3KgB/lWpQJbBRRRQM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">
                <v:shape id="_x0000_s1053" type="#_x0000_t202" style="position:absolute;left:4635;top:40830;width:7601;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" stroked="f">
                  <v:textbox>
                    <w:txbxContent>
                      <w:p w14:paraId="589690DF" w14:textId="77777777" w:rsidR="00C22CBD" w:rsidRPr="00DA2128" w:rsidRDefault="00C22CBD" w:rsidP="00C22CBD">
                        <w:pPr>
                          <w:rPr>
                            <w:rFonts w:ascii="Times New Roman" w:hAnsi="Times New Roman" w:cs="Times New Roman"/>
                            <w:b/>
                            <w:bCs/>
                            <w:szCs w:val="22"/>
                          </w:rPr>
                        </w:pPr>
                        <w:r w:rsidRPr="00DA2128">
                          <w:rPr>
                            <w:rFonts w:ascii="Times New Roman" w:hAnsi="Times New Roman" w:cs="Times New Roman"/>
                            <w:b/>
                            <w:bCs/>
                            <w:szCs w:val="22"/>
                          </w:rPr>
                          <w:t>LMU</w:t>
                        </w:r>
                      </w:p>
                    </w:txbxContent>
                  </v:textbox>
                </v:shape>
                <v:shape id="Bildobjekt 35" o:spid="_x0000_s1054" type="#_x0000_t75" alt="En bild som visar skidsport, sluttning&#10;&#10;AI-genererat innehåll kan vara felaktigt." style="position:absolute;width:15621;height:39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">
                  <v:imagedata r:id="rId32" o:title="En bild som visar skidsport, sluttning&#10;&#10;AI-genererat innehåll kan vara felaktigt" croptop="7655f" cropbottom="6714f" cropleft="23071f" cropright="30952f"/>
                </v:shape>
                <w10:wrap type="square"/>
              </v:group>
            </w:pict>
          </mc:Fallback>
        </mc:AlternateContent>
      </w:r>
      <w:r w:rsidRPr="00DA2128">
        <w:rPr>
          <w:noProof/>
          <w:lang w:eastAsia="en-GB"/>
        </w:rPr>
        <mc:AlternateContent>
          <mc:Choice Requires="wpg">
            <w:drawing>
              <wp:anchor distT="0" distB="0" distL="114300" distR="114300" simplePos="0" relativeHeight="251728896" behindDoc="0" locked="0" layoutInCell="1" allowOverlap="1" wp14:anchorId="407085F0" wp14:editId="37CF2314">
                <wp:simplePos x="0" y="0"/>
                <wp:positionH relativeFrom="column">
                  <wp:posOffset>5029200</wp:posOffset>
                </wp:positionH>
                <wp:positionV relativeFrom="paragraph">
                  <wp:posOffset>318135</wp:posOffset>
                </wp:positionV>
                <wp:extent cx="1517650" cy="4347845"/>
                <wp:effectExtent l="0" t="0" r="6350" b="0"/>
                <wp:wrapSquare wrapText="bothSides"/>
                <wp:docPr id="133298857" name="Grupp 39"/>
                <wp:cNvGraphicFramePr/>
                <a:graphic xmlns:a="http://schemas.openxmlformats.org/drawingml/2006/main">
                  <a:graphicData uri="http://schemas.microsoft.com/office/word/2010/wordprocessingGroup">
                    <wpg:wgp>
                      <wpg:cNvGrpSpPr/>
                      <wpg:grpSpPr>
                        <a:xfrm>
                          <a:off x="0" y="0"/>
                          <a:ext cx="1517650" cy="4347845"/>
                          <a:chOff x="0" y="0"/>
                          <a:chExt cx="1517650" cy="4347845"/>
                        </a:xfrm>
                      </wpg:grpSpPr>
                      <pic:pic xmlns:pic="http://schemas.openxmlformats.org/drawingml/2006/picture">
                        <pic:nvPicPr>
                          <pic:cNvPr id="722908705" name="Bildobjekt 38"/>
                          <pic:cNvPicPr>
                            <a:picLocks noChangeAspect="1"/>
                          </pic:cNvPicPr>
                        </pic:nvPicPr>
                        <pic:blipFill rotWithShape="1">
                          <a:blip r:embed="rId33">
                            <a:extLst>
                              <a:ext uri="{28A0092B-C50C-407E-A947-70E740481C1C}">
                                <a14:useLocalDpi xmlns:a14="http://schemas.microsoft.com/office/drawing/2010/main" val="0"/>
                              </a:ext>
                            </a:extLst>
                          </a:blip>
                          <a:srcRect l="35418" t="12060" r="47515" b="10499"/>
                          <a:stretch>
                            <a:fillRect/>
                          </a:stretch>
                        </pic:blipFill>
                        <pic:spPr bwMode="auto">
                          <a:xfrm>
                            <a:off x="0" y="0"/>
                            <a:ext cx="1517650" cy="3873500"/>
                          </a:xfrm>
                          <a:prstGeom prst="rect">
                            <a:avLst/>
                          </a:prstGeom>
                          <a:ln>
                            <a:noFill/>
                          </a:ln>
                          <a:extLst>
                            <a:ext uri="{53640926-AAD7-44D8-BBD7-CCE9431645EC}">
                              <a14:shadowObscured xmlns:a14="http://schemas.microsoft.com/office/drawing/2010/main"/>
                            </a:ext>
                          </a:extLst>
                        </pic:spPr>
                      </pic:pic>
                      <wps:wsp>
                        <wps:cNvPr id="507266055" name="Textruta 2"/>
                        <wps:cNvSpPr txBox="1">
                          <a:spLocks noChangeArrowheads="1"/>
                        </wps:cNvSpPr>
                        <wps:spPr bwMode="auto">
                          <a:xfrm>
                            <a:off x="457200" y="4076700"/>
                            <a:ext cx="760095" cy="271145"/>
                          </a:xfrm>
                          <a:prstGeom prst="rect">
                            <a:avLst/>
                          </a:prstGeom>
                          <a:solidFill>
                            <a:srgbClr val="FFFFFF"/>
                          </a:solidFill>
                          <a:ln w="9525">
                            <a:noFill/>
                            <a:miter lim="800000"/>
                            <a:headEnd/>
                            <a:tailEnd/>
                          </a:ln>
                        </wps:spPr>
                        <wps:txbx>
                          <w:txbxContent>
                            <w:p w14:paraId="01D18765" w14:textId="77777777" w:rsidR="00C22CBD" w:rsidRPr="00DA2128" w:rsidRDefault="00C22CBD" w:rsidP="00C22CBD">
                              <w:pPr>
                                <w:rPr>
                                  <w:rFonts w:ascii="Times New Roman" w:hAnsi="Times New Roman" w:cs="Times New Roman"/>
                                  <w:b/>
                                  <w:bCs/>
                                </w:rPr>
                              </w:pPr>
                              <w:r w:rsidRPr="00DA2128">
                                <w:rPr>
                                  <w:rFonts w:ascii="Times New Roman" w:hAnsi="Times New Roman" w:cs="Times New Roman"/>
                                  <w:b/>
                                  <w:bCs/>
                                </w:rPr>
                                <w:t>UCLM</w:t>
                              </w:r>
                            </w:p>
                          </w:txbxContent>
                        </wps:txbx>
                        <wps:bodyPr rot="0" vert="horz" wrap="square" lIns="91440" tIns="45720" rIns="91440" bIns="45720" anchor="t" anchorCtr="0">
                          <a:noAutofit/>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07085F0" id="Grupp 39" o:spid="_x0000_s1055" style="position:absolute;margin-left:396pt;margin-top:25.05pt;width:119.5pt;height:342.35pt;z-index:251728896" coordsize="15176,4347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c78QPFFx4XtNMktxCWvNSt7N/MUthZH2nGD1roq43&#10;4zf8g3Qf+w7Z/wDoyqjq7EydkdlRRRUlBRRRQAUUUUAFFFFABRRRQAUUUUAFFFFABRRRQAUUUUAF&#10;FFFABWb4t1OTRPC+pXsIQy2drLMgYfKSqEjPtxWlWP8AET/kQNc/7B8//otqFuD2JvCWpya34X02&#10;9mCCW8tYpnCj5QWQE49ua0qx/h3/AMiBof8A2D4P/Ra1sUdRLYKKKKB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cb8Zv+QboP/Yds/8A&#10;0ZXZVxvxm/5Bug/9h2z/APRlVD4kTPY7KiiipKCiiigAooooAKKKKACiiigAooooAKKKKACiiigA&#10;ooooAKKKKACsf4if8iBrn/YPn/8ARbVsVj/ET/kQNc/7B8//AKLajqKWwfDv/kQND/7B8H/ota2K&#10;x/h3/wAiBof/AGD4P/Ra1sUPcI7BRRRQM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rjfjN/yDdB/7Dtn/AOjK7KuN+M3/ACDdB/7Dtn/6&#10;MqofEiZ7HZUUUVJQUUUUAFFFFABRRRQAUUUUAFFFFABRRRQAUUUUAFFFFABRRRQAVj/ET/kQNc/7&#10;B8//AKLatisf4if8iBrn/YPn/wDRbUdRS2D4d/8AIgaH/wBg+D/0WtbFY/w7/wCRA0P/ALB8H/ot&#10;a2KHuEdgooooG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Vxvxm/5Bug/9h2z/APRldlXG/Gb/AJBug/8AYds//RlVD4kTPY7KiiipKCii&#10;igAooooAKKKKACiiigAooooAKKKKACiiigAooooAKKKKACsf4if8iBrn/YPn/wDRbVsVj/ET/kQN&#10;c/7B8/8A6LajqKWwfDv/AJEDQ/8AsHwf+i1rYrH+Hf8AyIGh/wDYPg/9FrWxQ9wjsFFFFA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uN&#10;+M3/ACDdB/7Dtn/6Mrsq434zf8g3Qf8AsO2f/oyqh8SJnsdlRRRUlBRRRQAUUUUAFFFFABRRRQAU&#10;UUUAFFFFABRRRQAUUUUAFFFFABWP8RP+RA1z/sHz/wDotq2Kx/iJ/wAiBrn/AGD5/wD0W1HUUtg+&#10;Hf8AyIGh/wDYPg/9FrWxWP8ADv8A5EDQ/wDsHwf+i1rYoe4R2CiiigY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GyYf6/pUlBGRQAUUUUAFcb8Zv+Qb&#10;oP8A2HbP/wBGV2Vcb8Zv+QboP/Yds/8A0ZVQ+JEz2OyoooqSgooooAKKKKACiiigAooooAKKKKAC&#10;iiigAooooAKKKKACiiigArH+In/Iga5/2D5//RbVsVj/ABE/5EDXP+wfP/6LajqKWwfDv/kQND/7&#10;B8H/AKLWtisf4d/8iBof/YPg/wDRa1sUPcI7BRRRQM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Ac0UUABG4UU1WycHr/OnUAFcb8Zv+QboP/Yds/wD0&#10;ZXZVxvxm/wCQboP/AGHbP/0ZVQ+JEz2OyoooqSgooooAKKKKACiiigAooooAKKKKACiiigAooooA&#10;KKKKACiiigArH+In/Iga5/2D5/8A0W1bFY/xE/5EDXP+wfP/AOi2o6ilsHw7/wCRA0P/ALB8H/ot&#10;a2Kx/h3/AMiBof8A2D4P/Ra1sUPcI7BRRRQM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Ac0U1TtbHvQA6gHIoooAK434zf8g3Qf+w7Z/wDoyuxYblxX&#10;HfGb/kG6D/2HbP8A9GVUPiRM9jsqKKKkoKKKKACiiigAooooAKKKKACiiigAooooAKKKKACiiigA&#10;ooooAKx/iJ/yIGuf9g+f/wBFtWxWP8RP+RA1z/sHz/8AotqOopbB8O/+RA0P/sHwf+i1rYrH+Hf/&#10;ACIGh/8AYPg/9FrWxQ9wjsFFFFA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&#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434zf8g3Qf8AsO2f/oyuyrjfjN/yDdB/7Dtn/wCjKqHxImex&#10;2VFFFSUFFFFABRRRQAUUUUAFFFFABRRRQAUUUUAFFFFABRRRQAUUUUAFY/xE/wCRA1z/ALB8/wD6&#10;Latisf4if8iBrn/YPn/9FtR1FLYPh3/yIGh/9g+D/wBFrWxWP8O/+RA0P/sHwf8Aota2KHuEdgoo&#10;ooG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Vxvxm/5Bug/wDYds//AEZXZVxvxm/5Bug/9h2z/wDRlVD4kTPY7KiiipKCiiigAooooAKK&#10;KKACiiigAooooAKKKKACiiigAooooAKKKKACsf4if8iBrn/YPn/9FtWxWP8AET/kQNc/7B8//otq&#10;OopbB8O/+RA0P/sHwf8Aota2Kx/h3/yIGh/9g+D/ANFrWxQ9wjsFFFFAw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uN+M3/IN0H/sO2f/&#10;AKMrsq434zf8g3Qf+w7Z/wDoyqh8SJnsdlRRRUlBRRRQAUUUUAFFFFABRRRQAUUUUAFFFFABRRRQ&#10;AUUUUAFFFFABWP8AET/kQNc/7B8//otq2Kx/iJ/yIGuf9g+f/wBFtR1FLYPh3/yIGh/9g+D/ANFr&#10;WxWP8O/+RA0P/sHwf+i1rYoe4R2CiiigY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XG/Gb/kG6D/2HbP/ANGV2Vcb8Zv+QboP/Yds/wD0&#10;ZVQ+JEz2OyoooqSgooooAKKKKACiiigAooooAKKKKACiiigAooooAKKKKACiiigArH+In/Iga5/2&#10;D5//AEW1bFY/xE/5EDXP+wfP/wCi2o6ilsHw7/5EDQ/+wfB/6LWtisf4d/8AIgaH/wBg+D/0WtbF&#10;D3COwUUUUD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434zf8g3Qf+w7Z/wDoyuyrjfjN/wAg3Qf+w7Z/+jKqHxImex2VFFFSUFFFFABR&#10;RRQAUUUUAFFFFABRRRQAUUUUAFFFFABRRRQAUUUUAFY/xE/5EDXP+wfP/wCi2rYrH+In/Iga5/2D&#10;5/8A0W1HUUtg+Hf/ACIGh/8AYPg/9FrWxWP8O/8AkQND/wCwfB/6LWtih7hHYKKKKB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cb8Zv+&#10;QboP/Yds/wD0ZXZVxvxm/wCQboP/AGHbP/0ZVQ+JEz2OyoooqSgooooAKKKKACiiigAooooAKKKK&#10;ACiiigAooooAKKKKACiiigArH+In/Iga5/2D5/8A0W1bFY/xE/5EDXP+wfP/AOi2o6ilsHw7/wCR&#10;A0P/ALB8H/ota2Kx/h3/AMiBof8A2D4P/Ra1sUPcI7BRRRQM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rjfjN/wAg3Qf+w7Z/+jK7KuN+&#10;M3/IN0H/ALDtn/6MqofEiZ7HZUUUVJQUUUUAFFFFABRRRQAUUUUAFFFFABRRRQAUUUUAFFFFABRR&#10;RQAVj/ET/kQNc/7B8/8A6Latisf4if8AIga5/wBg+f8A9FtR1FLYPh3/AMiBof8A2D4P/Ra1sVj/&#10;AA7/AORA0P8A7B8H/ota2KHuEdgooooG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Vxvxm/wCQboP/AGHbP/0ZXZVxvxm/5Bug/wDYds//&#10;AEZVQ+JEz2OyoooqSgooooAKKKKACiiigAooooAKKKKACiiigAooooAKKKKACiiigArH+In/ACIG&#10;uf8AYPn/APRbVsVj/ET/AJEDXP8AsHz/APotqOopbB8O/wDkQND/AOwfB/6LWtisf4d/8iBof/YP&#10;g/8ARa1sUPcI7BRRRQM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rjfjN/yDdB/wCw7Z/+jK7KuN+M3/IN0H/sO2f/AKMqofEiZ7HZUUUV&#10;JQUUUUAFFFFABRRRQAUUUUAFFFFABRRRQAUUUUAFFFFABRRRQAVj/ET/AJEDXP8AsHz/APotq2Kx&#10;/iJ/yIGuf9g+f/0W1HUUtg+Hf/IgaH/2D4P/AEWtbFY/w7/5EDQ/+wfB/wCi1rYoe4R2CiiigY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XG/Gb/kG6D/ANh2z/8ARldlXG/Gb/kG6D/2HbP/ANGVUPiRM9jsqKKKkoKKKKACiiigAooooAKK&#10;KKACiiigAooooAKKKKACiiigAooooAKx/iJ/yIGuf9g+f/0W1bFY/wARP+RA1z/sHz/+i2o6ilsH&#10;w7/5EDQ/+wfB/wCi1rYrH+Hf/IgaH/2D4P8A0WtbFD3COwUUUUD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434zf8g3Qf+w7Z/8Aoyuy&#10;rjfjN/yDdB/7Dtn/AOjKqHxImex2VFFFSUFFFFABRRRQAUUUUAFFFFABRRRQAUUUUAFFFFABRRRQ&#10;AUUUUAFY/wARP+RA1z/sHz/+i2rYrH+In/Iga5/2D5//AEW1HUUtg+Hf/IgaH/2D4P8A0WtbFY/w&#10;7/5EDQ/+wfB/6LWtih7hHYKKKKB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cb8Zv+QboP/Yds/8A0ZXZVzfxG8OXPiSz0pLVUY2uqW91&#10;Jk4+RGyaqOjuTLVHSUUUVJQUUUUAFFFFABRRRQAUUUUAFFFFABRRRQAUUUUAFFFFABRRRQAVj/ET&#10;/kQNc/7B8/8A6LatisvxjpsmseE9Us4ApmurSWGPJ2jcyED+dHUHsR/Dv/kQND/7B8H/AKLWtisv&#10;wdpsmj+E9Ls5womtbSKGTB3DcqAH+ValAlsFFFFAw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">
                <v:shape id="Bildobjekt 38" o:spid="_x0000_s1056" type="#_x0000_t75" style="position:absolute;width:15176;height:38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">
                  <v:imagedata r:id="rId34" o:title="" croptop="7904f" cropbottom="6881f" cropleft="23212f" cropright="31139f"/>
                </v:shape>
                <v:shape id="_x0000_s1057" type="#_x0000_t202" style="position:absolute;left:4572;top:40767;width:7600;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" stroked="f">
                  <v:textbox>
                    <w:txbxContent>
                      <w:p w14:paraId="01D18765" w14:textId="77777777" w:rsidR="00C22CBD" w:rsidRPr="00DA2128" w:rsidRDefault="00C22CBD" w:rsidP="00C22CBD">
                        <w:pPr>
                          <w:rPr>
                            <w:rFonts w:ascii="Times New Roman" w:hAnsi="Times New Roman" w:cs="Times New Roman"/>
                            <w:b/>
                            <w:bCs/>
                          </w:rPr>
                        </w:pPr>
                        <w:r w:rsidRPr="00DA2128">
                          <w:rPr>
                            <w:rFonts w:ascii="Times New Roman" w:hAnsi="Times New Roman" w:cs="Times New Roman"/>
                            <w:b/>
                            <w:bCs/>
                          </w:rPr>
                          <w:t>UCLM</w:t>
                        </w:r>
                      </w:p>
                    </w:txbxContent>
                  </v:textbox>
                </v:shape>
                <w10:wrap type="square"/>
              </v:group>
            </w:pict>
          </mc:Fallback>
        </mc:AlternateContent>
      </w:r>
      <w:r w:rsidRPr="00DA2128">
        <w:rPr>
          <w:noProof/>
          <w:lang w:eastAsia="en-GB"/>
        </w:rPr>
        <mc:AlternateContent>
          <mc:Choice Requires="wpg">
            <w:drawing>
              <wp:anchor distT="0" distB="0" distL="114300" distR="114300" simplePos="0" relativeHeight="251729920" behindDoc="0" locked="0" layoutInCell="1" allowOverlap="1" wp14:anchorId="20817668" wp14:editId="21A839D7">
                <wp:simplePos x="0" y="0"/>
                <wp:positionH relativeFrom="column">
                  <wp:posOffset>6743700</wp:posOffset>
                </wp:positionH>
                <wp:positionV relativeFrom="paragraph">
                  <wp:posOffset>318135</wp:posOffset>
                </wp:positionV>
                <wp:extent cx="1473200" cy="4366895"/>
                <wp:effectExtent l="0" t="0" r="0" b="0"/>
                <wp:wrapSquare wrapText="bothSides"/>
                <wp:docPr id="286119848" name="Grupp 41"/>
                <wp:cNvGraphicFramePr/>
                <a:graphic xmlns:a="http://schemas.openxmlformats.org/drawingml/2006/main">
                  <a:graphicData uri="http://schemas.microsoft.com/office/word/2010/wordprocessingGroup">
                    <wpg:wgp>
                      <wpg:cNvGrpSpPr/>
                      <wpg:grpSpPr>
                        <a:xfrm>
                          <a:off x="0" y="0"/>
                          <a:ext cx="1473200" cy="4366895"/>
                          <a:chOff x="0" y="0"/>
                          <a:chExt cx="1473200" cy="4366895"/>
                        </a:xfrm>
                      </wpg:grpSpPr>
                      <pic:pic xmlns:pic="http://schemas.openxmlformats.org/drawingml/2006/picture">
                        <pic:nvPicPr>
                          <pic:cNvPr id="385088383" name="Bildobjekt 40" descr="En bild som visar linje, text&#10;&#10;AI-genererat innehåll kan vara felaktigt."/>
                          <pic:cNvPicPr>
                            <a:picLocks noChangeAspect="1"/>
                          </pic:cNvPicPr>
                        </pic:nvPicPr>
                        <pic:blipFill rotWithShape="1">
                          <a:blip r:embed="rId35">
                            <a:extLst>
                              <a:ext uri="{28A0092B-C50C-407E-A947-70E740481C1C}">
                                <a14:useLocalDpi xmlns:a14="http://schemas.microsoft.com/office/drawing/2010/main" val="0"/>
                              </a:ext>
                            </a:extLst>
                          </a:blip>
                          <a:srcRect l="35276" t="11808" r="48157" b="10309"/>
                          <a:stretch>
                            <a:fillRect/>
                          </a:stretch>
                        </pic:blipFill>
                        <pic:spPr bwMode="auto">
                          <a:xfrm>
                            <a:off x="0" y="0"/>
                            <a:ext cx="1473200" cy="3895725"/>
                          </a:xfrm>
                          <a:prstGeom prst="rect">
                            <a:avLst/>
                          </a:prstGeom>
                          <a:ln>
                            <a:noFill/>
                          </a:ln>
                          <a:extLst>
                            <a:ext uri="{53640926-AAD7-44D8-BBD7-CCE9431645EC}">
                              <a14:shadowObscured xmlns:a14="http://schemas.microsoft.com/office/drawing/2010/main"/>
                            </a:ext>
                          </a:extLst>
                        </pic:spPr>
                      </pic:pic>
                      <wps:wsp>
                        <wps:cNvPr id="963097337" name="Textruta 2"/>
                        <wps:cNvSpPr txBox="1">
                          <a:spLocks noChangeArrowheads="1"/>
                        </wps:cNvSpPr>
                        <wps:spPr bwMode="auto">
                          <a:xfrm>
                            <a:off x="457200" y="4051300"/>
                            <a:ext cx="641350" cy="315595"/>
                          </a:xfrm>
                          <a:prstGeom prst="rect">
                            <a:avLst/>
                          </a:prstGeom>
                          <a:solidFill>
                            <a:srgbClr val="FFFFFF"/>
                          </a:solidFill>
                          <a:ln w="9525">
                            <a:noFill/>
                            <a:miter lim="800000"/>
                            <a:headEnd/>
                            <a:tailEnd/>
                          </a:ln>
                        </wps:spPr>
                        <wps:txbx>
                          <w:txbxContent>
                            <w:p w14:paraId="6C222BCE" w14:textId="77777777" w:rsidR="00C22CBD" w:rsidRPr="00DA2128" w:rsidRDefault="00C22CBD" w:rsidP="00C22CBD">
                              <w:pPr>
                                <w:rPr>
                                  <w:rFonts w:ascii="Times New Roman" w:hAnsi="Times New Roman" w:cs="Times New Roman"/>
                                  <w:b/>
                                  <w:bCs/>
                                </w:rPr>
                              </w:pPr>
                              <w:r w:rsidRPr="00DA2128">
                                <w:rPr>
                                  <w:rFonts w:ascii="Times New Roman" w:hAnsi="Times New Roman" w:cs="Times New Roman"/>
                                  <w:b/>
                                  <w:bCs/>
                                </w:rPr>
                                <w:t>UKLO</w:t>
                              </w:r>
                            </w:p>
                          </w:txbxContent>
                        </wps:txbx>
                        <wps:bodyPr rot="0" vert="horz" wrap="square" lIns="91440" tIns="45720" rIns="91440" bIns="45720" anchor="t" anchorCtr="0">
                          <a:noAutofit/>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0817668" id="Grupp 41" o:spid="_x0000_s1058" style="position:absolute;margin-left:531pt;margin-top:25.05pt;width:116pt;height:343.85pt;z-index:251729920" coordsize="14732,4366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c78QPFFx4XtNMktxCWvNSt7N/MUth&#10;ZH2nGD1roq434zf8g3Qf+w7Z/wDoyqjq7EydkdlRRRUlBRRRQAUUUUAFFFFABRRRQAUUUUAFFFFA&#10;BRRRQAUUUUAFFFFABWb4t1OTRPC+pXsIQy2drLMgYfKSqEjPtxWlWP8AET/kQNc/7B8//otqFuD2&#10;JvCWpya34X029mCCW8tYpnCj5QWQE49ua0qx/h3/AMiBof8A2D4P/Ra1sUdRLYKKKKBh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Vxvxm/5Bug/9h2z/wDRldlXG/Gb/kG6D/2HbP8A9GVUPiRM9jsqKKKkoKKKKACiiigA&#10;ooooAKKKKACiiigAooooAKKKKACiiigAooooAKx/iJ/yIGuf9g+f/wBFtWxWP8RP+RA1z/sHz/8A&#10;otqOopbB8O/+RA0P/sHwf+i1rYrH+Hf/ACIGh/8AYPg/9FrWxQ9wjsFFFFAw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uN+M3/IN0H/sO&#10;2f8A6Mrsq434zf8AIN0H/sO2f/oyqh8SJnsdlRRRUlBRRRQAUUUUAFFFFABRRRQAUUUUAFFFFABR&#10;RRQAUUUUAFFFFABWP8RP+RA1z/sHz/8Aotq2Kx/iJ/yIGuf9g+f/ANFtR1FLYPh3/wAiBof/AGD4&#10;P/Ra1sVj/Dv/AJEDQ/8AsHwf+i1rYoe4R2CiiigY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XG/Gb/kG6D/2HbP8A9GV2Vcb8Zv8AkG6D&#10;/wBh2z/9GVUPiRM9jsqKKKkoKKKKACiiigAooooAKKKKACiiigAooooAKKKKACiiigAooooAKx/i&#10;J/yIGuf9g+f/ANFtWxWP8RP+RA1z/sHz/wDotqOopbB8O/8AkQND/wCwfB/6LWtisf4d/wDIgaH/&#10;ANg+D/0WtbFD3COwUUUUD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434zf8AIN0H/sO2f/oyuyrjfjN/yDdB/wCw7Z/+jKqHxImex2VF&#10;FFSUFFFFABRRRQAUUUUAFFFFABRRRQAUUUUAFFFFABRRRQAUUUUAFY/xE/5EDXP+wfP/AOi2rYrH&#10;+In/ACIGuf8AYPn/APRbUdRS2D4d/wDIgaH/ANg+D/0WtbFY/wAO/wDkQND/AOwfB/6LWtih7hHY&#10;KKKKB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cb8Zv8AkG6D/wBh2z/9GV2Vcb8Zv+QboP8A2HbP/wBGVUPiRM9jsqKKKkoKKKKACiii&#10;gAooooAKKKKACiiigAooooAKKKKACiiigAooooAKx/iJ/wAiBrn/AGD5/wD0W1bFY/xE/wCRA1z/&#10;ALB8/wD6LajqKWwfDv8A5EDQ/wDsHwf+i1rYrH+Hf/IgaH/2D4P/AEWtbFD3COwUUUUD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434z&#10;f8g3Qf8AsO2f/oyuyrjfjN/yDdB/7Dtn/wCjKqHxImex2VFFFSUFFFFABRRRQAUUUUAFFFFABRRR&#10;QAUUUUAFFFFABRRRQAUUUUAFY/xE/wCRA1z/ALB8/wD6Latisf4if8iBrn/YPn/9FtR1FLYPh3/y&#10;IGh/9g+D/wBFrWxWP8O/+RA0P/sHwf8Aota2KHuEdgooooG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Vxvxm/5Bug/wDYds//AEZXZVxv&#10;xm/5Bug/9h2z/wDRlVD4kTPY7KiiipKCiiigAooooAKKKKACiiigAooooAKKKKACiiigAooooAKK&#10;KKACsf4if8iBrn/YPn/9FtWxWP8AET/kQNc/7B8//otqOopbB8O/+RA0P/sHwf8Aota2Kx/h3/yI&#10;Gh/9g+D/ANFrWxQ9wjsFFFFAw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uN+M3/IN0H/sO2f/AKMrsq434zf8g3Qf+w7Z/wDoyqh8SJns&#10;dlRRRUlBRRRQAUUUUAFFFFABRRRQAUUUUAFFFFABRRRQAUUUUAFFFFABWP8AET/kQNc/7B8//otq&#10;2Kx/iJ/yIGuf9g+f/wBFtR1FLYPh3/yIGh/9g+D/ANFrWxWP8O/+RA0P/sHwf+i1rYoe4R2Ciiig&#10;Y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XG/Gb/kG6D/2HbP/ANGV2Vcb8Zv+QboP/Yds/wD0ZVQ+JEz2OyoooqSgooooAKKKKACiiigA&#10;ooooAKKKKACiiigAooooAKKKKACiiigArH+In/Iga5/2D5//AEW1bFY/xE/5EDXP+wfP/wCi2o6i&#10;lsHw7/5EDQ/+wfB/6LWtisf4d/8AIgaH/wBg+D/0WtbFD3COwUUUUD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434zf8g3Qf+w7Z/wDo&#10;yuyrjfjN/wAg3Qf+w7Z/+jKqHxImex2VFFFSUFFFFABRRRQAUUUUAFFFFABRRRQAUUUUAFFFFABR&#10;RRQAUUUUAFY/xE/5EDXP+wfP/wCi2rYrH+In/Iga5/2D5/8A0W1HUUtg+Hf/ACIGh/8AYPg/9FrW&#10;xWP8O/8AkQND/wCwfB/6LWtih7hHYKKKKB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cb8Zv+QboP/Yds/wD0ZXZVxvxm/wCQboP/AGHb&#10;P/0ZVQ+JEz2OyoooqSgooooAKKKKACiiigAooooAKKKKACiiigAooooAKKKKACiiigArH+In/Iga&#10;5/2D5/8A0W1bFY/xE/5EDXP+wfP/AOi2o6ilsHw7/wCRA0P/ALB8H/ota2Kx/h3/AMiBof8A2D4P&#10;/Ra1sUPcI7BRRRQM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jfjN/wAg3Qf+w7Z/+jK7KuN+M3/IN0H/ALDtn/6MqofEiZ7HZUUUVJQU&#10;UUUAFFFFABRRRQAUUUUAFFFFABRRRQAUUUUAFFFFABRRRQAVj/ET/kQNc/7B8/8A6Latisf4if8A&#10;Iga5/wBg+f8A9FtR1FLYPh3/AMiBof8A2D4P/Ra1sVj/AA7/AORA0P8A7B8H/ota2KHuEdgooooG&#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xvxm/wCQboP/AGHbP/0ZXZVxvxm/5Bug/wDYds//AEZVQ+JEz2OyoooqSgooooAKKKKACiii&#10;gAooooAKKKKACiiigAooooAKKKKACiiigArH+In/ACIGuf8AYPn/APRbVsVj/ET/AJEDXP8AsHz/&#10;APotqOopbB8O/wDkQND/AOwfB/6LWtisf4d/8iBof/YPg/8ARa1sUPcI7BRRRQM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rjfjN/yDdB&#10;/wCw7Z/+jK7KuN+M3/IN0H/sO2f/AKMqofEiZ7HZUUUVJQUUUUAFFFFABRRRQAUUUUAFFFFABRRR&#10;QAUUUUAFFFFABRRRQAVj/ET/AJEDXP8AsHz/APotq2Kx/iJ/yIGuf9g+f/0W1HUUtg+Hf/IgaH/2&#10;D4P/AEWtbFY/w7/5EDQ/+wfB/wCi1rYoe4R2CiiigY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XG/Gb/kG6D/ANh2z/8ARldlXG/Gb/kG&#10;6D/2HbP/ANGVUPiRM9jsqKKKkoKKKKACiiigAooooAKKKKACiiigAooooAKKKKACiiigAooooAKx&#10;/iJ/yIGuf9g+f/0W1bFY/wARP+RA1z/sHz/+i2o6ilsHw7/5EDQ/+wfB/wCi1rYrH+Hf/IgaH/2D&#10;4P8A0WtbFD3COwUUUUD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434zf8g3Qf+w7Z/8AoyuyrjfjN/yDdB/7Dtn/AOjKqHxImex2VFFF&#10;SUFFFFABRRRQAUUUUAFFFFABRRRQAUUUUAFFFFABRRRQAUUUUAFY/wARP+RA1z/sHz/+i2rYrH+I&#10;n/Iga5/2D5//AEW1HUUtg+Hf/IgaH/2D4P8A0WtbFY/w7/5EDQ/+wfB/6LWtih7hHYKKKKB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c&#10;b8Zv+QboP/Yds/8A0ZXZVxvxm/5Bug/9h2z/APRlVD4kTPY7KiiipKCiiigAooooAKKKKACiiigA&#10;ooooAKKKKACiiigAooooAKKKKACsf4if8iBrn/YPn/8ARbVsVj/ET/kQNc/7B8//AKLajqKWwfDv&#10;/kQND/7B8H/ota2Kx/h3/wAiBof/AGD4P/Ra1sUPcI7BRRRQM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rjfjN/yDdB/7Dtn/AOjK7KuN&#10;+M3/ACDdB/7Dtn/6MqofEiZ7HZUUUVJQUUUUAFFFFABRRRQAUUUUAFFFFABRRRQAUUUUAFFFFABR&#10;RRQAVj/ET/kQNc/7B8//AKLatisf4if8iBrn/YPn/wDRbUdRS2D4d/8AIgaH/wBg+D/0WtbFY/w7&#10;/wCRA0P/ALB8H/ota2KHuEdgooooG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Vxvxm/5Bug/9h2z/APRldlXG/Gb/AJBug/8AYds//RlV&#10;D4kTPY7KiiipKCiiigAooooAKKKKACiiigAooooAKKKKACiiigAooooAKKKKACsf4if8iBrn/YPn&#10;/wDRbVsVj/ET/kQNc/7B8/8A6LajqKWwfDv/AJEDQ/8AsHwf+i1rYrH+Hf8AyIGh/wDYPg/9FrWx&#10;Q9wjsFFFFA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uN+M3/ACDdB/7Dtn/6Mrsq434zf8g3Qf8AsO2f/oyqh8SJnsdlRRRUlBRRRQAU&#10;UUUAFFFFABRRRQAUUUUAFFFFABRRRQAUUUUAFFFFABWP8RP+RA1z/sHz/wDotq2Kx/iJ/wAiBrn/&#10;AGD5/wD0W1HUUtg+Hf8AyIGh/wDYPg/9FrWxWP8ADv8A5EDQ/wDsHwf+i1rYoe4R2CiiigY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XG&#10;/Gb/AJBug/8AYds//RldlXN/Ebw5c+JLPSktVRja6pb3UmTj5EbJqo6O5MtUdJRRRUlBRRRQAUUU&#10;UAFFFFABRRRQAUUUUAFFFFABRRRQAUUUUAFFFFABWP8AET/kQNc/7B8//otq2Ky/GOmyax4T1Szg&#10;Cma6tJYY8naNzIQP50dQexH8O/8AkQND/wCwfB/6LWtisvwdpsmj+E9Ls5womtbSKGTB3DcqAH+V&#10;alAlsFFFFA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">
                <v:shape id="Bildobjekt 40" o:spid="_x0000_s1059" type="#_x0000_t75" alt="En bild som visar linje, text&#10;&#10;AI-genererat innehåll kan vara felaktigt." style="position:absolute;width:14732;height:38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">
                  <v:imagedata r:id="rId36" o:title="En bild som visar linje, text&#10;&#10;AI-genererat innehåll kan vara felaktigt" croptop="7738f" cropbottom="6756f" cropleft="23118f" cropright="31560f"/>
                </v:shape>
                <v:shape id="_x0000_s1060" type="#_x0000_t202" style="position:absolute;left:4572;top:40513;width:6413;height:3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" stroked="f">
                  <v:textbox>
                    <w:txbxContent>
                      <w:p w14:paraId="6C222BCE" w14:textId="77777777" w:rsidR="00C22CBD" w:rsidRPr="00DA2128" w:rsidRDefault="00C22CBD" w:rsidP="00C22CBD">
                        <w:pPr>
                          <w:rPr>
                            <w:rFonts w:ascii="Times New Roman" w:hAnsi="Times New Roman" w:cs="Times New Roman"/>
                            <w:b/>
                            <w:bCs/>
                          </w:rPr>
                        </w:pPr>
                        <w:r w:rsidRPr="00DA2128">
                          <w:rPr>
                            <w:rFonts w:ascii="Times New Roman" w:hAnsi="Times New Roman" w:cs="Times New Roman"/>
                            <w:b/>
                            <w:bCs/>
                          </w:rPr>
                          <w:t>UKLO</w:t>
                        </w:r>
                      </w:p>
                    </w:txbxContent>
                  </v:textbox>
                </v:shape>
                <w10:wrap type="square"/>
              </v:group>
            </w:pict>
          </mc:Fallback>
        </mc:AlternateContent>
      </w:r>
    </w:p>
    <w:p w14:paraId="776135B4" w14:textId="77777777" w:rsidR="008F65AA" w:rsidRPr="00DA2128" w:rsidRDefault="008A2523" w:rsidP="00A937C6">
      <w:pPr>
        <w:spacing w:line="240" w:lineRule="auto"/>
        <w:rPr>
          <w:b/>
          <w:bCs/>
        </w:rPr>
      </w:pPr>
      <w:r w:rsidRPr="00DA2128">
        <w:rPr>
          <w:noProof/>
          <w:lang w:eastAsia="en-GB"/>
        </w:rPr>
        <w:drawing>
          <wp:anchor distT="0" distB="0" distL="114300" distR="114300" simplePos="0" relativeHeight="251731968" behindDoc="0" locked="0" layoutInCell="1" allowOverlap="1" wp14:anchorId="0BA12F5E" wp14:editId="41AC11CF">
            <wp:simplePos x="0" y="0"/>
            <wp:positionH relativeFrom="column">
              <wp:posOffset>-114300</wp:posOffset>
            </wp:positionH>
            <wp:positionV relativeFrom="paragraph">
              <wp:posOffset>4545965</wp:posOffset>
            </wp:positionV>
            <wp:extent cx="5115464" cy="534033"/>
            <wp:effectExtent l="0" t="0" r="0" b="0"/>
            <wp:wrapNone/>
            <wp:docPr id="295398196" name="Bildobjekt 28" descr="En bild som visar text, skärmbild, algebra&#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122612" name="Bildobjekt 28" descr="En bild som visar text, skärmbild, algebra&#10;&#10;AI-genererat innehåll kan vara felaktigt."/>
                    <pic:cNvPicPr/>
                  </pic:nvPicPr>
                  <pic:blipFill rotWithShape="1">
                    <a:blip r:embed="rId17">
                      <a:extLst>
                        <a:ext uri="{28A0092B-C50C-407E-A947-70E740481C1C}">
                          <a14:useLocalDpi xmlns:a14="http://schemas.microsoft.com/office/drawing/2010/main" val="0"/>
                        </a:ext>
                      </a:extLst>
                    </a:blip>
                    <a:srcRect l="5845" t="32487" r="5266" b="51016"/>
                    <a:stretch>
                      <a:fillRect/>
                    </a:stretch>
                  </pic:blipFill>
                  <pic:spPr bwMode="auto">
                    <a:xfrm>
                      <a:off x="0" y="0"/>
                      <a:ext cx="5115464" cy="534033"/>
                    </a:xfrm>
                    <a:prstGeom prst="rect">
                      <a:avLst/>
                    </a:prstGeom>
                    <a:ln>
                      <a:noFill/>
                    </a:ln>
                    <a:extLst>
                      <a:ext uri="{53640926-AAD7-44D8-BBD7-CCE9431645EC}">
                        <a14:shadowObscured xmlns:a14="http://schemas.microsoft.com/office/drawing/2010/main"/>
                      </a:ext>
                    </a:extLst>
                  </pic:spPr>
                </pic:pic>
              </a:graphicData>
            </a:graphic>
          </wp:anchor>
        </w:drawing>
      </w:r>
    </w:p>
    <w:p w14:paraId="72632757" w14:textId="77777777" w:rsidR="008F65AA" w:rsidRPr="00DA2128" w:rsidRDefault="008F65AA" w:rsidP="00A937C6">
      <w:pPr>
        <w:spacing w:line="240" w:lineRule="auto"/>
        <w:rPr>
          <w:b/>
          <w:bCs/>
        </w:rPr>
      </w:pPr>
      <w:r w:rsidRPr="00DA2128">
        <w:rPr>
          <w:b/>
          <w:bCs/>
        </w:rPr>
        <w:br w:type="page"/>
      </w:r>
    </w:p>
    <w:p w14:paraId="291BE878" w14:textId="4207AABE" w:rsidR="008F65AA" w:rsidRPr="00DA2128" w:rsidRDefault="008F65AA" w:rsidP="00A937C6">
      <w:pPr>
        <w:spacing w:line="240" w:lineRule="auto"/>
      </w:pPr>
    </w:p>
    <w:p w14:paraId="2EB21066" w14:textId="77777777" w:rsidR="008F65AA" w:rsidRPr="00DA2128" w:rsidRDefault="008F65AA" w:rsidP="00A937C6">
      <w:pPr>
        <w:spacing w:line="240" w:lineRule="auto"/>
      </w:pPr>
      <w:r w:rsidRPr="00DA2128">
        <w:rPr>
          <w:noProof/>
          <w:lang w:eastAsia="en-GB"/>
        </w:rPr>
        <mc:AlternateContent>
          <mc:Choice Requires="wpg">
            <w:drawing>
              <wp:anchor distT="0" distB="0" distL="114300" distR="114300" simplePos="0" relativeHeight="251737088" behindDoc="0" locked="0" layoutInCell="1" allowOverlap="1" wp14:anchorId="18B676D3" wp14:editId="2AF94542">
                <wp:simplePos x="0" y="0"/>
                <wp:positionH relativeFrom="column">
                  <wp:posOffset>5024755</wp:posOffset>
                </wp:positionH>
                <wp:positionV relativeFrom="paragraph">
                  <wp:posOffset>1905</wp:posOffset>
                </wp:positionV>
                <wp:extent cx="1530350" cy="4404995"/>
                <wp:effectExtent l="0" t="0" r="0" b="0"/>
                <wp:wrapSquare wrapText="bothSides"/>
                <wp:docPr id="827550125" name="Grupp 49"/>
                <wp:cNvGraphicFramePr/>
                <a:graphic xmlns:a="http://schemas.openxmlformats.org/drawingml/2006/main">
                  <a:graphicData uri="http://schemas.microsoft.com/office/word/2010/wordprocessingGroup">
                    <wpg:wgp>
                      <wpg:cNvGrpSpPr/>
                      <wpg:grpSpPr>
                        <a:xfrm>
                          <a:off x="0" y="0"/>
                          <a:ext cx="1530350" cy="4404995"/>
                          <a:chOff x="0" y="0"/>
                          <a:chExt cx="1530350" cy="4404995"/>
                        </a:xfrm>
                      </wpg:grpSpPr>
                      <wps:wsp>
                        <wps:cNvPr id="1909494815" name="Textruta 2"/>
                        <wps:cNvSpPr txBox="1">
                          <a:spLocks noChangeArrowheads="1"/>
                        </wps:cNvSpPr>
                        <wps:spPr bwMode="auto">
                          <a:xfrm>
                            <a:off x="457200" y="4051300"/>
                            <a:ext cx="645795" cy="353695"/>
                          </a:xfrm>
                          <a:prstGeom prst="rect">
                            <a:avLst/>
                          </a:prstGeom>
                          <a:solidFill>
                            <a:srgbClr val="FFFFFF"/>
                          </a:solidFill>
                          <a:ln w="9525">
                            <a:noFill/>
                            <a:miter lim="800000"/>
                            <a:headEnd/>
                            <a:tailEnd/>
                          </a:ln>
                        </wps:spPr>
                        <wps:txbx>
                          <w:txbxContent>
                            <w:p w14:paraId="60E93B06" w14:textId="77777777" w:rsidR="008F65AA" w:rsidRPr="00DA2128" w:rsidRDefault="008F65AA" w:rsidP="008F65AA">
                              <w:pPr>
                                <w:rPr>
                                  <w:rFonts w:ascii="Times New Roman" w:hAnsi="Times New Roman" w:cs="Times New Roman"/>
                                  <w:b/>
                                  <w:bCs/>
                                </w:rPr>
                              </w:pPr>
                              <w:r w:rsidRPr="00DA2128">
                                <w:rPr>
                                  <w:rFonts w:ascii="Times New Roman" w:hAnsi="Times New Roman" w:cs="Times New Roman"/>
                                  <w:b/>
                                  <w:bCs/>
                                </w:rPr>
                                <w:t>VUAS</w:t>
                              </w:r>
                            </w:p>
                          </w:txbxContent>
                        </wps:txbx>
                        <wps:bodyPr rot="0" vert="horz" wrap="square" lIns="91440" tIns="45720" rIns="91440" bIns="45720" anchor="t" anchorCtr="0">
                          <a:noAutofit/>
                        </wps:bodyPr>
                      </wps:wsp>
                      <pic:pic xmlns:pic="http://schemas.openxmlformats.org/drawingml/2006/picture">
                        <pic:nvPicPr>
                          <pic:cNvPr id="1630253037" name="Bildobjekt 48" descr="En bild som visar linje, diagram&#10;&#10;AI-genererat innehåll kan vara felaktigt."/>
                          <pic:cNvPicPr>
                            <a:picLocks noChangeAspect="1"/>
                          </pic:cNvPicPr>
                        </pic:nvPicPr>
                        <pic:blipFill rotWithShape="1">
                          <a:blip r:embed="rId37">
                            <a:extLst>
                              <a:ext uri="{28A0092B-C50C-407E-A947-70E740481C1C}">
                                <a14:useLocalDpi xmlns:a14="http://schemas.microsoft.com/office/drawing/2010/main" val="0"/>
                              </a:ext>
                            </a:extLst>
                          </a:blip>
                          <a:srcRect l="35264" t="11780" r="47513" b="10126"/>
                          <a:stretch>
                            <a:fillRect/>
                          </a:stretch>
                        </pic:blipFill>
                        <pic:spPr bwMode="auto">
                          <a:xfrm>
                            <a:off x="0" y="0"/>
                            <a:ext cx="1530350" cy="3903980"/>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8B676D3" id="Grupp 49" o:spid="_x0000_s1061" style="position:absolute;margin-left:395.65pt;margin-top:.15pt;width:120.5pt;height:346.85pt;z-index:251737088" coordsize="15303,4404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c78QPFFx4XtNMktxCWvNSt7N/MUthZH2nGD1roq434z&#10;f8g3Qf8AsO2f/oyqjq7EydkdlRRRUlBRRRQAUUUUAFFFFABRRRQAUUUUAFFFFABRRRQAUUUUAFFF&#10;FABWb4t1OTRPC+pXsIQy2drLMgYfKSqEjPtxWlWP8RP+RA1z/sHz/wDotqFuD2JvCWpya34X029m&#10;CCW8tYpnCj5QWQE49ua0qx/h3/yIGh/9g+D/ANFrWxR1EtgooooG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Vxvxm/wCQboP/AGHbP/0Z&#10;XZVxvxm/5Bug/wDYds//AEZVQ+JEz2OyoooqSgooooAKKKKACiiigAooooAKKKKACiiigAooooAK&#10;KKKACiiigArH+In/ACIGuf8AYPn/APRbVsVj/ET/AJEDXP8AsHz/APotqOopbB8O/wDkQND/AOwf&#10;B/6LWtisf4d/8iBof/YPg/8ARa1sUPcI7BRRRQM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rjfjN/yDdB/wCw7Z/+jK7KuN+M3/IN0H/s&#10;O2f/AKMqofEiZ7HZUUUVJQUUUUAFFFFABRRRQAUUUUAFFFFABRRRQAUUUUAFFFFABRRRQAVj/ET/&#10;AJEDXP8AsHz/APotq2Kx/iJ/yIGuf9g+f/0W1HUUtg+Hf/IgaH/2D4P/AEWtbFY/w7/5EDQ/+wfB&#10;/wCi1rYoe4R2CiiigY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XG/Gb/kG6D/ANh2z/8ARldlXG/Gb/kG6D/2HbP/ANGVUPiRM9jsqKKK&#10;koKKKKACiiigAooooAKKKKACiiigAooooAKKKKACiiigAooooAKx/iJ/yIGuf9g+f/0W1bFY/wAR&#10;P+RA1z/sHz/+i2o6ilsHw7/5EDQ/+wfB/wCi1rYrH+Hf/IgaH/2D4P8A0WtbFD3COwUUUUD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4&#10;34zf8g3Qf+w7Z/8AoyuyrjfjN/yDdB/7Dtn/AOjKqHxImex2VFFFSUFFFFABRRRQAUUUUAFFFFAB&#10;RRRQAUUUUAFFFFABRRRQAUUUUAFY/wARP+RA1z/sHz/+i2rYrH+In/Iga5/2D5//AEW1HUUtg+Hf&#10;/IgaH/2D4P8A0WtbFY/w7/5EDQ/+wfB/6LWtih7hHYKKKKB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cb8Zv+QboP/Yds/8A0ZXZVxvx&#10;m/5Bug/9h2z/APRlVD4kTPY7KiiipKCiiigAooooAKKKKACiiigAooooAKKKKACiiigAooooAKKK&#10;KACsf4if8iBrn/YPn/8ARbVsVj/ET/kQNc/7B8//AKLajqKWwfDv/kQND/7B8H/ota2Kx/h3/wAi&#10;Bof/AGD4P/Ra1sUPcI7BRRRQM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rjfjN/yDdB/7Dtn/AOjK7KuN+M3/ACDdB/7Dtn/6MqofEiZ7&#10;HZUUUVJQUUUUAFFFFABRRRQAUUUUAFFFFABRRRQAUUUUAFFFFABRRRQAVj/ET/kQNc/7B8//AKLa&#10;tisf4if8iBrn/YPn/wDRbUdRS2D4d/8AIgaH/wBg+D/0WtbFY/w7/wCRA0P/ALB8H/ota2KHuEdg&#10;ooooG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Vxvxm/5Bug/9h2z/APRldlXG/Gb/AJBug/8AYds//RlVD4kTPY7KiiipKCiiigAooooA&#10;KKKKACiiigAooooAKKKKACiiigAooooAKKKKACsf4if8iBrn/YPn/wDRbVsVj/ET/kQNc/7B8/8A&#10;6LajqKWwfDv/AJEDQ/8AsHwf+i1rYrH+Hf8AyIGh/wDYPg/9FrWxQ9wjsFFFFA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uN+M3/ACDd&#10;B/7Dtn/6Mrsq434zf8g3Qf8AsO2f/oyqh8SJnsdlRRRUlBRRRQAUUUUAFFFFABRRRQAUUUUAFFFF&#10;ABRRRQAUUUUAFFFFABWP8RP+RA1z/sHz/wDotq2Kx/iJ/wAiBrn/AGD5/wD0W1HUUtg+Hf8AyIGh&#10;/wDYPg/9FrWxWP8ADv8A5EDQ/wDsHwf+i1rYoe4R2CiiigY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XG/Gb/AJBug/8AYds//RldlXG/&#10;Gb/kG6D/ANh2z/8ARlVD4kTPY7KiiipKCiiigAooooAKKKKACiiigAooooAKKKKACiiigAooooAK&#10;KKKACsf4if8AIga5/wBg+f8A9FtWxWP8RP8AkQNc/wCwfP8A+i2o6ilsHw7/AORA0P8A7B8H/ota&#10;2Kx/h3/yIGh/9g+D/wBFrWxQ9wjsFFFFAw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uN+M3/IN0H/ALDtn/6Mrsq434zf8g3Qf+w7Z/8A&#10;oyqh8SJnsdlRRRUlBRRRQAUUUUAFFFFABRRRQAUUUUAFFFFABRRRQAUUUUAFFFFABWP8RP8AkQNc&#10;/wCwfP8A+i2rYrH+In/Iga5/2D5//RbUdRS2D4d/8iBof/YPg/8ARa1sVj/Dv/kQND/7B8H/AKLW&#10;tih7hHYKKKKB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cb8Zv+QboP8A2HbP/wBGV2Vcb8Zv+QboP/Yds/8A0ZVQ+JEz2OyoooqSgooo&#10;oAKKKKACiiigAooooAKKKKACiiigAooooAKKKKACiiigArH+In/Iga5/2D5//RbVsVj/ABE/5EDX&#10;P+wfP/6LajqKWwfDv/kQND/7B8H/AKLWtisf4d/8iBof/YPg/wDRa1sUPcI7BRRRQM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rjfjN/y&#10;DdB/7Dtn/wCjK7IjNec/tA+NNH8KWfh9dS1bTtNaTW7R0F1cpCWAk5I3EcCqi0ndhyyl7sVdno1F&#10;QWt1Hd2ySwukkcihldTuVgehB71PUgFFFFABRRRQAUUUUAFFFFABRRRQAUUUUAFFFFABRRRQAUUU&#10;UAFY/wARP+RA1z/sHz/+i2rYrH+In/Iga5/2D5//AEW1HUUtg+Hf/IgaH/2D4P8A0WtbFY/w7/5E&#10;DQ/+wfB/6LWtih7hHYKKKKB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rjfjN/yDdB/7Dtn/wCjK7Ku&#10;N+M3/IN0H/sO2f8A6MqofEiZ7HZUUUVJQUUUUAFFFFABRRRQAUUUUAFFFFABRRRQAUUUUAFFFFAB&#10;RRRQAVj/ABE/5EDXP+wfP/6Latisf4if8iBrn/YPn/8ARbUdRS2D4d/8iBof/YPg/wDRa1sVj/Dv&#10;/kQND/7B8H/ota2KHuEdgooooG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Vxvxm/5Bug/9h2z/wDRldlXG/Gb/kG6D/2HbP8A9GVUPiRM&#10;9jsqKKKkoKKKKACiiigAooooAKKKKACiiigAooooAKKKKACiiigAooooAKx/iJ/yIGuf9g+f/wBF&#10;tWxWP8RP+RA1z/sHz/8AotqOopbB8O/+RA0P/sHwf+i1rYrH+Hf/ACIGh/8AYPg/9FrWxQ9wjsFF&#10;FFA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uN+M3/IN0H/sO2f8A6Mrsq434zf8AIN0H/sO2f/oyqh8SJnsdlRRRUlBRRRQAUUUUAFFF&#10;FABRRRQAUUUUAFFFFABRRRQAUUUUAFFFFABWP8RP+RA1z/sHz/8Aotq2Kx/iJ/yIGuf9g+f/ANFt&#10;R1FLYPh3/wAiBof/AGD4P/Ra1sVj/Dv/AJEDQ/8AsHwf+i1rYoe4R2Ciiig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XG/Gb/kG6D/2H&#10;bP8A9GV2Vcb8Zv8AkG6D/wBh2z/9GVUPiRM9jsqKKKkoKKKKACiiigAooooAKKKKACiiigAooooA&#10;KKKKACiiigAooooAKx/iJ/yIGuf9g+f/ANFtWxWP8RP+RA1z/sHz/wDotqOopbB8O/8AkQND/wCw&#10;fB/6LWtisf4d/wDIgaH/ANg+D/0WtbFD3COwUUUUD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434zf8AIN0H/sO2f/oyuyrm/iN4cufE&#10;lnpSWqoxtdUt7qTJx8iNk1UdHcmWqOkoooqSgooooAKKKKACiiigAooooAKKKKACiiigAooooAKK&#10;KKACiiigArH+In/Iga5/2D5//RbVsVl+MdNk1jwnqlnAFM11aSwx5O0bmQgfzo6g9iP4d/8AIgaH&#10;/wBg+D/0WtbFZfg7TZNH8J6XZzhRNa2kUMmDuG5UAP8AKtSgS2CiiigY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&#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">
                <v:shape id="_x0000_s1062" type="#_x0000_t202" style="position:absolute;left:4572;top:40513;width:6457;height:3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" stroked="f">
                  <v:textbox>
                    <w:txbxContent>
                      <w:p w14:paraId="60E93B06" w14:textId="77777777" w:rsidR="008F65AA" w:rsidRPr="00DA2128" w:rsidRDefault="008F65AA" w:rsidP="008F65AA">
                        <w:pPr>
                          <w:rPr>
                            <w:rFonts w:ascii="Times New Roman" w:hAnsi="Times New Roman" w:cs="Times New Roman"/>
                            <w:b/>
                            <w:bCs/>
                          </w:rPr>
                        </w:pPr>
                        <w:r w:rsidRPr="00DA2128">
                          <w:rPr>
                            <w:rFonts w:ascii="Times New Roman" w:hAnsi="Times New Roman" w:cs="Times New Roman"/>
                            <w:b/>
                            <w:bCs/>
                          </w:rPr>
                          <w:t>VUAS</w:t>
                        </w:r>
                      </w:p>
                    </w:txbxContent>
                  </v:textbox>
                </v:shape>
                <v:shape id="Bildobjekt 48" o:spid="_x0000_s1063" type="#_x0000_t75" alt="En bild som visar linje, diagram&#10;&#10;AI-genererat innehåll kan vara felaktigt." style="position:absolute;width:15303;height:39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">
                  <v:imagedata r:id="rId38" o:title="En bild som visar linje, diagram&#10;&#10;AI-genererat innehåll kan vara felaktigt" croptop="7720f" cropbottom="6636f" cropleft="23111f" cropright="31138f"/>
                </v:shape>
                <w10:wrap type="square"/>
              </v:group>
            </w:pict>
          </mc:Fallback>
        </mc:AlternateContent>
      </w:r>
      <w:r w:rsidRPr="00DA2128">
        <w:rPr>
          <w:noProof/>
          <w:lang w:eastAsia="en-GB"/>
        </w:rPr>
        <mc:AlternateContent>
          <mc:Choice Requires="wpg">
            <w:drawing>
              <wp:anchor distT="0" distB="0" distL="114300" distR="114300" simplePos="0" relativeHeight="251736064" behindDoc="0" locked="0" layoutInCell="1" allowOverlap="1" wp14:anchorId="37E2CF31" wp14:editId="133358F4">
                <wp:simplePos x="0" y="0"/>
                <wp:positionH relativeFrom="column">
                  <wp:posOffset>3229030</wp:posOffset>
                </wp:positionH>
                <wp:positionV relativeFrom="paragraph">
                  <wp:posOffset>3385</wp:posOffset>
                </wp:positionV>
                <wp:extent cx="1619250" cy="4378582"/>
                <wp:effectExtent l="0" t="0" r="0" b="3175"/>
                <wp:wrapSquare wrapText="bothSides"/>
                <wp:docPr id="1400836588" name="Grupp 47"/>
                <wp:cNvGraphicFramePr/>
                <a:graphic xmlns:a="http://schemas.openxmlformats.org/drawingml/2006/main">
                  <a:graphicData uri="http://schemas.microsoft.com/office/word/2010/wordprocessingGroup">
                    <wpg:wgp>
                      <wpg:cNvGrpSpPr/>
                      <wpg:grpSpPr>
                        <a:xfrm>
                          <a:off x="0" y="0"/>
                          <a:ext cx="1619250" cy="4378582"/>
                          <a:chOff x="0" y="0"/>
                          <a:chExt cx="1619250" cy="4378582"/>
                        </a:xfrm>
                      </wpg:grpSpPr>
                      <pic:pic xmlns:pic="http://schemas.openxmlformats.org/drawingml/2006/picture">
                        <pic:nvPicPr>
                          <pic:cNvPr id="927893573" name="Bildobjekt 46" descr="En bild som visar sluttning, linje&#10;&#10;AI-genererat innehåll kan vara felaktigt."/>
                          <pic:cNvPicPr>
                            <a:picLocks noChangeAspect="1"/>
                          </pic:cNvPicPr>
                        </pic:nvPicPr>
                        <pic:blipFill rotWithShape="1">
                          <a:blip r:embed="rId39">
                            <a:extLst>
                              <a:ext uri="{28A0092B-C50C-407E-A947-70E740481C1C}">
                                <a14:useLocalDpi xmlns:a14="http://schemas.microsoft.com/office/drawing/2010/main" val="0"/>
                              </a:ext>
                            </a:extLst>
                          </a:blip>
                          <a:srcRect l="34847" t="11933" r="46944" b="10118"/>
                          <a:stretch>
                            <a:fillRect/>
                          </a:stretch>
                        </pic:blipFill>
                        <pic:spPr bwMode="auto">
                          <a:xfrm>
                            <a:off x="0" y="0"/>
                            <a:ext cx="1619250" cy="3898900"/>
                          </a:xfrm>
                          <a:prstGeom prst="rect">
                            <a:avLst/>
                          </a:prstGeom>
                          <a:ln>
                            <a:noFill/>
                          </a:ln>
                          <a:extLst>
                            <a:ext uri="{53640926-AAD7-44D8-BBD7-CCE9431645EC}">
                              <a14:shadowObscured xmlns:a14="http://schemas.microsoft.com/office/drawing/2010/main"/>
                            </a:ext>
                          </a:extLst>
                        </pic:spPr>
                      </pic:pic>
                      <wps:wsp>
                        <wps:cNvPr id="2119985485" name="Textruta 2"/>
                        <wps:cNvSpPr txBox="1">
                          <a:spLocks noChangeArrowheads="1"/>
                        </wps:cNvSpPr>
                        <wps:spPr bwMode="auto">
                          <a:xfrm>
                            <a:off x="544152" y="4050287"/>
                            <a:ext cx="531495" cy="328295"/>
                          </a:xfrm>
                          <a:prstGeom prst="rect">
                            <a:avLst/>
                          </a:prstGeom>
                          <a:solidFill>
                            <a:srgbClr val="FFFFFF"/>
                          </a:solidFill>
                          <a:ln w="9525">
                            <a:noFill/>
                            <a:miter lim="800000"/>
                            <a:headEnd/>
                            <a:tailEnd/>
                          </a:ln>
                        </wps:spPr>
                        <wps:txbx>
                          <w:txbxContent>
                            <w:p w14:paraId="6E8A5049" w14:textId="77777777" w:rsidR="008F65AA" w:rsidRPr="00DA2128" w:rsidRDefault="008F65AA" w:rsidP="008F65AA">
                              <w:pPr>
                                <w:rPr>
                                  <w:rFonts w:ascii="Times New Roman" w:hAnsi="Times New Roman" w:cs="Times New Roman"/>
                                  <w:b/>
                                  <w:bCs/>
                                </w:rPr>
                              </w:pPr>
                              <w:r w:rsidRPr="00DA2128">
                                <w:rPr>
                                  <w:rFonts w:ascii="Times New Roman" w:hAnsi="Times New Roman" w:cs="Times New Roman"/>
                                  <w:b/>
                                  <w:bCs/>
                                </w:rPr>
                                <w:t>UPD</w:t>
                              </w:r>
                            </w:p>
                          </w:txbxContent>
                        </wps:txbx>
                        <wps:bodyPr rot="0" vert="horz" wrap="square" lIns="91440" tIns="45720" rIns="91440" bIns="45720" anchor="t" anchorCtr="0">
                          <a:noAutofit/>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7E2CF31" id="Grupp 47" o:spid="_x0000_s1064" style="position:absolute;margin-left:254.25pt;margin-top:.25pt;width:127.5pt;height:344.75pt;z-index:251736064" coordsize="16192,4378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c78QPFFx4XtNMktxCWvNSt7N/MUthZH2nGD1roq&#10;434zf8g3Qf8AsO2f/oyqjq7EydkdlRRRUlBRRRQAUUUUAFFFFABRRRQAUUUUAFFFFABRRRQAUUUU&#10;AFFFFABWb4t1OTRPC+pXsIQy2drLMgYfKSqEjPtxWlWP8RP+RA1z/sHz/wDotqFuD2JvCWpya34X&#10;029mCCW8tYpnCj5QWQE49ua0qx/h3/yIGh/9g+D/ANFrWxR1EtgooooG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Vxvxm/wCQboP/AGHb&#10;P/0ZXZVxvxm/5Bug/wDYds//AEZVQ+JEz2OyoooqSgooooAKKKKACiiigAooooAKKKKACiiigAoo&#10;ooAKKKKACiiigArH+In/ACIGuf8AYPn/APRbVsVj/ET/AJEDXP8AsHz/APotqOopbB8O/wDkQND/&#10;AOwfB/6LWtisf4d/8iBof/YPg/8ARa1sUPcI7BRRRQM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rjfjN/yDdB/7Dtn/wCjK7KuN+M3/IN0H/sO2f8A6MqofEiZ7HZUUUVJQUUUUAFFFFABRRRQ&#10;AUUUUAFFFFABRRRQAUUUUAFFFFABRRRQAVj/ABE/5EDXP+wfP/6Latisf4if8iBrn/YPn/8ARbUd&#10;RS2D4d/8iBof/YPg/wDRa1sVj/Dv/kQND/7B8H/ota2KHuEdgooooG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xvxm/5Bug/9h2z/wDR&#10;ldlXG/Gb/kG6D/2HbP8A9GVUPiRM9jsqKKKkoKKKKACiiigAooooAKKKKACiiigAooooAKKKKACi&#10;iigAooooAKx/iJ/yIGuf9g+f/wBFtWxWP8RP+RA1z/sHz/8AotqOopbB8O/+RA0P/sHwf+i1rYrH&#10;+Hf/ACIGh/8AYPg/9FrWxQ9wjsFFFFAw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uN+M3/IN0H/sO2f8A6Mrsq434zf8AIN0H/sO2f/oy&#10;qh8SJnsdlRRRUlBRRRQAUUUUAFFFFABRRRQAUUUUAFFFFABRRRQAUUUUAFFFFABWP8RP+RA1z/sH&#10;z/8Aotq2Kx/iJ/yIGuf9g+f/ANFtR1FLYPh3/wAiBof/AGD4P/Ra1sVj/Dv/AJEDQ/8AsHwf+i1r&#10;Yoe4R2Ciiig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XG/Gb/kG6D/2HbP8A9GV2Vcb8Zv8AkG6D/wBh2z/9GVUPiRM9jsqKKKkoKKKK&#10;ACiiigAooooAKKKKACiiigAooooAKKKKACiiigAooooAKx/iJ/yIGuf9g+f/ANFtWxWP8RP+RA1z&#10;/sHz/wDotqOopbB8O/8AkQND/wCwfB/6LWtisf4d/wDIgaH/ANg+D/0WtbFD3COwUUUUD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434&#10;zf8AIN0H/sO2f/oyuyrjfjN/yDdB/wCw7Z/+jKqHxImex2VFFFSUFFFFABRRRQAUUUUAFFFFABRR&#10;RQAUUUUAFFFFABRRRQAUUUUAFY/xE/5EDXP+wfP/AOi2rYrH+In/ACIGuf8AYPn/APRbUdRS2D4d&#10;/wDIgaH/ANg+D/0WtbFY/wAO/wDkQND/AOwfB/6LWtih7hHYKKKKB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cb8Zv8AkG6D/wBh2z/9&#10;GV2Vcb8Zv+QboP8A2HbP/wBGVUPiRM9jsqKKKkoKKKKACiiigAooooAKKKKACiiigAooooAKKKKA&#10;CiiigAooooAKx/iJ/wAiBrn/AGD5/wD0W1bFY/xE/wCRA1z/ALB8/wD6LajqKWwfDv8A5EDQ/wDs&#10;Hwf+i1rYrH+Hf/IgaH/2D4P/AEWtbFD3COwUUUUD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434zf8g3Qf8AsO2f/oyuyrjfjN/yDdB/&#10;7Dtn/wCjKqHxImex2VFFFSUFFFFABRRRQAUUUUAFFFFABRRRQAUUUUAFFFFABRRRQAUUUUAFY/xE&#10;/wCRA1z/ALB8/wD6Latisf4if8iBrn/YPn/9FtR1FLYPh3/yIGh/9g+D/wBFrWxWP8O/+RA0P/sH&#10;wf8Aota2KHuEdgooooG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xvxm/5Bug/wDYds//AEZXZVxvxm/5Bug/9h2z/wDRlVD4kTPY7Kii&#10;ipKCiiigAooooAKKKKACiiigAooooAKKKKACiiigAooooAKKKKACsf4if8iBrn/YPn/9FtWxWP8A&#10;ET/kQNc/7B8//otqOopbB8O/+RA0P/sHwf8Aota2Kx/h3/yIGh/9g+D/ANFrWxQ9wjsFFFFAw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uN+M3/IN0H/sO2f/AKMrsq434zf8g3Qf+w7Z/wDoyqh8SJnsdlRRRUlBRRRQAUUUUAFFFFABRRRQ&#10;AUUUUAFFFFABRRRQAUUUUAFFFFABWP8AET/kQNc/7B8//otq2Kx/iJ/yIGuf9g+f/wBFtR1FLYPh&#10;3/yIGh/9g+D/ANFrWxWP8O/+RA0P/sHwf+i1rYoe4R2CiiigY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XG/Gb/kG6D/2HbP/ANGV2Vcb&#10;8Zv+QboP/Yds/wD0ZVQ+JEz2OyoooqSgooooAKKKKACiiigAooooAKKKKACiiigAooooAKKKKACi&#10;iigArH+In/Iga5/2D5//AEW1bFY/xE/5EDXP+wfP/wCi2o6ilsHw7/5EDQ/+wfB/6LWtisf4d/8A&#10;IgaH/wBg+D/0WtbFD3COwUUUUD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434zf8g3Qf+w7Z/wDoyuyrjfjN/wAg3Qf+w7Z/+jKqHxIm&#10;ex2VFFFSUFFFFABRRRQAUUUUAFFFFABRRRQAUUUUAFFFFABRRRQAUUUUAFY/xE/5EDXP+wfP/wCi&#10;2rYrH+In/Iga5/2D5/8A0W1HUUtg+Hf/ACIGh/8AYPg/9FrWxWP8O/8AkQND/wCwfB/6LWtih7hH&#10;YKKKKB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cb8Zv+QboP/Yds/wD0ZXZVxvxm/wCQboP/AGHbP/0ZVQ+JEz2OyoooqSgooooAKKKK&#10;ACiiigAooooAKKKKACiiigAooooAKKKKACiiigArH+In/Iga5/2D5/8A0W1bFY/xE/5EDXP+wfP/&#10;AOi2o6ilsHw7/wCRA0P/ALB8H/ota2Kx/h3/AMiBof8A2D4P/Ra1sUPcI7BRRRQM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rjfjN/wAg&#10;3Qf+w7Z/+jK7Kub+I3hy58SWelJaqjG11S3upMnHyI2TVR0dyZao6SiiipKCiiigAooooAKKKKAC&#10;iiigAooooAKKKKACiiigAooooAKKKKACsf4if8iBrn/YPn/9FtWxWX4x02TWPCeqWcAUzXVpLDHk&#10;7RuZCB/OjqD2I/h3/wAiBof/AGD4P/Ra1sVl+DtNk0fwnpdnOFE1raRQyYO4blQA/wAq1KBLYKKK&#10;KB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">
                <v:shape id="Bildobjekt 46" o:spid="_x0000_s1065" type="#_x0000_t75" alt="En bild som visar sluttning, linje&#10;&#10;AI-genererat innehåll kan vara felaktigt." style="position:absolute;width:16192;height:38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">
                  <v:imagedata r:id="rId40" o:title="En bild som visar sluttning, linje&#10;&#10;AI-genererat innehåll kan vara felaktigt" croptop="7820f" cropbottom="6631f" cropleft="22837f" cropright="30765f"/>
                </v:shape>
                <v:shape id="_x0000_s1066" type="#_x0000_t202" style="position:absolute;left:5441;top:40502;width:5315;height:3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" stroked="f">
                  <v:textbox>
                    <w:txbxContent>
                      <w:p w14:paraId="6E8A5049" w14:textId="77777777" w:rsidR="008F65AA" w:rsidRPr="00DA2128" w:rsidRDefault="008F65AA" w:rsidP="008F65AA">
                        <w:pPr>
                          <w:rPr>
                            <w:rFonts w:ascii="Times New Roman" w:hAnsi="Times New Roman" w:cs="Times New Roman"/>
                            <w:b/>
                            <w:bCs/>
                          </w:rPr>
                        </w:pPr>
                        <w:r w:rsidRPr="00DA2128">
                          <w:rPr>
                            <w:rFonts w:ascii="Times New Roman" w:hAnsi="Times New Roman" w:cs="Times New Roman"/>
                            <w:b/>
                            <w:bCs/>
                          </w:rPr>
                          <w:t>UPD</w:t>
                        </w:r>
                      </w:p>
                    </w:txbxContent>
                  </v:textbox>
                </v:shape>
                <w10:wrap type="square"/>
              </v:group>
            </w:pict>
          </mc:Fallback>
        </mc:AlternateContent>
      </w:r>
      <w:r w:rsidRPr="00DA2128">
        <w:rPr>
          <w:noProof/>
          <w:lang w:eastAsia="en-GB"/>
        </w:rPr>
        <mc:AlternateContent>
          <mc:Choice Requires="wpg">
            <w:drawing>
              <wp:anchor distT="0" distB="0" distL="114300" distR="114300" simplePos="0" relativeHeight="251735040" behindDoc="0" locked="0" layoutInCell="1" allowOverlap="1" wp14:anchorId="33E84D6D" wp14:editId="71EF1EB1">
                <wp:simplePos x="0" y="0"/>
                <wp:positionH relativeFrom="column">
                  <wp:posOffset>1621155</wp:posOffset>
                </wp:positionH>
                <wp:positionV relativeFrom="paragraph">
                  <wp:posOffset>1905</wp:posOffset>
                </wp:positionV>
                <wp:extent cx="1492250" cy="4322445"/>
                <wp:effectExtent l="0" t="0" r="0" b="1905"/>
                <wp:wrapSquare wrapText="bothSides"/>
                <wp:docPr id="838690527" name="Grupp 45"/>
                <wp:cNvGraphicFramePr/>
                <a:graphic xmlns:a="http://schemas.openxmlformats.org/drawingml/2006/main">
                  <a:graphicData uri="http://schemas.microsoft.com/office/word/2010/wordprocessingGroup">
                    <wpg:wgp>
                      <wpg:cNvGrpSpPr/>
                      <wpg:grpSpPr>
                        <a:xfrm>
                          <a:off x="0" y="0"/>
                          <a:ext cx="1492250" cy="4322445"/>
                          <a:chOff x="0" y="0"/>
                          <a:chExt cx="1492250" cy="4322445"/>
                        </a:xfrm>
                      </wpg:grpSpPr>
                      <pic:pic xmlns:pic="http://schemas.openxmlformats.org/drawingml/2006/picture">
                        <pic:nvPicPr>
                          <pic:cNvPr id="1374448925" name="Bildobjekt 44" descr="En bild som visar linje&#10;&#10;AI-genererat innehåll kan vara felaktigt."/>
                          <pic:cNvPicPr>
                            <a:picLocks noChangeAspect="1"/>
                          </pic:cNvPicPr>
                        </pic:nvPicPr>
                        <pic:blipFill rotWithShape="1">
                          <a:blip r:embed="rId41">
                            <a:extLst>
                              <a:ext uri="{28A0092B-C50C-407E-A947-70E740481C1C}">
                                <a14:useLocalDpi xmlns:a14="http://schemas.microsoft.com/office/drawing/2010/main" val="0"/>
                              </a:ext>
                            </a:extLst>
                          </a:blip>
                          <a:srcRect l="35276" t="11933" r="47943" b="10118"/>
                          <a:stretch>
                            <a:fillRect/>
                          </a:stretch>
                        </pic:blipFill>
                        <pic:spPr bwMode="auto">
                          <a:xfrm>
                            <a:off x="0" y="0"/>
                            <a:ext cx="1492250" cy="3898900"/>
                          </a:xfrm>
                          <a:prstGeom prst="rect">
                            <a:avLst/>
                          </a:prstGeom>
                          <a:ln>
                            <a:noFill/>
                          </a:ln>
                          <a:extLst>
                            <a:ext uri="{53640926-AAD7-44D8-BBD7-CCE9431645EC}">
                              <a14:shadowObscured xmlns:a14="http://schemas.microsoft.com/office/drawing/2010/main"/>
                            </a:ext>
                          </a:extLst>
                        </pic:spPr>
                      </pic:pic>
                      <wps:wsp>
                        <wps:cNvPr id="388231131" name="Textruta 2"/>
                        <wps:cNvSpPr txBox="1">
                          <a:spLocks noChangeArrowheads="1"/>
                        </wps:cNvSpPr>
                        <wps:spPr bwMode="auto">
                          <a:xfrm>
                            <a:off x="438150" y="4051300"/>
                            <a:ext cx="760095" cy="271145"/>
                          </a:xfrm>
                          <a:prstGeom prst="rect">
                            <a:avLst/>
                          </a:prstGeom>
                          <a:solidFill>
                            <a:srgbClr val="FFFFFF"/>
                          </a:solidFill>
                          <a:ln w="9525">
                            <a:noFill/>
                            <a:miter lim="800000"/>
                            <a:headEnd/>
                            <a:tailEnd/>
                          </a:ln>
                        </wps:spPr>
                        <wps:txbx>
                          <w:txbxContent>
                            <w:p w14:paraId="4B36EB11" w14:textId="77777777" w:rsidR="008F65AA" w:rsidRPr="00DA2128" w:rsidRDefault="008F65AA" w:rsidP="008F65AA">
                              <w:pPr>
                                <w:rPr>
                                  <w:rFonts w:ascii="Times New Roman" w:hAnsi="Times New Roman" w:cs="Times New Roman"/>
                                  <w:b/>
                                  <w:bCs/>
                                </w:rPr>
                              </w:pPr>
                              <w:r w:rsidRPr="00DA2128">
                                <w:rPr>
                                  <w:rFonts w:ascii="Times New Roman" w:hAnsi="Times New Roman" w:cs="Times New Roman"/>
                                  <w:b/>
                                  <w:bCs/>
                                </w:rPr>
                                <w:t>UNIOS</w:t>
                              </w:r>
                            </w:p>
                          </w:txbxContent>
                        </wps:txbx>
                        <wps:bodyPr rot="0" vert="horz" wrap="square" lIns="91440" tIns="45720" rIns="91440" bIns="45720" anchor="t" anchorCtr="0">
                          <a:noAutofit/>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3E84D6D" id="Grupp 45" o:spid="_x0000_s1067" style="position:absolute;margin-left:127.65pt;margin-top:.15pt;width:117.5pt;height:340.35pt;z-index:251735040" coordsize="14922,4322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c78QPFFx4XtNMktxCWvNSt7N/MUthZH2nGD1roq434zf8g3Qf8AsO2f/oyq&#10;jq7EydkdlRRRUlBRRRQAUUUUAFFFFABRRRQAUUUUAFFFFABRRRQAUUUUAFFFFABWb4t1OTRPC+pX&#10;sIQy2drLMgYfKSqEjPtxWlWP8RP+RA1z/sHz/wDotqFuD2JvCWpya34X029mCCW8tYpnCj5QWQE4&#10;9ua0qx/h3/yIGh/9g+D/ANFrWxR1EtgooooG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Vxvxm/wCQboP/AGHbP/0ZXZVxvxm/5Bug/wDY&#10;ds//AEZVQ+JEz2OyoooqSgooooAKKKKACiiigAooooAKKKKACiiigAooooAKKKKACiiigArH+In/&#10;ACIGuf8AYPn/APRbVsVj/ET/AJEDXP8AsHz/APotqOopbB8O/wDkQND/AOwfB/6LWtisf4d/8iBo&#10;f/YPg/8ARa1sUPcI7BRRRQM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rjfjN/yDdB/wCw7Z/+jK7KuN+M3/IN0H/sO2f/AKMqofEiZ7HZ&#10;UUUVJQUUUUAFFFFABRRRQAUUUUAFFFFABRRRQAUUUUAFFFFABRRRQAVj/ET/AJEDXP8AsHz/APot&#10;q2Kx/iJ/yIGuf9g+f/0W1HUUtg+Hf/IgaH/2D4P/AEWtbFY/w7/5EDQ/+wfB/wCi1rYoe4R2Ciii&#10;gY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XG/Gb/kG6D/ANh2z/8ARldlXG/Gb/kG6D/2HbP/ANGVUPiRM9jsqKKKkoKKKKACiiigAooo&#10;oAKKKKACiiigAooooAKKKKACiiigAooooAKx/iJ/yIGuf9g+f/0W1bFY/wARP+RA1z/sHz/+i2o6&#10;ilsHw7/5EDQ/+wfB/wCi1rYrH+Hf/IgaH/2D4P8A0WtbFD3COwUUUUD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434zf8g3Qf+w7Z/8A&#10;oyuyrjfjN/yDdB/7Dtn/AOjKqHxImex2VFFFSUFFFFABRRRQAUUUUAFFFFABRRRQAUUUUAFFFFAB&#10;RRRQAUUUUAFY/wARP+RA1z/sHz/+i2rYrH+In/Iga5/2D5//AEW1HUUtg+Hf/IgaH/2D4P8A0Wtb&#10;FY/w7/5EDQ/+wfB/6LWtih7hHYKKKKB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1k3HrTqKACuN+M3/IN0H/sO2f/AKMrsq434zf8g3Qf+w7Z&#10;/wDoyqh8SJnsdlRRRUlBRRRQAUUUUAFFFFABRRRQAUUUUAFFFFABRRRQAUUUUAFFFFABWP8AET/k&#10;QNc/7B8//otq2Kx/iJ/yIGuf9g+f/wBFtR1FLYPh3/yIGh/9g+D/ANFrWxWP8O/+RA0P/sHwf+i1&#10;rYoe4R2CiiigY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B6UANkGR9K4/wCM3/IN0H/sO2f/AKMrsh05rjfjKMafoP8A2HbP/wBD61UPiRMt&#10;jsqKKKkoKKKKACiiigAooooAKKKKACiiigAooooAKKKKACiiigAooooAKx/iJ/yIGuf9g+f/ANFt&#10;WxWP8RP+RA1z/sHz/wDotqOopbB8O/8AkQND/wCwfB/6LWtisf4d/wDIgaH/ANg+D/0WtbFD3COw&#10;UUUUD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434zf8g3Qf+w7Z/8AoyuyrjfjN/yDdB/7Dtn/AOjK&#10;qHxImex2VFFFSUFFFFABRRRQAUUUUAFFFFABRRRQAUUUUAFFFFABRRRQAUUUUAFY/wARP+RA1z/s&#10;Hz/+i2rYrH+In/Iga5/2D5//AEW1HUUtg+Hf/IgaH/2D4P8A0WtbFY/w7/5EDQ/+wfB/6LWtih7h&#10;HYKKKKBh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cb8Zv+QboP/Yds/8A0ZXZVxvxm/5Bug/9h2z/APRlVD4kTPY7KiiipKCiiigAoooo&#10;AKKKKACiiigAooooAKKKKACiiigAooooAKKKKACsf4if8iBrn/YPn/8ARbVsVj/ET/kQNc/7B8//&#10;AKLajqKWwfDv/kQND/7B8H/ota2Kx/h3/wAiBof/AGD4P/Ra1sUPcI7BRRRQM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rjfjN/yDdB/7&#10;Dtn/AOjK7KuN+M3/ACDdB/7Dtn/6MqofEiZ7HZUUUVJQUUUUAFFFFABRRRQAUUUUAFFFFABRRRQA&#10;UUUUAFFFFABRRRQAVj/ET/kQNc/7B8//AKLatisf4if8iBrn/YPn/wDRbUdRS2D4d/8AIgaH/wBg&#10;+D/0WtbFY/w7/wCRA0P/ALB8H/ota2KHuEdgooooG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Vxvxm/5Bug/9h2z/APRldlXG/Gb/AJBu&#10;g/8AYds//RlVD4kTPY7KiiipKCiiigAooooAKKKKACiiigAooooAKKKKACiiigAooooAKKKKACsf&#10;4if8iBrn/YPn/wDRbVsVj/ET/kQNc/7B8/8A6LajqKWwfDv/AJEDQ/8AsHwf+i1rYrH+Hf8AyIGh&#10;/wDYPg/9FrWxQ9wjsFFFFA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uN+M3/ACDdB/7Dtn/6Mrsq434zf8g3Qf8AsO2f/oyqh8SJnsdl&#10;RRRUlBRRRQAUUUUAFFFFABRRRQAUUUUAFFFFABRRRQAUUUUAFFFFABWP8RP+RA1z/sHz/wDotq2K&#10;x/iJ/wAiBrn/AGD5/wD0W1HUUtg+Hf8AyIGh/wDYPg/9FrWxWP8ADv8A5EDQ/wDsHwf+i1rYoe4R&#10;2CiiigY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XG/Gb/AJBug/8AYds//RldlXG/Gb/kG6D/ANh2z/8ARlVD4kTPY7KiiipKCiiigAoo&#10;ooAKKKKACiiigAooooAKKKKACiiigAooooAKKKKACsf4if8AIga5/wBg+f8A9FtWxWP8RP8AkQNc&#10;/wCwfP8A+i2o6ilsHw7/AORA0P8A7B8H/ota2Kx/h3/yIGh/9g+D/wBFrWxQ9wjsFFFFAw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uN+&#10;M3/IN0H/ALDtn/6Mrsq434zf8g3Qf+w7Z/8Aoyqh8SJnsdlRRRUlBRRRQAUUUUAFFFFABRRRQAUU&#10;UUAFFFFABRRRQAUUUUAFFFFABWP8RP8AkQNc/wCwfP8A+i2rYrH+In/Iga5/2D5//RbUdRS2D4d/&#10;8iBof/YPg/8ARa1sVj/Dv/kQND/7B8H/AKLWtih7hHYKKKKB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cb8Zv+QboP8A2HbP/wBGV2Vc&#10;b8Zv+QboP/Yds/8A0ZVQ+JEz2OyoooqSgooooAKKKKACiiigAooooAKKKKACiiigAooooAKKKKAC&#10;iiigArH+In/Iga5/2D5//RbVsVj/ABE/5EDXP+wfP/6LajqKWwfDv/kQND/7B8H/AKLWtisf4d/8&#10;iBof/YPg/wDRa1sUPcI7BRRRQM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rjfjN/yDdB/7Dtn/wCjK7KuN+M3/IN0H/sO2f8A6MqofEiZ&#10;7HZUUUVJQUUUUAFFFFABRRRQAUUUUAFFFFABRRRQAUUUUAFFFFABRRRQAVj/ABE/5EDXP+wfP/6L&#10;atisf4if8iBrn/YPn/8ARbUdRS2D4d/8iBof/YPg/wDRa1sVj/Dv/kQND/7B8H/ota2KHuEdgooo&#10;oG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Vxvxm/5Bug/9h2z/wDRldlXG/Gb/kG6D/2HbP8A9GVUPiRM9jsqKKKkoKKKKACiiigAoooo&#10;AKKKKACiiigAooooAKKKKACiiigAooooAKx/iJ/yIGuf9g+f/wBFtWxWP8RP+RA1z/sHz/8AotqO&#10;opbB8O/+RA0P/sHwf+i1rYrH+Hf/ACIGh/8AYPg/9FrWxQ9wjsFFFFA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uN+M3/IN0H/sO2f8A&#10;6Mrsq434zf8AIN0H/sO2f/oyqh8SJnsdlRRRUlBRRRQAUUUUAFFFFABRRRQAUUUUAFFFFABRRRQA&#10;UUUUAFFFFABWP8RP+RA1z/sHz/8Aotq2Kx/iJ/yIGuf9g+f/ANFtR1FLYPh3/wAiBof/AGD4P/Ra&#10;1sVj/Dv/AJEDQ/8AsHwf+i1rYoe4R2CiiigY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XG/Gb/kG6D/2HbP8A9GV2Vcb8Zv8AkG6D/wBh&#10;2z/9GVUPiRM9jsqKKKkoKKKKACiiigAooooAKKKKACiiigAooooAKKKKACiiigAooooAKx/iJ/yI&#10;Guf9g+f/ANFtWxWP8RP+RA1z/sHz/wDotqOopbB8O/8AkQND/wCwfB/6LWtisf4d/wDIgaH/ANg+&#10;D/0WtbFD3COwUUUUD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434zf8AIN0H/sO2f/oyuyrjfjN/yDdB/wCw7Z/+jKqHxImex2VFFFSU&#10;FFFFABRRRQAUUUUAFFFFABRRRQAUUUUAFFFFABRRRQAUUUUAFY/xE/5EDXP+wfP/AOi2rYrH+In/&#10;ACIGuf8AYPn/APRbUdRS2D4d/wDIgaH/ANg+D/0WtbFY/wAO/wDkQND/AOwfB/6LWtih7hHYKKKK&#10;B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cb8Zv8AkG6D/wBh2z/9GV2Vcb8Zv+QboP8A2HbP/wBGVUPiRM9jsqKKKkoKKKKACiiigAoo&#10;ooAKKKKACiiigAooooAKKKKACiiigAooooAKx/iJ/wAiBrn/AGD5/wD0W1bFY/xE/wCRA1z/ALB8&#10;/wD6LajqKWwfDv8A5EDQ/wDsHwf+i1rYrH+Hf/IgaH/2D4P/AEWtbFD3COwUUUUD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434zf8g3&#10;Qf8AsO2f/oyuyrjfjN/yDdB/7Dtn/wCjKqHxImex2VFFFSUFFFFABRRRQAUUUUAFFFFABRRRQAUU&#10;UUAFFFFABRRRQAUUUUAFY/xE/wCRA1z/ALB8/wD6Latisf4if8iBrn/YPn/9FtR1FLYPh3/yIGh/&#10;9g+D/wBFrWxWP8O/+RA0P/sHwf8Aota2KHuEdgooooG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Vxvxm/5Bug/wDYds//AEZXZVzfxG8O&#10;XPiSz0pLVUY2uqW91Jk4+RGyaqOjuTLVHSUUUVJQUUUUAFFFFABRRRQAUUUUAFFFFABRRRQAUUUU&#10;AFFFFABRRRQAVj/ET/kQNc/7B8//AKLatisvxjpsmseE9Us4ApmurSWGPJ2jcyED+dHUHsR/Dv8A&#10;5EDQ/wDsHwf+i1rYrL8HabJo/hPS7OcKJrW0ihkwdw3KgB/lWpQJbBRRRQM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">
                <v:shape id="Bildobjekt 44" o:spid="_x0000_s1068" type="#_x0000_t75" alt="En bild som visar linje&#10;&#10;AI-genererat innehåll kan vara felaktigt." style="position:absolute;width:14922;height:38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">
                  <v:imagedata r:id="rId42" o:title="En bild som visar linje&#10;&#10;AI-genererat innehåll kan vara felaktigt" croptop="7820f" cropbottom="6631f" cropleft="23118f" cropright="31420f"/>
                </v:shape>
                <v:shape id="_x0000_s1069" type="#_x0000_t202" style="position:absolute;left:4381;top:40513;width:7601;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" stroked="f">
                  <v:textbox>
                    <w:txbxContent>
                      <w:p w14:paraId="4B36EB11" w14:textId="77777777" w:rsidR="008F65AA" w:rsidRPr="00DA2128" w:rsidRDefault="008F65AA" w:rsidP="008F65AA">
                        <w:pPr>
                          <w:rPr>
                            <w:rFonts w:ascii="Times New Roman" w:hAnsi="Times New Roman" w:cs="Times New Roman"/>
                            <w:b/>
                            <w:bCs/>
                          </w:rPr>
                        </w:pPr>
                        <w:r w:rsidRPr="00DA2128">
                          <w:rPr>
                            <w:rFonts w:ascii="Times New Roman" w:hAnsi="Times New Roman" w:cs="Times New Roman"/>
                            <w:b/>
                            <w:bCs/>
                          </w:rPr>
                          <w:t>UNIOS</w:t>
                        </w:r>
                      </w:p>
                    </w:txbxContent>
                  </v:textbox>
                </v:shape>
                <w10:wrap type="square"/>
              </v:group>
            </w:pict>
          </mc:Fallback>
        </mc:AlternateContent>
      </w:r>
      <w:r w:rsidRPr="00DA2128">
        <w:rPr>
          <w:noProof/>
          <w:lang w:eastAsia="en-GB"/>
        </w:rPr>
        <mc:AlternateContent>
          <mc:Choice Requires="wpg">
            <w:drawing>
              <wp:anchor distT="0" distB="0" distL="114300" distR="114300" simplePos="0" relativeHeight="251734016" behindDoc="0" locked="0" layoutInCell="1" allowOverlap="1" wp14:anchorId="7D79732B" wp14:editId="37443707">
                <wp:simplePos x="0" y="0"/>
                <wp:positionH relativeFrom="column">
                  <wp:posOffset>1905</wp:posOffset>
                </wp:positionH>
                <wp:positionV relativeFrom="paragraph">
                  <wp:posOffset>1905</wp:posOffset>
                </wp:positionV>
                <wp:extent cx="1504950" cy="4322445"/>
                <wp:effectExtent l="0" t="0" r="0" b="1905"/>
                <wp:wrapSquare wrapText="bothSides"/>
                <wp:docPr id="1740184745" name="Grupp 43"/>
                <wp:cNvGraphicFramePr/>
                <a:graphic xmlns:a="http://schemas.openxmlformats.org/drawingml/2006/main">
                  <a:graphicData uri="http://schemas.microsoft.com/office/word/2010/wordprocessingGroup">
                    <wpg:wgp>
                      <wpg:cNvGrpSpPr/>
                      <wpg:grpSpPr>
                        <a:xfrm>
                          <a:off x="0" y="0"/>
                          <a:ext cx="1504950" cy="4322445"/>
                          <a:chOff x="0" y="0"/>
                          <a:chExt cx="1504950" cy="4322445"/>
                        </a:xfrm>
                      </wpg:grpSpPr>
                      <wps:wsp>
                        <wps:cNvPr id="1418136525" name="Textruta 2"/>
                        <wps:cNvSpPr txBox="1">
                          <a:spLocks noChangeArrowheads="1"/>
                        </wps:cNvSpPr>
                        <wps:spPr bwMode="auto">
                          <a:xfrm>
                            <a:off x="457200" y="4051300"/>
                            <a:ext cx="760095" cy="271145"/>
                          </a:xfrm>
                          <a:prstGeom prst="rect">
                            <a:avLst/>
                          </a:prstGeom>
                          <a:solidFill>
                            <a:srgbClr val="FFFFFF"/>
                          </a:solidFill>
                          <a:ln w="9525">
                            <a:noFill/>
                            <a:miter lim="800000"/>
                            <a:headEnd/>
                            <a:tailEnd/>
                          </a:ln>
                        </wps:spPr>
                        <wps:txbx>
                          <w:txbxContent>
                            <w:p w14:paraId="14E4D068" w14:textId="77777777" w:rsidR="008F65AA" w:rsidRPr="00DA2128" w:rsidRDefault="008F65AA" w:rsidP="008F65AA">
                              <w:pPr>
                                <w:rPr>
                                  <w:rFonts w:ascii="Times New Roman" w:hAnsi="Times New Roman" w:cs="Times New Roman"/>
                                  <w:b/>
                                  <w:bCs/>
                                </w:rPr>
                              </w:pPr>
                              <w:r w:rsidRPr="00DA2128">
                                <w:rPr>
                                  <w:rFonts w:ascii="Times New Roman" w:hAnsi="Times New Roman" w:cs="Times New Roman"/>
                                  <w:b/>
                                  <w:bCs/>
                                </w:rPr>
                                <w:t>UNIFE</w:t>
                              </w:r>
                            </w:p>
                          </w:txbxContent>
                        </wps:txbx>
                        <wps:bodyPr rot="0" vert="horz" wrap="square" lIns="91440" tIns="45720" rIns="91440" bIns="45720" anchor="t" anchorCtr="0">
                          <a:noAutofit/>
                        </wps:bodyPr>
                      </wps:wsp>
                      <pic:pic xmlns:pic="http://schemas.openxmlformats.org/drawingml/2006/picture">
                        <pic:nvPicPr>
                          <pic:cNvPr id="1821027983" name="Bildobjekt 42"/>
                          <pic:cNvPicPr>
                            <a:picLocks noChangeAspect="1"/>
                          </pic:cNvPicPr>
                        </pic:nvPicPr>
                        <pic:blipFill rotWithShape="1">
                          <a:blip r:embed="rId43">
                            <a:extLst>
                              <a:ext uri="{28A0092B-C50C-407E-A947-70E740481C1C}">
                                <a14:useLocalDpi xmlns:a14="http://schemas.microsoft.com/office/drawing/2010/main" val="0"/>
                              </a:ext>
                            </a:extLst>
                          </a:blip>
                          <a:srcRect l="35347" t="12060" r="47729" b="9991"/>
                          <a:stretch>
                            <a:fillRect/>
                          </a:stretch>
                        </pic:blipFill>
                        <pic:spPr bwMode="auto">
                          <a:xfrm>
                            <a:off x="0" y="0"/>
                            <a:ext cx="1504950" cy="3898900"/>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D79732B" id="Grupp 43" o:spid="_x0000_s1070" style="position:absolute;margin-left:.15pt;margin-top:.15pt;width:118.5pt;height:340.35pt;z-index:251734016" coordsize="15049,4322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V&#10;zvxA8UXHhe00yS3EJa81K3s38xS2FkfacYPWuirjfjN/yDdB/wCw7Z/+jKqOrsTJ2R2VFFFSUFFF&#10;FABRRRQAUUUUAFFFFABRRRQAUUUUAFFFFABRRRQAUUUUAFZvi3U5NE8L6lewhDLZ2ssyBh8pKoSM&#10;+3FaVY/xE/5EDXP+wfP/AOi2oW4PYm8JanJrfhfTb2YIJby1imcKPlBZATj25rSrH+Hf/IgaH/2D&#10;4P8A0WtbFHUS2CiiigY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434zf8g3Qf8AsO2f/oyu&#10;yrjfjN/yDdB/7Dtn/wCjKqHxImex2VFFFSUFFFFABRRRQAUUUUAFFFFABRRRQAUUUUAFFFFABRRR&#10;QAUUUUAFY/xE/wCRA1z/ALB8/wD6Latisf4if8iBrn/YPn/9FtR1FLYPh3/yIGh/9g+D/wBFrWxW&#10;P8O/+RA0P/sHwf8Aota2KHuEdgooooG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Vxvxm/5Bug/wDYds//AEZXZVxvxm/5Bug/9h2z/wDR&#10;lVD4kTPY7KiiipKCiiigAooooAKKKKACiiigAooooAKKKKACiiigAooooAKKKKACsf4if8iBrn/Y&#10;Pn/9FtWxWP8AET/kQNc/7B8//otqOopbB8O/+RA0P/sHwf8Aota2Kx/h3/yIGh/9g+D/ANFrWxQ9&#10;wjsFFFFAw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uN+M3/IN0H/sO2f/AKMrsq434zf8g3Qf+w7Z/wDoyqh8SJnsdlRRRUlBRRRQAUUU&#10;UAFFFFABRRRQAUUUUAFFFFABRRRQAUUUUAFFFFABWP8AET/kQNc/7B8//otq2Kx/iJ/yIGuf9g+f&#10;/wBFtR1FLYPh3/yIGh/9g+D/ANFrWxWP8O/+RA0P/sHwf+i1rYoe4R2CiiigY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XG/Gb/kG6D/2&#10;HbP/ANGV2Vcb8Zv+QboP/Yds/wD0ZVQ+JEz2OyoooqSgooooAKKKKACiiigAooooAKKKKACiiigA&#10;ooooAKKKKACiiigArH+In/Iga5/2D5//AEW1bFY/xE/5EDXP+wfP/wCi2o6ilsHw7/5EDQ/+wfB/&#10;6LWtisf4d/8AIgaH/wBg+D/0WtbFD3COwUUUUD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434zf8g3Qf+w7Z/wDoyuyrjfjN/wAg3Qf+&#10;w7Z/+jKqHxImex2VFFFSUFFFFABRRRQAUUUUAFFFFABRRRQAUUUUAFFFFABRRRQAUUUUAFY/xE/5&#10;EDXP+wfP/wCi2rYrH+In/Iga5/2D5/8A0W1HUUtg+Hf/ACIGh/8AYPg/9FrWxWP8O/8AkQND/wCw&#10;fB/6LWtih7hHYKKKKB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cb8Zv+QboP/Yds/wD0ZXZVxvxm/wCQboP/AGHbP/0ZVQ+JEz2Oyooo&#10;qSgooooAKKKKACiiigAooooAKKKKACiiigAooooAKKKKACiiigArH+In/Iga5/2D5/8A0W1bFY/x&#10;E/5EDXP+wfP/AOi2o6ilsHw7/wCRA0P/ALB8H/ota2Kx/h3/AMiBof8A2D4P/Ra1sUPcI7BRRRQM&#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rjfjN/wAg3Qf+w7Z/+jK7KuN+M3/IN0H/ALDtn/6MqofEiZ7HZUUUVJQUUUUAFFFFABRRRQAU&#10;UUUAFFFFABRRRQAUUUUAFFFFABRRRQAVj/ET/kQNc/7B8/8A6Latisf4if8AIga5/wBg+f8A9FtR&#10;1FLYPh3/AMiBof8A2D4P/Ra1sVj/AA7/AORA0P8A7B8H/ota2KHuEdgooooG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Vxvxm/wCQboP/&#10;AGHbP/0ZXZVxvxm/5Bug/wDYds//AEZVQ+JEz2OyoooqSgooooAKKKKACiiigAooooAKKKKACiii&#10;gAooooAKKKKACiiigArH+In/ACIGuf8AYPn/APRbVsVj/ET/AJEDXP8AsHz/APotqOopbB8O/wDk&#10;QND/AOwfB/6LWtisf4d/8iBof/YPg/8ARa1sUPcI7BRRRQM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rjfjN/yDdB/wCw7Z/+jK7KuN+M&#10;3/IN0H/sO2f/AKMqofEiZ7HZUUUVJQUUUUAFFFFABRRRQAUUUUAFFFFABRRRQAUUUUAFFFFABRRR&#10;QAVj/ET/AJEDXP8AsHz/APotq2Kx/iJ/yIGuf9g+f/0W1HUUtg+Hf/IgaH/2D4P/AEWtbFY/w7/5&#10;EDQ/+wfB/wCi1rYoe4R2CiiigY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XG/Gb/kG6D/ANh2z/8ARldlXG/Gb/kG6D/2HbP/ANGVUPiR&#10;M9jsqKKKkoKKKKACiiigAooooAKKKKACiiigAooooAKKKKACiiigAooooAKx/iJ/yIGuf9g+f/0W&#10;1bFY/wARP+RA1z/sHz/+i2o6ilsHw7/5EDQ/+wfB/wCi1rYrH+Hf/IgaH/2D4P8A0WtbFD3COwUU&#10;UUD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434zf8g3Qf+w7Z/8AoyuyrjfjN/yDdB/7Dtn/AOjKqHxImex2VFFFSUFFFFABRRRQAUUU&#10;UAFFFFABRRRQAUUUUAFFFFABRRRQAUUUUAFY/wARP+RA1z/sHz/+i2rYrH+In/Iga5/2D5//AEW1&#10;HUUtg+Hf/IgaH/2D4P8A0WtbFY/w7/5EDQ/+wfB/6LWtih7hHYKKKKB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cb8Zv+QboP/Yds/8A&#10;0ZXZVxvxm/5Bug/9h2z/APRlVD4kTPY7KiiipKCiiigAooooAKKKKACiiigAooooAKKKKACiiigA&#10;ooooAKKKKACsf4if8iBrn/YPn/8ARbVsVj/ET/kQNc/7B8//AKLajqKWwfDv/kQND/7B8H/ota2K&#10;x/h3/wAiBof/AGD4P/Ra1sUPcI7BRRRQM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rjfjN/yDdB/7Dtn/AOjK7Kub+I3hy58SWelJaqjG&#10;11S3upMnHyI2TVR0dyZao6SiiipKCiiigAooooAKKKKACiiigAooooAKKKKACiiigAooooAKKKKA&#10;Csf4if8AIga5/wBg+f8A9FtWxWX4x02TWPCeqWcAUzXVpLDHk7RuZCB/OjqD2I/h3/yIGh/9g+D/&#10;ANFrWxWX4O02TR/Cel2c4UTWtpFDJg7huVAD/KtSgS2CiiigY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">
                <v:shape id="_x0000_s1071" type="#_x0000_t202" style="position:absolute;left:4572;top:40513;width:7600;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" stroked="f">
                  <v:textbox>
                    <w:txbxContent>
                      <w:p w14:paraId="14E4D068" w14:textId="77777777" w:rsidR="008F65AA" w:rsidRPr="00DA2128" w:rsidRDefault="008F65AA" w:rsidP="008F65AA">
                        <w:pPr>
                          <w:rPr>
                            <w:rFonts w:ascii="Times New Roman" w:hAnsi="Times New Roman" w:cs="Times New Roman"/>
                            <w:b/>
                            <w:bCs/>
                          </w:rPr>
                        </w:pPr>
                        <w:r w:rsidRPr="00DA2128">
                          <w:rPr>
                            <w:rFonts w:ascii="Times New Roman" w:hAnsi="Times New Roman" w:cs="Times New Roman"/>
                            <w:b/>
                            <w:bCs/>
                          </w:rPr>
                          <w:t>UNIFE</w:t>
                        </w:r>
                      </w:p>
                    </w:txbxContent>
                  </v:textbox>
                </v:shape>
                <v:shape id="Bildobjekt 42" o:spid="_x0000_s1072" type="#_x0000_t75" style="position:absolute;width:15049;height:38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">
                  <v:imagedata r:id="rId44" o:title="" croptop="7904f" cropbottom="6548f" cropleft="23165f" cropright="31280f"/>
                </v:shape>
                <w10:wrap type="square"/>
              </v:group>
            </w:pict>
          </mc:Fallback>
        </mc:AlternateContent>
      </w:r>
    </w:p>
    <w:p w14:paraId="002BD381" w14:textId="77777777" w:rsidR="008F65AA" w:rsidRPr="00DA2128" w:rsidRDefault="008F65AA" w:rsidP="00A937C6">
      <w:pPr>
        <w:spacing w:line="240" w:lineRule="auto"/>
      </w:pPr>
    </w:p>
    <w:p w14:paraId="2C5DA30D" w14:textId="54F7F544" w:rsidR="008F65AA" w:rsidRPr="00DA2128" w:rsidRDefault="005D6B47" w:rsidP="00A937C6">
      <w:pPr>
        <w:spacing w:line="240" w:lineRule="auto"/>
      </w:pPr>
      <w:r w:rsidRPr="00DA2128">
        <w:rPr>
          <w:noProof/>
          <w:lang w:eastAsia="en-GB"/>
        </w:rPr>
        <w:drawing>
          <wp:anchor distT="0" distB="0" distL="114300" distR="114300" simplePos="0" relativeHeight="251739136" behindDoc="0" locked="0" layoutInCell="1" allowOverlap="1" wp14:anchorId="5D16EA46" wp14:editId="47891C53">
            <wp:simplePos x="0" y="0"/>
            <wp:positionH relativeFrom="margin">
              <wp:align>left</wp:align>
            </wp:positionH>
            <wp:positionV relativeFrom="paragraph">
              <wp:posOffset>3833495</wp:posOffset>
            </wp:positionV>
            <wp:extent cx="5115464" cy="534033"/>
            <wp:effectExtent l="0" t="0" r="0" b="0"/>
            <wp:wrapNone/>
            <wp:docPr id="768268174" name="Bildobjekt 28" descr="En bild som visar text, skärmbild, algebra&#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122612" name="Bildobjekt 28" descr="En bild som visar text, skärmbild, algebra&#10;&#10;AI-genererat innehåll kan vara felaktigt."/>
                    <pic:cNvPicPr/>
                  </pic:nvPicPr>
                  <pic:blipFill rotWithShape="1">
                    <a:blip r:embed="rId17">
                      <a:extLst>
                        <a:ext uri="{28A0092B-C50C-407E-A947-70E740481C1C}">
                          <a14:useLocalDpi xmlns:a14="http://schemas.microsoft.com/office/drawing/2010/main" val="0"/>
                        </a:ext>
                      </a:extLst>
                    </a:blip>
                    <a:srcRect l="5845" t="32487" r="5266" b="51016"/>
                    <a:stretch>
                      <a:fillRect/>
                    </a:stretch>
                  </pic:blipFill>
                  <pic:spPr bwMode="auto">
                    <a:xfrm>
                      <a:off x="0" y="0"/>
                      <a:ext cx="5115464" cy="534033"/>
                    </a:xfrm>
                    <a:prstGeom prst="rect">
                      <a:avLst/>
                    </a:prstGeom>
                    <a:ln>
                      <a:noFill/>
                    </a:ln>
                    <a:extLst>
                      <a:ext uri="{53640926-AAD7-44D8-BBD7-CCE9431645EC}">
                        <a14:shadowObscured xmlns:a14="http://schemas.microsoft.com/office/drawing/2010/main"/>
                      </a:ext>
                    </a:extLst>
                  </pic:spPr>
                </pic:pic>
              </a:graphicData>
            </a:graphic>
          </wp:anchor>
        </w:drawing>
      </w:r>
    </w:p>
    <w:p w14:paraId="6D410854" w14:textId="37384D66" w:rsidR="00653BA0" w:rsidRPr="00DA2128" w:rsidRDefault="00653BA0" w:rsidP="00A937C6">
      <w:pPr>
        <w:spacing w:line="240" w:lineRule="auto"/>
      </w:pPr>
      <w:r w:rsidRPr="00DA2128">
        <w:br w:type="page"/>
      </w:r>
    </w:p>
    <w:p w14:paraId="05FE130E" w14:textId="77777777" w:rsidR="005D6B47" w:rsidRPr="00DA2128" w:rsidRDefault="005D6B47" w:rsidP="00A937C6">
      <w:pPr>
        <w:spacing w:line="240" w:lineRule="auto"/>
        <w:sectPr w:rsidR="005D6B47" w:rsidRPr="00DA2128" w:rsidSect="00796BD4">
          <w:pgSz w:w="16838" w:h="11906" w:orient="landscape"/>
          <w:pgMar w:top="1418" w:right="1418" w:bottom="1418" w:left="1418" w:header="709" w:footer="709" w:gutter="0"/>
          <w:cols w:space="708"/>
          <w:docGrid w:linePitch="360"/>
        </w:sectPr>
      </w:pPr>
    </w:p>
    <w:p w14:paraId="34DA25BC" w14:textId="77777777" w:rsidR="006A0294" w:rsidRPr="00DA2128" w:rsidRDefault="006A0294" w:rsidP="00A937C6">
      <w:pPr>
        <w:pStyle w:val="Subtitle"/>
        <w:spacing w:line="240" w:lineRule="auto"/>
        <w:rPr>
          <w:noProof w:val="0"/>
        </w:rPr>
      </w:pPr>
      <w:r w:rsidRPr="00DA2128">
        <w:rPr>
          <w:noProof w:val="0"/>
        </w:rPr>
        <w:lastRenderedPageBreak/>
        <w:t>Discussion</w:t>
      </w:r>
    </w:p>
    <w:p w14:paraId="2FE66A40" w14:textId="77777777" w:rsidR="006A0294" w:rsidRPr="00DA2128" w:rsidRDefault="006A0294" w:rsidP="00A937C6">
      <w:pPr>
        <w:spacing w:line="240" w:lineRule="auto"/>
        <w:rPr>
          <w:sz w:val="22"/>
          <w:szCs w:val="22"/>
        </w:rPr>
      </w:pPr>
      <w:r w:rsidRPr="00DA2128">
        <w:rPr>
          <w:sz w:val="22"/>
          <w:szCs w:val="22"/>
        </w:rPr>
        <w:t xml:space="preserve">This study aimed to identify important areas for the improvement of EDI at the nine universities within the Colours Alliance. By using the GCM method, it enabled structured collection and analysis of qualitative and quantitative data as well as the involvement of people working at the universities within the Colours Alliance in several steps of the process. Moreover, the method enabled the collection of different perspectives from all participants and to merge them into a single map illustrating conceptual areas (Rosas, 2017) of importance for the improvement of EDI. The following discussion will be based on these conceptual areas: Providing training and education; Facilitating events, activities, and community engagement; Promoting inclusive collaboration; Fostering a supportive and inclusive environment and culture; Ensuring equity in leadership and decision-making processes in academia; Advancing policy, implementation, and evaluation. </w:t>
      </w:r>
    </w:p>
    <w:p w14:paraId="3586E1A2" w14:textId="77777777" w:rsidR="006A0294" w:rsidRPr="00DA2128" w:rsidRDefault="006A0294" w:rsidP="00A937C6">
      <w:pPr>
        <w:spacing w:line="240" w:lineRule="auto"/>
        <w:rPr>
          <w:sz w:val="22"/>
          <w:szCs w:val="22"/>
        </w:rPr>
      </w:pPr>
    </w:p>
    <w:p w14:paraId="128AC92A" w14:textId="77777777" w:rsidR="006A0294" w:rsidRPr="00DA2128" w:rsidRDefault="006A0294" w:rsidP="00A937C6">
      <w:pPr>
        <w:pStyle w:val="Sub-subheading"/>
        <w:spacing w:line="240" w:lineRule="auto"/>
      </w:pPr>
      <w:r w:rsidRPr="00DA2128">
        <w:t>Raising awareness and understanding of EDI</w:t>
      </w:r>
    </w:p>
    <w:p w14:paraId="71540468" w14:textId="77777777" w:rsidR="006A0294" w:rsidRPr="00DA2128" w:rsidRDefault="006A0294" w:rsidP="00A937C6">
      <w:pPr>
        <w:spacing w:line="240" w:lineRule="auto"/>
        <w:rPr>
          <w:sz w:val="22"/>
          <w:szCs w:val="22"/>
        </w:rPr>
      </w:pPr>
      <w:r w:rsidRPr="00DA2128">
        <w:rPr>
          <w:sz w:val="22"/>
          <w:szCs w:val="22"/>
        </w:rPr>
        <w:t xml:space="preserve">To improve EDI, there is a need to raise awareness and understanding of EDI and the underlying principles. The result of this study highlights a clear consensus on the need to increase awareness and deepen understanding of EDI through the training and education of students and staff. The training and education can be tailored to the target group and may take various forms, such as workshops, introductory lectures, a train-the-trainer system, or micro-credential courses. This area not only highlights the importance of training and education but also emphasises the need for staff, students, and institutional leaders to be actively engaged in learning about EDI. Hence, facilitating events, activities, and community engagement was identified as an important area for improving EDI. This conceptual area underscores the importance of creating structured opportunities for engagement with EDI principles within university settings. The organising of events, such as awareness days, inspirational talks, and initiatives like EDI week or diversity month, can serve as powerful tools for fostering deeper institutional and community engagement. Such activities not only raise awareness; they also signal the institution's prioritisation and values. By breaking down silos within universities and by including the wider community, such as local municipalities, stakeholders, and international partners, in these events and activities, the universities can strengthen their societal impact and contribute to a more inclusive environment and foster cross-departmental and community collaboration and engagement. </w:t>
      </w:r>
    </w:p>
    <w:p w14:paraId="3F39F3CE" w14:textId="77777777" w:rsidR="006A0294" w:rsidRPr="00DA2128" w:rsidRDefault="006A0294" w:rsidP="00A937C6">
      <w:pPr>
        <w:spacing w:line="240" w:lineRule="auto"/>
        <w:rPr>
          <w:sz w:val="22"/>
          <w:szCs w:val="22"/>
        </w:rPr>
      </w:pPr>
      <w:r w:rsidRPr="00DA2128">
        <w:rPr>
          <w:sz w:val="22"/>
          <w:szCs w:val="22"/>
        </w:rPr>
        <w:t xml:space="preserve">A larger investigation, including 159 universities in the EU, emphasises that awareness-raising plays a crucial role in preparing staff to engage with a diverse student population, as well as in fostering inclusion among colleagues. While initiatives such as training in inclusive teaching, intercultural communication training, and anti-bias approaches exist, they are predominantly aimed at academic staff and often optional or only required for new employees. Notably, only 23% of institutions provide similar training for administrative staff, highlighting a systemic gap in inclusive capacity building across staff roles. Moreover, 53% stated that lack of information/training was a main barrier for EDI at an institutional level (Claeys-Kulik et al., 2019). </w:t>
      </w:r>
    </w:p>
    <w:p w14:paraId="2D4B0093" w14:textId="77777777" w:rsidR="006A0294" w:rsidRPr="00DA2128" w:rsidRDefault="006A0294" w:rsidP="00A937C6">
      <w:pPr>
        <w:spacing w:line="240" w:lineRule="auto"/>
        <w:rPr>
          <w:sz w:val="22"/>
          <w:szCs w:val="22"/>
        </w:rPr>
      </w:pPr>
      <w:r w:rsidRPr="00DA2128">
        <w:rPr>
          <w:sz w:val="22"/>
          <w:szCs w:val="22"/>
        </w:rPr>
        <w:t xml:space="preserve">To increase awareness and understanding of EDI, universities should provide training, education, and opportunities for staff members to participate in EDI-focused events and activities. Enhancing knowledge and insight in this area helps raise awareness of unconscious biases and discriminatory practices that may exist, enabling staff to more effectively identify and address these issues. This is essential for ensuring fair treatment and equal opportunities for all within the academic environment. The importance of equal opportunities is also underscored in the third principle of the European Pillar of Social Rights (European Commission, 2023). Furthermore, EDI training not only enhances awareness of EDI but also enables staff to incorporate diverse perspectives into their teaching and research, making both the curriculum and research more inclusive and reflective of a wide range of cultural and social viewpoints. When staff members are </w:t>
      </w:r>
      <w:r w:rsidRPr="00DA2128">
        <w:rPr>
          <w:sz w:val="22"/>
          <w:szCs w:val="22"/>
        </w:rPr>
        <w:lastRenderedPageBreak/>
        <w:t xml:space="preserve">trained in EDI, it improves the work environment for staff and the educational experience for students. </w:t>
      </w:r>
    </w:p>
    <w:p w14:paraId="37C0EA9D" w14:textId="77777777" w:rsidR="00D77176" w:rsidRPr="00DA2128" w:rsidRDefault="00D77176" w:rsidP="00A937C6">
      <w:pPr>
        <w:spacing w:line="240" w:lineRule="auto"/>
        <w:rPr>
          <w:sz w:val="22"/>
          <w:szCs w:val="22"/>
        </w:rPr>
      </w:pPr>
    </w:p>
    <w:p w14:paraId="3161DFF8" w14:textId="77777777" w:rsidR="006A0294" w:rsidRPr="00DA2128" w:rsidRDefault="006A0294" w:rsidP="00A937C6">
      <w:pPr>
        <w:pStyle w:val="Sub-subheading"/>
        <w:spacing w:line="240" w:lineRule="auto"/>
      </w:pPr>
      <w:r w:rsidRPr="00DA2128">
        <w:t>Enabling EDI through collaboration and an inclusive culture</w:t>
      </w:r>
    </w:p>
    <w:p w14:paraId="12D9FB66" w14:textId="77777777" w:rsidR="006A0294" w:rsidRPr="00DA2128" w:rsidRDefault="006A0294" w:rsidP="00A937C6">
      <w:pPr>
        <w:spacing w:line="240" w:lineRule="auto"/>
        <w:rPr>
          <w:sz w:val="22"/>
          <w:szCs w:val="22"/>
        </w:rPr>
      </w:pPr>
      <w:r w:rsidRPr="00DA2128">
        <w:rPr>
          <w:sz w:val="22"/>
          <w:szCs w:val="22"/>
        </w:rPr>
        <w:t>To improve EDI at universities, it is essential to actively promote collaboration by recognising and cultivating diversity as a positive force within academic environments. Rather than viewing diversity as a challenge to be managed, the findings emphasize its role as a facilitator of enriched work dynamics, enhanced creativity, and stronger collaborative processes. A report from the League of European Research Universities (LERU) (Buitendijk et al., 2019) highlights that sustained and meaningful improvement in EDI requires a collective, collaborative approach. This aligns with our findings, which stress the importance of inclusive collaboration and everyday interpersonal interactions as central to cultural transformation. The report by LERU points to the power of institutional networks and shared learning in driving change, further affirming that no institution can shift academic culture in isolation, highlighting that “… there is power and opportunity in numbers, (p. 13), underscoring the need for collaborative efforts in EDI improvement.</w:t>
      </w:r>
    </w:p>
    <w:p w14:paraId="4F8E2469" w14:textId="77777777" w:rsidR="006A0294" w:rsidRPr="00DA2128" w:rsidRDefault="006A0294" w:rsidP="00A937C6">
      <w:pPr>
        <w:spacing w:line="240" w:lineRule="auto"/>
        <w:rPr>
          <w:sz w:val="22"/>
          <w:szCs w:val="22"/>
        </w:rPr>
      </w:pPr>
      <w:r w:rsidRPr="00DA2128">
        <w:rPr>
          <w:sz w:val="22"/>
          <w:szCs w:val="22"/>
        </w:rPr>
        <w:t>An underlying aspect of inclusive collaboration is the call to foster a culture where we “treat everyone with kindness and respect, valuing individuals for who they are” (statement 16 in this study). This statement, which was rated highest in terms of importance by all nine universities, reflects an understanding of inclusion not only as a structural or policy-based issue but as a cultural and interpersonal one. This area suggests that everyday interactions and the emotional climate of institutions play a crucial role in improving EDI.</w:t>
      </w:r>
    </w:p>
    <w:p w14:paraId="1B17BE5E" w14:textId="77777777" w:rsidR="006A0294" w:rsidRPr="00DA2128" w:rsidRDefault="006A0294" w:rsidP="00A937C6">
      <w:pPr>
        <w:spacing w:line="240" w:lineRule="auto"/>
        <w:rPr>
          <w:sz w:val="22"/>
          <w:szCs w:val="22"/>
        </w:rPr>
      </w:pPr>
      <w:r w:rsidRPr="00DA2128">
        <w:rPr>
          <w:sz w:val="22"/>
          <w:szCs w:val="22"/>
        </w:rPr>
        <w:t>This study illustrates the foundational role of a supportive and inclusive environment in enabling and hence improving EDI within universities. Also, the findings suggest that EDI cannot be achieved solely through policies or formal initiatives; rather, it must be embedded in the very culture and everyday experiences of the academic community. Creating spaces that are welcoming, safe, and respectful and cultivating a culture where inclusion and respect are integrated can lead to environments where both staff and students feel valued, supported, and empowered. Recognising the unique knowledge and contributions of individuals, irrespective of their background, status, or affiliations, helps challenge hierarchical and exclusionary norms, promoting a culture of openness and tolerance.</w:t>
      </w:r>
    </w:p>
    <w:p w14:paraId="78EED70A" w14:textId="77777777" w:rsidR="006A0294" w:rsidRPr="00DA2128" w:rsidRDefault="006A0294" w:rsidP="00A937C6">
      <w:pPr>
        <w:spacing w:line="240" w:lineRule="auto"/>
        <w:rPr>
          <w:sz w:val="22"/>
          <w:szCs w:val="22"/>
        </w:rPr>
      </w:pPr>
      <w:r w:rsidRPr="00DA2128">
        <w:rPr>
          <w:sz w:val="22"/>
          <w:szCs w:val="22"/>
        </w:rPr>
        <w:t>Embedding EDI into the culture of academic communities, rather than relying solely on formal policies, is considered essential (Hashemi Toroghi et al., 2024). Furthermore, they argue that within work environments in universities, there is a need for a paradigm shift toward organisational compassion. The authors propose the NEAR (Noticing, Empathising, Assessing, Responding) framework as a practical model to foster a compassionate and inclusive environment within higher education institutions. This approach highlights the significance of recognising individual contributions and addressing systemic challenges, thereby supporting the creation of welcoming, safe, and respectful spaces where staff feel valued and empowered. Such an inclusive and compassionate organisational culture is presented as foundational for improving EDI effectively. Moreover, the report Needs and Wellbeing of Students and Staff: Thematic Peer Group Report (European University Association, 2023) underscores the importance of fostering a culture of respect and empathy as a key factor in supporting the well-being of both staff and students. Efforts to improve EDI in academic institutions must therefore focus on cultivating environments and cultures that enable all members of the university community to thrive.</w:t>
      </w:r>
    </w:p>
    <w:p w14:paraId="7DBC91FD" w14:textId="77777777" w:rsidR="006A0294" w:rsidRPr="00DA2128" w:rsidRDefault="006A0294" w:rsidP="00A937C6">
      <w:pPr>
        <w:spacing w:line="240" w:lineRule="auto"/>
        <w:rPr>
          <w:sz w:val="22"/>
          <w:szCs w:val="22"/>
        </w:rPr>
      </w:pPr>
      <w:r w:rsidRPr="00DA2128">
        <w:rPr>
          <w:sz w:val="22"/>
          <w:szCs w:val="22"/>
        </w:rPr>
        <w:t xml:space="preserve">Cultivating an inclusive research culture requires a transformation of the underlying behaviours, values, expectations, attitudes, and norms within research communities (Thomson and Gooberman-Hill, 2024). This perspective aligns with this study's result, emphasising that creating welcoming, safe, and respectful spaces is fundamental to fostering an environment where all </w:t>
      </w:r>
      <w:r w:rsidRPr="00DA2128">
        <w:rPr>
          <w:sz w:val="22"/>
          <w:szCs w:val="22"/>
        </w:rPr>
        <w:lastRenderedPageBreak/>
        <w:t xml:space="preserve">individuals feel valued and empowered. By challenging hierarchical and exclusionary norms and addressing systemic barriers that hinder EDI, institutions can promote a culture of openness and tolerance, thereby enhancing the everyday experiences of both staff and students. </w:t>
      </w:r>
    </w:p>
    <w:p w14:paraId="3DF83A1E" w14:textId="77777777" w:rsidR="00D77176" w:rsidRPr="00DA2128" w:rsidRDefault="00D77176" w:rsidP="00A937C6">
      <w:pPr>
        <w:spacing w:line="240" w:lineRule="auto"/>
        <w:rPr>
          <w:sz w:val="22"/>
          <w:szCs w:val="22"/>
        </w:rPr>
      </w:pPr>
    </w:p>
    <w:p w14:paraId="4639A4C0" w14:textId="77777777" w:rsidR="006A0294" w:rsidRPr="00DA2128" w:rsidRDefault="006A0294" w:rsidP="00A937C6">
      <w:pPr>
        <w:pStyle w:val="Sub-subheading"/>
        <w:spacing w:line="240" w:lineRule="auto"/>
      </w:pPr>
      <w:r w:rsidRPr="00DA2128">
        <w:t>Embedding EDI in leadership, decision-making, and policies</w:t>
      </w:r>
    </w:p>
    <w:p w14:paraId="2C722DBF" w14:textId="77777777" w:rsidR="006A0294" w:rsidRPr="00DA2128" w:rsidRDefault="006A0294" w:rsidP="00A937C6">
      <w:pPr>
        <w:spacing w:line="240" w:lineRule="auto"/>
        <w:rPr>
          <w:sz w:val="22"/>
          <w:szCs w:val="22"/>
        </w:rPr>
      </w:pPr>
      <w:r w:rsidRPr="00DA2128">
        <w:rPr>
          <w:sz w:val="22"/>
          <w:szCs w:val="22"/>
        </w:rPr>
        <w:t>Embedding EDI throughout all levels of the institutional structure and practice is a crucial step in ensuring equity in leadership and decision-making processes in academia, as well as improving overall EDI. A key aspect is the importance of inclusive and equitable decision-making processes. Ensuring that underrepresented groups are actively involved in decisions and that their perspectives are not only included but also influential is essential for developing equity in institutional governance. Furthermore, the findings highlight the importance of transparency in academic processes such as recruitment, promotion, compensation, and equitable access to roles of influence and authority. To improve EDI, leaders must be committed and move beyond rhetorical support for EDI to actively prioritise and support inclusive policies and EDI initiatives. In the absence of strong and engaged leadership, attempts to integrate EDI may remain fragmented, inconsistent, or lack the depth needed for sustainable impact.</w:t>
      </w:r>
    </w:p>
    <w:p w14:paraId="3351C39E" w14:textId="77777777" w:rsidR="006A0294" w:rsidRPr="00DA2128" w:rsidRDefault="006A0294" w:rsidP="00A937C6">
      <w:pPr>
        <w:spacing w:line="240" w:lineRule="auto"/>
        <w:rPr>
          <w:sz w:val="22"/>
          <w:szCs w:val="22"/>
        </w:rPr>
      </w:pPr>
      <w:r w:rsidRPr="00DA2128">
        <w:rPr>
          <w:sz w:val="22"/>
          <w:szCs w:val="22"/>
        </w:rPr>
        <w:t xml:space="preserve">The Erasmus+ project, ULEAD4ALL, aims to promote more equitable, diverse, and inclusive leadership in higher education. As part of the project, a literature review was conducted, along with qualitative interviews with university leaders, aspiring leaders from under-represented groups, and stakeholders from outside higher education institutions. The project involved 18 higher education institutions and 16 organisations across 10 countries. The report by Arkins and Kortesidou (2024) summarises the findings of the ULEAD4ALL project, underscoring the critical importance of embedding EDI throughout all levels of institutional structures and practices to ensure equity in leadership and decision-making processes within academia (Arkins and Kortesidou, 2024). The authors highlight that underrepresented groups often face systemic barriers in gaining leadership roles, due to unclear recruitment, promotion, and compensation processes. To address these challenges, a transparent and inclusive decision-making process is needed. Moreover, the report emphasises that institutional leaders must actively prioritise and support inclusive policies and initiatives and play an essential role in driving cultural changes. Without strong and engaged leadership, efforts to embed EDI at all levels in academia may be fragmented and lack the depth needed for sustainable progress and impact. This is supported by a systematic review on intersectional inequalities in Western higher education institutions, which also emphasised the need for leaders, chairs, and deans to take an active role in driving change (Lukkien et al., 2025).  </w:t>
      </w:r>
    </w:p>
    <w:p w14:paraId="62CA45F5" w14:textId="77777777" w:rsidR="006A0294" w:rsidRPr="00DA2128" w:rsidRDefault="006A0294" w:rsidP="00A937C6">
      <w:pPr>
        <w:spacing w:line="240" w:lineRule="auto"/>
        <w:rPr>
          <w:sz w:val="22"/>
          <w:szCs w:val="22"/>
        </w:rPr>
      </w:pPr>
      <w:r w:rsidRPr="00DA2128">
        <w:rPr>
          <w:sz w:val="22"/>
          <w:szCs w:val="22"/>
        </w:rPr>
        <w:t xml:space="preserve">There is a critical need for advancing, implementing, and evaluating EDI policies and institutional structures to obtain changes and improve EDI, and ensure meaningful and sustainable progress toward EDI within the university context. However, the result of this study highlights that the improvement of EDI cannot rely solely on individual initiatives or good intentions; it must be supported by formalised policies, clear action plans, and strategies that are communicated and implemented across all departments. The establishment of advisory boards, in the development of policies, that include both students and staff from diverse backgrounds, is a way to anchor EDI work in lived experience and ensure that a variety of perspectives inform the policies. The development of indicators to monitor and evaluate EDI improvements enables an evidence-based approaches that allow institutions to identify structural issues and measure the impact of interventions over time. </w:t>
      </w:r>
    </w:p>
    <w:p w14:paraId="04EAC5BD" w14:textId="77777777" w:rsidR="006A0294" w:rsidRPr="00DA2128" w:rsidRDefault="006A0294" w:rsidP="00A937C6">
      <w:pPr>
        <w:spacing w:line="240" w:lineRule="auto"/>
        <w:rPr>
          <w:sz w:val="22"/>
          <w:szCs w:val="22"/>
        </w:rPr>
      </w:pPr>
      <w:r w:rsidRPr="00DA2128">
        <w:rPr>
          <w:sz w:val="22"/>
          <w:szCs w:val="22"/>
        </w:rPr>
        <w:t xml:space="preserve">An example of using indicators for measuring and evaluating the work on EDI is the Eurydice report, which focuses on the topic of equity and inclusion in higher education in Europe. The report describes an analysis of the current alignment of European higher education systems with ten principles and guidelines. To support the advancement of equity in higher education, measurable indicators were developed for each of these principles. These indicators may serve as tools for collecting and presenting the relevant data when assessing and addressing the </w:t>
      </w:r>
      <w:r w:rsidRPr="00DA2128">
        <w:rPr>
          <w:sz w:val="22"/>
          <w:szCs w:val="22"/>
        </w:rPr>
        <w:lastRenderedPageBreak/>
        <w:t>progress of higher education institutions in fostering more inclusive and equitable environments (European Commission et al., 2022a).</w:t>
      </w:r>
    </w:p>
    <w:p w14:paraId="3DB08F32" w14:textId="77777777" w:rsidR="006A0294" w:rsidRPr="00DA2128" w:rsidRDefault="006A0294" w:rsidP="00A937C6">
      <w:pPr>
        <w:spacing w:line="240" w:lineRule="auto"/>
        <w:rPr>
          <w:sz w:val="22"/>
          <w:szCs w:val="22"/>
        </w:rPr>
      </w:pPr>
      <w:r w:rsidRPr="00DA2128">
        <w:rPr>
          <w:sz w:val="22"/>
          <w:szCs w:val="22"/>
        </w:rPr>
        <w:t xml:space="preserve">The need to advance, implement, and evaluate EDI policies and institutional structures to improve EDI necessitates structured strategies and action plans, as this report demonstrates. Additionally, appropriate indicators for monitoring and evaluating progress must be established. By evaluating our current position, we can set meaningful goals and track our development. However, it is important to acknowledge the complexity of improving EDI and the ways in which its various dimensions are interrelated. This is made explicit in the Four-P EDI Manifestation Framework, developed through a focus group study in higher education in Ireland. The framework includes four key components: Philosophy, Policy, Process, and Praxis. Drawing on a systems theory approach, it emphasises the interconnectedness of all levels, ranging from the micro to the macro, within higher education institutions and their wider environment. It also highlights the importance of addressing EDI across multiple dimensions, from abstract philosophical foundations to tangible, practical actions. By incorporating these layers, the framework ensures that EDI is not merely a theoretical or policy-driven initiative, but is integrated into the everyday practices and operational processes of staff in higher education. A comprehensive approach such as this enables the capture and evaluation of all forms of EDI, from high-level conceptual thinking to concrete implementation and real-world outcomes (Carew et al., 2024). </w:t>
      </w:r>
    </w:p>
    <w:p w14:paraId="39723919" w14:textId="77777777" w:rsidR="006A0294" w:rsidRPr="00DA2128" w:rsidRDefault="006A0294" w:rsidP="00A937C6">
      <w:pPr>
        <w:spacing w:line="240" w:lineRule="auto"/>
        <w:rPr>
          <w:sz w:val="22"/>
          <w:szCs w:val="22"/>
        </w:rPr>
      </w:pPr>
      <w:r w:rsidRPr="00DA2128">
        <w:rPr>
          <w:sz w:val="22"/>
          <w:szCs w:val="22"/>
        </w:rPr>
        <w:t>The complexity of improving EDI is evident in the limited and often unsustainable impact on institutional practices and culture within higher education institutions. Despite a growing number of EDI-related policies, many institutions continue to face structural and operational barriers that hinder meaningful and lasting improvement of EDI. Hence, it becomes paramount that individuals across all roles and levels within academic institutions must develop EDI competencies. Achieving this requires the provision of structured training and adequate resources to enable all members of the academic community, not only those in human resources or dedicated EDI offices, to actively contribute to inclusive and equitable working environments. Two key strategies are proposed to support this objective: (i) the development of EDI competencies at the individual level, and (ii) the establishment or engagement in communities of practice that facilitate the systematic acquisition and application of EDI-related knowledge and skills (Bencivenga et al., 2025).  This educational approach is also reflected in the ULYSSEUS Alliance, part of the European Universities Initiative, which seeks to "fix the knowledge" through targeted training and awareness-raising strategies aimed at enhancing EDI competencies across its institutions (Siri et al., 2022).</w:t>
      </w:r>
    </w:p>
    <w:p w14:paraId="32749AE5" w14:textId="77777777" w:rsidR="00D77176" w:rsidRPr="00DA2128" w:rsidRDefault="00D77176" w:rsidP="00A937C6">
      <w:pPr>
        <w:spacing w:line="240" w:lineRule="auto"/>
        <w:rPr>
          <w:sz w:val="22"/>
          <w:szCs w:val="22"/>
        </w:rPr>
      </w:pPr>
    </w:p>
    <w:p w14:paraId="6E0535F1" w14:textId="77777777" w:rsidR="006A0294" w:rsidRPr="00DA2128" w:rsidRDefault="006A0294" w:rsidP="00A937C6">
      <w:pPr>
        <w:pStyle w:val="Sub-subheading"/>
        <w:spacing w:line="240" w:lineRule="auto"/>
      </w:pPr>
      <w:r w:rsidRPr="00DA2128">
        <w:t>Conclusion</w:t>
      </w:r>
    </w:p>
    <w:p w14:paraId="58F351CA" w14:textId="77777777" w:rsidR="006A0294" w:rsidRPr="00DA2128" w:rsidRDefault="006A0294" w:rsidP="00A937C6">
      <w:pPr>
        <w:spacing w:line="240" w:lineRule="auto"/>
        <w:rPr>
          <w:sz w:val="22"/>
          <w:szCs w:val="22"/>
        </w:rPr>
      </w:pPr>
      <w:r w:rsidRPr="00DA2128">
        <w:rPr>
          <w:sz w:val="22"/>
          <w:szCs w:val="22"/>
        </w:rPr>
        <w:t>The findings of this summary report underscore that achieving meaningful progress in EDI within universities demands a holistic and systematic approach. EDI must be fully integrated across all dimensions of the university’s mission—education, research, and societal engagement. This integration involves not only embedding EDI principles into leadership, policies, and daily practices, but also actively fostering inclusive cultures throughout the institution. While strong leadership, sufficient resources, robust evaluation, and the engagement of the entire university community are essential, the most critical enabler of lasting change is the education and training of staff. Without targeted efforts to raise awareness and deepen knowledge among staff members, it becomes exceedingly difficult to challenge existing norms, shift behaviours, and cultivate the cultural transformation required for genuine EDI advancement. In this context, training is not an optional add-on, but a necessary foundation for any sustainable and impactful change.</w:t>
      </w:r>
    </w:p>
    <w:p w14:paraId="153908ED" w14:textId="77777777" w:rsidR="00D77176" w:rsidRPr="00DA2128" w:rsidRDefault="00D77176" w:rsidP="00A937C6">
      <w:pPr>
        <w:spacing w:line="240" w:lineRule="auto"/>
        <w:rPr>
          <w:sz w:val="22"/>
          <w:szCs w:val="22"/>
        </w:rPr>
      </w:pPr>
    </w:p>
    <w:p w14:paraId="09959A50" w14:textId="77777777" w:rsidR="006A0294" w:rsidRPr="00DA2128" w:rsidRDefault="006A0294" w:rsidP="00A937C6">
      <w:pPr>
        <w:pStyle w:val="Sub-subheading"/>
        <w:spacing w:line="240" w:lineRule="auto"/>
        <w:rPr>
          <w:b/>
          <w:bCs/>
        </w:rPr>
      </w:pPr>
      <w:r w:rsidRPr="00DA2128">
        <w:rPr>
          <w:b/>
          <w:bCs/>
        </w:rPr>
        <w:t>References</w:t>
      </w:r>
    </w:p>
    <w:p w14:paraId="4B4DA011" w14:textId="77777777" w:rsidR="006A0294" w:rsidRPr="00DA2128" w:rsidRDefault="006A0294" w:rsidP="00A937C6">
      <w:pPr>
        <w:spacing w:line="240" w:lineRule="auto"/>
        <w:rPr>
          <w:sz w:val="22"/>
          <w:szCs w:val="22"/>
        </w:rPr>
      </w:pPr>
      <w:r w:rsidRPr="00DA2128">
        <w:rPr>
          <w:sz w:val="22"/>
          <w:szCs w:val="22"/>
        </w:rPr>
        <w:lastRenderedPageBreak/>
        <w:t>ARKINS, M. &amp; KORTESIDOU, D. 2024. Building the pipeline for EDI leadership in higher education institutions in Europe [Online]. Available: https://www.researchgate.net/profile/Madeline-Arkins/publication/382013430_Building_the_Pipeline_for_EDI_Leadership_in_Higher_Education_Institutions_in_Europe/links/6687eeb4714e0b031548fa54/Building-the-Pipeline-for-EDI-Leadership-in-Higher-Education-Institutions-in-Europe.pdf [Accessed 26 June 2025].</w:t>
      </w:r>
    </w:p>
    <w:p w14:paraId="7C027E12" w14:textId="77777777" w:rsidR="006A0294" w:rsidRPr="00DA2128" w:rsidRDefault="006A0294" w:rsidP="00A937C6">
      <w:pPr>
        <w:spacing w:line="240" w:lineRule="auto"/>
        <w:rPr>
          <w:sz w:val="22"/>
          <w:szCs w:val="22"/>
        </w:rPr>
      </w:pPr>
      <w:r w:rsidRPr="00DA2128">
        <w:rPr>
          <w:sz w:val="22"/>
          <w:szCs w:val="22"/>
        </w:rPr>
        <w:t>BENCIVENGA, R., CAMPANINI VILHENA, F. &amp; TARAMASSO, A. C. 2025. The European Union’s Push for Equality, Diversity and Inclusion (EDI) and Its Implications for Career Development: A Perspective on Skills and Competences. In: LEONE, C. (ed.) Career Development - Challenges and Opportunities in Contemporary Societies. Rijeka: IntechOpen.</w:t>
      </w:r>
    </w:p>
    <w:p w14:paraId="06AB66D6" w14:textId="77777777" w:rsidR="006A0294" w:rsidRPr="00DA2128" w:rsidRDefault="006A0294" w:rsidP="00A937C6">
      <w:pPr>
        <w:spacing w:line="240" w:lineRule="auto"/>
        <w:rPr>
          <w:sz w:val="22"/>
          <w:szCs w:val="22"/>
        </w:rPr>
      </w:pPr>
      <w:r w:rsidRPr="00DA2128">
        <w:rPr>
          <w:sz w:val="22"/>
          <w:szCs w:val="22"/>
        </w:rPr>
        <w:t>BUITENDIJK, S., CURRY, S. &amp; MAES, K. 2019. Equality, diversity and inclusion at universities: the power of a systemic approach. LERU position paper.</w:t>
      </w:r>
    </w:p>
    <w:p w14:paraId="7894E19A" w14:textId="77777777" w:rsidR="006A0294" w:rsidRPr="0035189B" w:rsidRDefault="006A0294" w:rsidP="00A937C6">
      <w:pPr>
        <w:spacing w:line="240" w:lineRule="auto"/>
        <w:rPr>
          <w:sz w:val="22"/>
          <w:szCs w:val="22"/>
          <w:lang w:val="sv-SE"/>
        </w:rPr>
      </w:pPr>
      <w:r w:rsidRPr="00DA2128">
        <w:rPr>
          <w:sz w:val="22"/>
          <w:szCs w:val="22"/>
        </w:rPr>
        <w:t xml:space="preserve">CAREW, P. J., SHANAHAN, B. W. &amp; DOYLE-KENT, M. 2024. From philosophy to praxis: A framework for investigating equality, diversity and inclusion manifestation in higher education institutions. </w:t>
      </w:r>
      <w:r w:rsidRPr="0035189B">
        <w:rPr>
          <w:sz w:val="22"/>
          <w:szCs w:val="22"/>
          <w:lang w:val="sv-SE"/>
        </w:rPr>
        <w:t>IFAC-PapersOnLine, 58, 26-31.</w:t>
      </w:r>
    </w:p>
    <w:p w14:paraId="029FC430" w14:textId="77777777" w:rsidR="006A0294" w:rsidRPr="00DA2128" w:rsidRDefault="006A0294" w:rsidP="00A937C6">
      <w:pPr>
        <w:spacing w:line="240" w:lineRule="auto"/>
        <w:rPr>
          <w:sz w:val="22"/>
          <w:szCs w:val="22"/>
        </w:rPr>
      </w:pPr>
      <w:r w:rsidRPr="0035189B">
        <w:rPr>
          <w:sz w:val="22"/>
          <w:szCs w:val="22"/>
          <w:lang w:val="sv-SE"/>
        </w:rPr>
        <w:t xml:space="preserve">CLAEYS-KULIK, A.-L., JØRGENSEN, T. E. &amp; STÖBER, H. 2019. </w:t>
      </w:r>
      <w:r w:rsidRPr="00DA2128">
        <w:rPr>
          <w:sz w:val="22"/>
          <w:szCs w:val="22"/>
        </w:rPr>
        <w:t>Diversity, equity and inclusion in European higher education institutions. Results from the INVITED Project. Brussel: European University Association Asil, 51.</w:t>
      </w:r>
    </w:p>
    <w:p w14:paraId="46362700" w14:textId="77777777" w:rsidR="006A0294" w:rsidRPr="00DA2128" w:rsidRDefault="006A0294" w:rsidP="00A937C6">
      <w:pPr>
        <w:spacing w:line="240" w:lineRule="auto"/>
        <w:rPr>
          <w:sz w:val="22"/>
          <w:szCs w:val="22"/>
        </w:rPr>
      </w:pPr>
      <w:r w:rsidRPr="00DA2128">
        <w:rPr>
          <w:sz w:val="22"/>
          <w:szCs w:val="22"/>
        </w:rPr>
        <w:t>CRESWELL, J. W. &amp; CRESWELL, J. D. 2017. Research design: Qualitative, quantitative, and mixed methods approaches, Sage publications.</w:t>
      </w:r>
    </w:p>
    <w:p w14:paraId="2683025F" w14:textId="77777777" w:rsidR="006A0294" w:rsidRPr="00DA2128" w:rsidRDefault="006A0294" w:rsidP="00A937C6">
      <w:pPr>
        <w:spacing w:line="240" w:lineRule="auto"/>
        <w:rPr>
          <w:sz w:val="22"/>
          <w:szCs w:val="22"/>
        </w:rPr>
      </w:pPr>
      <w:r w:rsidRPr="00DA2128">
        <w:rPr>
          <w:sz w:val="22"/>
          <w:szCs w:val="22"/>
        </w:rPr>
        <w:t>EUROPEAN COMMISSION. 2023. The European Pillar of Social Rights in 20 principles [Online]. https://employment-social-affairs.ec.europa.eu/european-pillar-social-rights-20-principles_en.  [Accessed 18 June 2025].</w:t>
      </w:r>
    </w:p>
    <w:p w14:paraId="0AFEB90D" w14:textId="77777777" w:rsidR="006A0294" w:rsidRPr="00DA2128" w:rsidRDefault="006A0294" w:rsidP="00A937C6">
      <w:pPr>
        <w:spacing w:line="240" w:lineRule="auto"/>
        <w:rPr>
          <w:sz w:val="22"/>
          <w:szCs w:val="22"/>
        </w:rPr>
      </w:pPr>
      <w:r w:rsidRPr="00DA2128">
        <w:rPr>
          <w:sz w:val="22"/>
          <w:szCs w:val="22"/>
        </w:rPr>
        <w:t>EUROPEAN COMMISSION, DIRECTORATE-GENERAL FOR RESEARCH INNOVATION, ANDRIESCU, M., PÉPIN, A., MOUNGOU, A., BUCKINGHAM, S., GILLOZ, O., DUNN, K., SVÍČKOVÁ, K., COLLIER, N., BROUGHTON, A., TENGLEROVA, H., HOYA, C., NÁJERA, L., KELLY, G., SMĘTEK, J., GÓRNIAK, A., NICOSIA, D., MICHALCAKOVA, J., ANTANAVIČIUS, J. &amp; DAVIES, R. 2025. Impact of gender equality plans across the European research area – Report, Publications Office of the European Union.</w:t>
      </w:r>
    </w:p>
    <w:p w14:paraId="690DE696" w14:textId="77777777" w:rsidR="006A0294" w:rsidRPr="00DA2128" w:rsidRDefault="006A0294" w:rsidP="00A937C6">
      <w:pPr>
        <w:spacing w:line="240" w:lineRule="auto"/>
        <w:rPr>
          <w:sz w:val="22"/>
          <w:szCs w:val="22"/>
        </w:rPr>
      </w:pPr>
      <w:r w:rsidRPr="00DA2128">
        <w:rPr>
          <w:sz w:val="22"/>
          <w:szCs w:val="22"/>
        </w:rPr>
        <w:t>EUROPEAN COMMISSION, EDUCATION, E., AGENCY, C. E., CROSIER, D. &amp; SIGALAS, E. 2022a. Towards equity and inclusion in higher education in Europe, Publications Office of the European Union.</w:t>
      </w:r>
    </w:p>
    <w:p w14:paraId="5553F18A" w14:textId="77777777" w:rsidR="006A0294" w:rsidRPr="00DA2128" w:rsidRDefault="006A0294" w:rsidP="00A937C6">
      <w:pPr>
        <w:spacing w:line="240" w:lineRule="auto"/>
        <w:rPr>
          <w:sz w:val="22"/>
          <w:szCs w:val="22"/>
        </w:rPr>
      </w:pPr>
      <w:r w:rsidRPr="00DA2128">
        <w:rPr>
          <w:sz w:val="22"/>
          <w:szCs w:val="22"/>
        </w:rPr>
        <w:t>EUROPEAN COMMISSION, RESEARCH, D.-G. F. &amp; INNOVATION 2021. Horizon Europe guidance on gender equality plans, Publications Office of the European Union.</w:t>
      </w:r>
    </w:p>
    <w:p w14:paraId="10662E4D" w14:textId="77777777" w:rsidR="006A0294" w:rsidRPr="00DA2128" w:rsidRDefault="006A0294" w:rsidP="00A937C6">
      <w:pPr>
        <w:spacing w:line="240" w:lineRule="auto"/>
        <w:rPr>
          <w:sz w:val="22"/>
          <w:szCs w:val="22"/>
        </w:rPr>
      </w:pPr>
      <w:r w:rsidRPr="00DA2128">
        <w:rPr>
          <w:sz w:val="22"/>
          <w:szCs w:val="22"/>
        </w:rPr>
        <w:t>EUROPEAN COMMISSION, RESEARCH, D.-G. F. &amp; INNOVATION 2022b. Towards inclusive gender equality in research and innovation, Publications Office of the European Union.</w:t>
      </w:r>
    </w:p>
    <w:p w14:paraId="3B0AFA6B" w14:textId="77777777" w:rsidR="006A0294" w:rsidRPr="00DA2128" w:rsidRDefault="006A0294" w:rsidP="00A937C6">
      <w:pPr>
        <w:spacing w:line="240" w:lineRule="auto"/>
        <w:rPr>
          <w:sz w:val="22"/>
          <w:szCs w:val="22"/>
        </w:rPr>
      </w:pPr>
      <w:r w:rsidRPr="00DA2128">
        <w:rPr>
          <w:sz w:val="22"/>
          <w:szCs w:val="22"/>
        </w:rPr>
        <w:t>EUROPEAN COMMISSION EUROPEAN EDUCATION CULTURE EXECUTIVE AGENCY, CROSIER, D. &amp; SIGALAS, E. 2022. Towards equity and inclusion in higher education in Europe, Publications Office of the European Union.</w:t>
      </w:r>
    </w:p>
    <w:p w14:paraId="2F35A86C" w14:textId="77777777" w:rsidR="006A0294" w:rsidRPr="00DA2128" w:rsidRDefault="006A0294" w:rsidP="00A937C6">
      <w:pPr>
        <w:spacing w:line="240" w:lineRule="auto"/>
        <w:rPr>
          <w:sz w:val="22"/>
          <w:szCs w:val="22"/>
        </w:rPr>
      </w:pPr>
      <w:r w:rsidRPr="00DA2128">
        <w:rPr>
          <w:sz w:val="22"/>
          <w:szCs w:val="22"/>
        </w:rPr>
        <w:t>EUROPEAN UNIVERSITY ASSOCIATION. 2023. Needs and Wellbeing of Students and Staff. [Online]. https://www.eua.eu/downloads/publications/eua%20tpg%20report_needs%20and%20wellbeing%20of%20students%20and%20staff.pdf.  [Accessed 26 June 2025].</w:t>
      </w:r>
    </w:p>
    <w:p w14:paraId="388B1100" w14:textId="77777777" w:rsidR="006A0294" w:rsidRPr="00DA2128" w:rsidRDefault="006A0294" w:rsidP="00A937C6">
      <w:pPr>
        <w:spacing w:line="240" w:lineRule="auto"/>
        <w:rPr>
          <w:sz w:val="22"/>
          <w:szCs w:val="22"/>
        </w:rPr>
      </w:pPr>
      <w:r w:rsidRPr="00DA2128">
        <w:rPr>
          <w:sz w:val="22"/>
          <w:szCs w:val="22"/>
        </w:rPr>
        <w:t>HANSON, W. E., CRESWELL, J. W., CLARK, V. L. P., PETSKA, K. S. &amp; CRESWELL, J. D. 2005. Mixed methods research designs in counseling psychology. Journal of counseling psychology, 52, 224.</w:t>
      </w:r>
    </w:p>
    <w:p w14:paraId="4A17F7B4" w14:textId="77777777" w:rsidR="006A0294" w:rsidRPr="00DA2128" w:rsidRDefault="006A0294" w:rsidP="00A937C6">
      <w:pPr>
        <w:spacing w:line="240" w:lineRule="auto"/>
        <w:rPr>
          <w:sz w:val="22"/>
          <w:szCs w:val="22"/>
        </w:rPr>
      </w:pPr>
      <w:r w:rsidRPr="00DA2128">
        <w:rPr>
          <w:sz w:val="22"/>
          <w:szCs w:val="22"/>
        </w:rPr>
        <w:lastRenderedPageBreak/>
        <w:t>HASHEMI TOROGHI, H., DENNEY, F. &amp; SIMPSON, A. V. 2024. Cultivating staff equality, diversity, and inclusion in higher education in the post-pandemic era: an organizational compassion perspective. Frontiers in Sociology, 9, 1378665.</w:t>
      </w:r>
    </w:p>
    <w:p w14:paraId="148691E7" w14:textId="77777777" w:rsidR="006A0294" w:rsidRPr="00DA2128" w:rsidRDefault="006A0294" w:rsidP="00A937C6">
      <w:pPr>
        <w:spacing w:line="240" w:lineRule="auto"/>
        <w:rPr>
          <w:sz w:val="22"/>
          <w:szCs w:val="22"/>
        </w:rPr>
      </w:pPr>
      <w:r w:rsidRPr="00DA2128">
        <w:rPr>
          <w:sz w:val="22"/>
          <w:szCs w:val="22"/>
        </w:rPr>
        <w:t>KANE, M. &amp; ROSAS, S. 2017. Conversations about group concept mapping: Applications, examples, and enhancements, SAGE publications.</w:t>
      </w:r>
    </w:p>
    <w:p w14:paraId="099818C6" w14:textId="77777777" w:rsidR="006A0294" w:rsidRPr="00DA2128" w:rsidRDefault="006A0294" w:rsidP="00A937C6">
      <w:pPr>
        <w:spacing w:line="240" w:lineRule="auto"/>
        <w:rPr>
          <w:sz w:val="22"/>
          <w:szCs w:val="22"/>
        </w:rPr>
      </w:pPr>
      <w:r w:rsidRPr="0035189B">
        <w:rPr>
          <w:sz w:val="22"/>
          <w:szCs w:val="22"/>
          <w:lang w:val="sv-SE"/>
        </w:rPr>
        <w:t>LUKKIEN, T., CHAUHAN, T. &amp; OTAYE</w:t>
      </w:r>
      <w:r w:rsidRPr="0035189B">
        <w:rPr>
          <w:rFonts w:ascii="Cambria Math" w:hAnsi="Cambria Math" w:cs="Cambria Math"/>
          <w:sz w:val="22"/>
          <w:szCs w:val="22"/>
          <w:lang w:val="sv-SE"/>
        </w:rPr>
        <w:t>‐</w:t>
      </w:r>
      <w:r w:rsidRPr="0035189B">
        <w:rPr>
          <w:sz w:val="22"/>
          <w:szCs w:val="22"/>
          <w:lang w:val="sv-SE"/>
        </w:rPr>
        <w:t xml:space="preserve">EBEDE, L. 2025. </w:t>
      </w:r>
      <w:r w:rsidRPr="00DA2128">
        <w:rPr>
          <w:sz w:val="22"/>
          <w:szCs w:val="22"/>
        </w:rPr>
        <w:t>Addressing the diversity principle</w:t>
      </w:r>
      <w:r w:rsidRPr="00DA2128">
        <w:rPr>
          <w:rFonts w:cs="Avenir Next LT Pro"/>
          <w:sz w:val="22"/>
          <w:szCs w:val="22"/>
        </w:rPr>
        <w:t>–</w:t>
      </w:r>
      <w:r w:rsidRPr="00DA2128">
        <w:rPr>
          <w:sz w:val="22"/>
          <w:szCs w:val="22"/>
        </w:rPr>
        <w:t>practice gap in Western higher education institutions: A systematic review on intersectionality. British Educational Research Journal, 51, 705-736.</w:t>
      </w:r>
    </w:p>
    <w:p w14:paraId="2AFB0CD8" w14:textId="77777777" w:rsidR="006A0294" w:rsidRPr="00DA2128" w:rsidRDefault="006A0294" w:rsidP="00A937C6">
      <w:pPr>
        <w:spacing w:line="240" w:lineRule="auto"/>
        <w:rPr>
          <w:sz w:val="22"/>
          <w:szCs w:val="22"/>
        </w:rPr>
      </w:pPr>
      <w:r w:rsidRPr="00DA2128">
        <w:rPr>
          <w:sz w:val="22"/>
          <w:szCs w:val="22"/>
        </w:rPr>
        <w:t>ROSAS, S. R. 2017. Group concept mapping methodology: toward an epistemology of group conceptualization, complexity, and emergence. Quality &amp; quantity, 51, 1403-1416.</w:t>
      </w:r>
    </w:p>
    <w:p w14:paraId="7C2874AF" w14:textId="77777777" w:rsidR="006A0294" w:rsidRPr="00DA2128" w:rsidRDefault="006A0294" w:rsidP="00A937C6">
      <w:pPr>
        <w:spacing w:line="240" w:lineRule="auto"/>
        <w:rPr>
          <w:sz w:val="22"/>
          <w:szCs w:val="22"/>
        </w:rPr>
      </w:pPr>
      <w:r w:rsidRPr="00DA2128">
        <w:rPr>
          <w:sz w:val="22"/>
          <w:szCs w:val="22"/>
        </w:rPr>
        <w:t>ROSAS, S. R. &amp; KANE, M. 2012. Quality and rigor of the concept mapping methodology: a pooled study analysis. Evaluation and program planning, 35, 236-245.</w:t>
      </w:r>
    </w:p>
    <w:p w14:paraId="371162F3" w14:textId="77777777" w:rsidR="006A0294" w:rsidRPr="00DA2128" w:rsidRDefault="006A0294" w:rsidP="00A937C6">
      <w:pPr>
        <w:spacing w:line="240" w:lineRule="auto"/>
        <w:rPr>
          <w:sz w:val="22"/>
          <w:szCs w:val="22"/>
        </w:rPr>
      </w:pPr>
      <w:r w:rsidRPr="00DA2128">
        <w:rPr>
          <w:sz w:val="22"/>
          <w:szCs w:val="22"/>
        </w:rPr>
        <w:t>SIRI, A., LEONE, C. &amp; BENCIVENGA, R. 2022. Equality, diversity, and inclusion strategies adopted in a European university alliance to facilitate the higher education-to-work transition. Societies, 12, 140.</w:t>
      </w:r>
    </w:p>
    <w:p w14:paraId="310DC40B" w14:textId="77777777" w:rsidR="006A0294" w:rsidRPr="00DA2128" w:rsidRDefault="006A0294" w:rsidP="00A937C6">
      <w:pPr>
        <w:spacing w:line="240" w:lineRule="auto"/>
        <w:rPr>
          <w:sz w:val="22"/>
          <w:szCs w:val="22"/>
        </w:rPr>
      </w:pPr>
      <w:r w:rsidRPr="00DA2128">
        <w:rPr>
          <w:sz w:val="22"/>
          <w:szCs w:val="22"/>
        </w:rPr>
        <w:t>THOMSON, A. &amp; GOOBERMAN-HILL, R. 2024. Nurturing equality, diversity and inclusion: Support for research careers in health and biomedicine, Policy Press.</w:t>
      </w:r>
    </w:p>
    <w:p w14:paraId="7826A393" w14:textId="77777777" w:rsidR="006A0294" w:rsidRPr="00DA2128" w:rsidRDefault="006A0294" w:rsidP="00A937C6">
      <w:pPr>
        <w:spacing w:line="240" w:lineRule="auto"/>
        <w:rPr>
          <w:sz w:val="22"/>
          <w:szCs w:val="22"/>
        </w:rPr>
      </w:pPr>
      <w:r w:rsidRPr="00DA2128">
        <w:rPr>
          <w:sz w:val="22"/>
          <w:szCs w:val="22"/>
        </w:rPr>
        <w:t>VAN DEN BRINK, M. 2020. “Reinventing the wheel over and over again”. Organizational learning, memory and forgetting in doing diversity work. Equality, Diversity and Inclusion: An International Journal, 39, 379-393.</w:t>
      </w:r>
    </w:p>
    <w:p w14:paraId="7D5E2679" w14:textId="77777777" w:rsidR="006A0294" w:rsidRPr="00DA2128" w:rsidRDefault="006A0294" w:rsidP="00A937C6">
      <w:pPr>
        <w:spacing w:line="240" w:lineRule="auto"/>
        <w:rPr>
          <w:sz w:val="22"/>
          <w:szCs w:val="22"/>
        </w:rPr>
      </w:pPr>
      <w:r w:rsidRPr="00DA2128">
        <w:rPr>
          <w:sz w:val="22"/>
          <w:szCs w:val="22"/>
        </w:rPr>
        <w:t>WATSON, H. R., WISDOM, H., MICHAEL, C., MARSHALL, N. &amp; NEVE, H. 2023. Equality pledges: A novel approach to embedding EDI and promoting positive culture change in a UK university. Equity in Education &amp; Society, 2, 110-122.</w:t>
      </w:r>
    </w:p>
    <w:p w14:paraId="1FF6FBB3" w14:textId="77777777" w:rsidR="006A0294" w:rsidRPr="00DA2128" w:rsidRDefault="006A0294" w:rsidP="00A937C6">
      <w:pPr>
        <w:spacing w:line="240" w:lineRule="auto"/>
        <w:rPr>
          <w:sz w:val="22"/>
          <w:szCs w:val="22"/>
        </w:rPr>
      </w:pPr>
    </w:p>
    <w:p w14:paraId="26A711A7" w14:textId="77777777" w:rsidR="008F65AA" w:rsidRPr="00DA2128" w:rsidRDefault="008F65AA" w:rsidP="00A937C6">
      <w:pPr>
        <w:spacing w:line="240" w:lineRule="auto"/>
        <w:rPr>
          <w:sz w:val="22"/>
          <w:szCs w:val="22"/>
        </w:rPr>
      </w:pPr>
    </w:p>
    <w:p w14:paraId="72BA357D" w14:textId="77777777" w:rsidR="00B97F50" w:rsidRPr="00DA2128" w:rsidRDefault="00B97F50" w:rsidP="00A937C6">
      <w:pPr>
        <w:spacing w:line="240" w:lineRule="auto"/>
        <w:rPr>
          <w:sz w:val="22"/>
          <w:szCs w:val="22"/>
        </w:rPr>
      </w:pPr>
    </w:p>
    <w:p w14:paraId="0B771F2A" w14:textId="17501FC0" w:rsidR="007E6C4E" w:rsidRPr="00DA2128" w:rsidRDefault="007E6C4E" w:rsidP="00A937C6">
      <w:pPr>
        <w:pStyle w:val="Heading1"/>
        <w:spacing w:line="240" w:lineRule="auto"/>
      </w:pPr>
      <w:bookmarkStart w:id="12" w:name="_Toc211351790"/>
      <w:r w:rsidRPr="00DA2128">
        <w:t xml:space="preserve">Task number 5.3: </w:t>
      </w:r>
      <w:r w:rsidR="006E1EA1" w:rsidRPr="00DA2128">
        <w:t>Conduct EDI – IMAGINE Seminars</w:t>
      </w:r>
      <w:bookmarkEnd w:id="12"/>
    </w:p>
    <w:p w14:paraId="0506D1E0" w14:textId="77777777" w:rsidR="000F0044" w:rsidRPr="00DA2128" w:rsidRDefault="000F0044" w:rsidP="00A937C6">
      <w:pPr>
        <w:spacing w:line="240" w:lineRule="auto"/>
        <w:rPr>
          <w:sz w:val="22"/>
          <w:szCs w:val="22"/>
        </w:rPr>
      </w:pPr>
      <w:r w:rsidRPr="00DA2128">
        <w:rPr>
          <w:sz w:val="22"/>
          <w:szCs w:val="22"/>
        </w:rPr>
        <w:t xml:space="preserve">Task 5.3 centred on the implementation of Imagine workshops across the COLOURS Alliance as a structured, student-centred approach to advancing equity, diversity, and inclusion (EDI). These workshops applied the methodology of Applied Design Thinking, enabling students to collaboratively explore systemic challenges and generate innovative solutions grounded in their lived experiences of higher education. </w:t>
      </w:r>
    </w:p>
    <w:p w14:paraId="71AE2423" w14:textId="77777777" w:rsidR="000F0044" w:rsidRPr="00DA2128" w:rsidRDefault="000F0044" w:rsidP="00A937C6">
      <w:pPr>
        <w:spacing w:line="240" w:lineRule="auto"/>
        <w:rPr>
          <w:sz w:val="22"/>
          <w:szCs w:val="22"/>
        </w:rPr>
      </w:pPr>
      <w:r w:rsidRPr="00DA2128">
        <w:rPr>
          <w:sz w:val="22"/>
          <w:szCs w:val="22"/>
        </w:rPr>
        <w:t>The Imagine workshops were conducted across all partner universities facilitated by EDI Officers and trained moderators. Students engaged in iterative stages of empathy-building, problem definition, ideation, and solution prototyping, which culminated in presentations to panels of stakeholders. This methodology ensured that the insights generated were context-sensitive, practically oriented, and reflective of diverse academic and cultural settings. Importantly, the workshops also reinforced the alliance’s broader commitment to challenge-based learning and inclusive institutional transformation.</w:t>
      </w:r>
    </w:p>
    <w:p w14:paraId="2EC703DA" w14:textId="571E0F54" w:rsidR="00064EA8" w:rsidRPr="00DA2128" w:rsidRDefault="000F0044" w:rsidP="00A937C6">
      <w:pPr>
        <w:spacing w:line="240" w:lineRule="auto"/>
        <w:rPr>
          <w:sz w:val="22"/>
          <w:szCs w:val="22"/>
        </w:rPr>
      </w:pPr>
      <w:r w:rsidRPr="00DA2128">
        <w:rPr>
          <w:sz w:val="22"/>
          <w:szCs w:val="22"/>
        </w:rPr>
        <w:t xml:space="preserve">The following section introduces the Imagine Summary Report, which presents the methodology, findings, and implications of the workshops at the alliance level. It provides a consolidated </w:t>
      </w:r>
      <w:r w:rsidRPr="00DA2128">
        <w:rPr>
          <w:sz w:val="22"/>
          <w:szCs w:val="22"/>
        </w:rPr>
        <w:lastRenderedPageBreak/>
        <w:t xml:space="preserve">overview of student-driven proposals and facilitator reflections, thereby offering a shared foundation for understanding student perspectives on EDI. </w:t>
      </w:r>
    </w:p>
    <w:p w14:paraId="60690D6B" w14:textId="77777777" w:rsidR="000F0044" w:rsidRPr="00DA2128" w:rsidRDefault="000F0044" w:rsidP="00A937C6">
      <w:pPr>
        <w:spacing w:line="240" w:lineRule="auto"/>
      </w:pPr>
    </w:p>
    <w:p w14:paraId="46B953CD" w14:textId="4AF13A57" w:rsidR="00A15992" w:rsidRPr="00DA2128" w:rsidRDefault="0006165F" w:rsidP="00A937C6">
      <w:pPr>
        <w:pStyle w:val="Heading2"/>
        <w:spacing w:line="240" w:lineRule="auto"/>
      </w:pPr>
      <w:r w:rsidRPr="00DA2128">
        <w:t>Summary</w:t>
      </w:r>
      <w:r w:rsidR="00064EA8" w:rsidRPr="00DA2128">
        <w:t xml:space="preserve"> Report: Imagine </w:t>
      </w:r>
      <w:r w:rsidRPr="00DA2128">
        <w:t>w</w:t>
      </w:r>
      <w:r w:rsidR="00064EA8" w:rsidRPr="00DA2128">
        <w:t>orkshop</w:t>
      </w:r>
      <w:r w:rsidRPr="00DA2128">
        <w:t>s in the Alliance</w:t>
      </w:r>
      <w:r w:rsidR="00064EA8" w:rsidRPr="00DA2128">
        <w:t xml:space="preserve"> </w:t>
      </w:r>
    </w:p>
    <w:p w14:paraId="044EA1A0" w14:textId="77777777" w:rsidR="00E141E6" w:rsidRPr="00DA2128" w:rsidRDefault="00E141E6" w:rsidP="00A937C6">
      <w:pPr>
        <w:pStyle w:val="Subtitle"/>
        <w:spacing w:line="240" w:lineRule="auto"/>
        <w:rPr>
          <w:noProof w:val="0"/>
        </w:rPr>
      </w:pPr>
      <w:r w:rsidRPr="00DA2128">
        <w:rPr>
          <w:noProof w:val="0"/>
        </w:rPr>
        <w:t>Introduction</w:t>
      </w:r>
    </w:p>
    <w:p w14:paraId="579B2488" w14:textId="77777777" w:rsidR="00E141E6" w:rsidRPr="00DA2128" w:rsidRDefault="00E141E6" w:rsidP="00A937C6">
      <w:pPr>
        <w:spacing w:line="240" w:lineRule="auto"/>
        <w:rPr>
          <w:sz w:val="22"/>
          <w:szCs w:val="22"/>
        </w:rPr>
      </w:pPr>
      <w:r w:rsidRPr="00DA2128">
        <w:rPr>
          <w:sz w:val="22"/>
          <w:szCs w:val="22"/>
        </w:rPr>
        <w:t>This report presents a summary of eleven reports from Imagine/IDEATE workshops conducted across ten different universities. Each university from the COLOURS Alliance participated in the activities under Work Package 5 (WP5) with at least one workshop. Additionally, a further workshop was held at Neapolis University Pafos, Cyprus, within the framework of the EU-funded IDEATE project: Inclusion and Diversity Education through Applied Design Thinking for Equity (2023-1-SE01-KA220-HED-000161031). In total, 392 students engaged in a structured Applied Design Thinking process to explore and address specific challenges related to improving equity, diversity, and inclusion (EDI) in higher education.</w:t>
      </w:r>
    </w:p>
    <w:p w14:paraId="75D55217" w14:textId="77777777" w:rsidR="00E141E6" w:rsidRPr="00DA2128" w:rsidRDefault="00E141E6" w:rsidP="00A937C6">
      <w:pPr>
        <w:spacing w:line="240" w:lineRule="auto"/>
        <w:rPr>
          <w:sz w:val="22"/>
          <w:szCs w:val="22"/>
        </w:rPr>
      </w:pPr>
    </w:p>
    <w:p w14:paraId="13BB30A6" w14:textId="77777777" w:rsidR="00E141E6" w:rsidRPr="00DA2128" w:rsidRDefault="00E141E6" w:rsidP="00A937C6">
      <w:pPr>
        <w:spacing w:line="240" w:lineRule="auto"/>
        <w:rPr>
          <w:sz w:val="22"/>
          <w:szCs w:val="22"/>
        </w:rPr>
      </w:pPr>
      <w:r w:rsidRPr="00DA2128">
        <w:rPr>
          <w:sz w:val="22"/>
          <w:szCs w:val="22"/>
        </w:rPr>
        <w:t>The Imagine/IDEATE workshops were held by using a methodology of Applied Design Thinking, customised by University of Kristianstad. The Applied Design Thinking methodology in the workshops follows a human-centred approach and an iterative model of Design Thinking (Bender-Salazar, 2023, Brown, 2008). Students progressed through a series of phases: developing empathy through inspiration and insight, defining core problem statements, generating ideas collaboratively, and presenting their proposed solutions to a local panel of stakeholders. This approach enabled students to engage deeply with the systemic barriers they or their peers may experience and to generate actionable solutions grounded in lived experience concerning EDI. At the same time, these workshops also supported the pedagogical commitment to challenge-based learning (Dikilitaş, Marshall, &amp; Shahverdi, 2025), a key pillar of Work Package 3 (WP3) in the COLOURS alliance. Challenge-based learning aligns with the broader mission of the alliance, as well as with the goals of the European Higher Education Area (EHEA) to promote inclusive, engaged, and socially responsive academic environments (Rome Communiqué, 2020).</w:t>
      </w:r>
    </w:p>
    <w:p w14:paraId="0F460030" w14:textId="77777777" w:rsidR="00E141E6" w:rsidRPr="00DA2128" w:rsidRDefault="00E141E6" w:rsidP="00A937C6">
      <w:pPr>
        <w:spacing w:line="240" w:lineRule="auto"/>
        <w:rPr>
          <w:sz w:val="22"/>
          <w:szCs w:val="22"/>
        </w:rPr>
      </w:pPr>
      <w:r w:rsidRPr="00DA2128">
        <w:rPr>
          <w:sz w:val="22"/>
          <w:szCs w:val="22"/>
        </w:rPr>
        <w:t>The use of Applied Design Thinking in this context, within the Imagine/IDEATE workshops, has served two interconnected purposes. Firstly, it functioned as a structured methodology to explore how students wish to develop EDI within academia. Secondly, the approach was evaluated by the facilitators and the EDI Officers from COLOURS alliance, to determine whether the used methodology could contribute to increased knowledge and awareness of EDI. These findings underscore the Alliance’s shared commitment to advancing context-sensitive and collaboratively developed EDI strategies that foster systemic change within academia.</w:t>
      </w:r>
    </w:p>
    <w:p w14:paraId="0B81E78A" w14:textId="77777777" w:rsidR="00E141E6" w:rsidRPr="00DA2128" w:rsidRDefault="00E141E6" w:rsidP="00A937C6">
      <w:pPr>
        <w:spacing w:line="240" w:lineRule="auto"/>
        <w:rPr>
          <w:sz w:val="22"/>
          <w:szCs w:val="22"/>
        </w:rPr>
      </w:pPr>
    </w:p>
    <w:p w14:paraId="119C5228" w14:textId="77777777" w:rsidR="00E141E6" w:rsidRPr="00DA2128" w:rsidRDefault="00E141E6" w:rsidP="00A937C6">
      <w:pPr>
        <w:pStyle w:val="Sub-subheading"/>
        <w:spacing w:line="240" w:lineRule="auto"/>
      </w:pPr>
      <w:r w:rsidRPr="00DA2128">
        <w:t>What is Design Thinking?</w:t>
      </w:r>
    </w:p>
    <w:p w14:paraId="350884C6" w14:textId="77777777" w:rsidR="00E141E6" w:rsidRPr="00DA2128" w:rsidRDefault="00E141E6" w:rsidP="00A937C6">
      <w:pPr>
        <w:spacing w:line="240" w:lineRule="auto"/>
        <w:rPr>
          <w:sz w:val="22"/>
          <w:szCs w:val="22"/>
        </w:rPr>
      </w:pPr>
      <w:r w:rsidRPr="00DA2128">
        <w:rPr>
          <w:sz w:val="22"/>
          <w:szCs w:val="22"/>
        </w:rPr>
        <w:t>Design Thinking has emerged as a prominent human-centred approach to innovation and complex problem solving, gaining traction in fields ranging from product development to healthcare and social entrepreneurship (Brown, 2008). Its emphasis on creativity, iterative prototyping, and deep empathy sets it apart from traditional linear problem-solving methods. In parallel, Human-Centred Design (HCD) has become an influential framework that places users’ needs, experiences, and diversity at the core of the design process (Göttgens and Oertelt-Prigione, 2021).</w:t>
      </w:r>
    </w:p>
    <w:p w14:paraId="22DA7B45" w14:textId="77777777" w:rsidR="00E141E6" w:rsidRPr="00DA2128" w:rsidRDefault="00E141E6" w:rsidP="00A937C6">
      <w:pPr>
        <w:spacing w:line="240" w:lineRule="auto"/>
        <w:rPr>
          <w:sz w:val="22"/>
          <w:szCs w:val="22"/>
        </w:rPr>
      </w:pPr>
      <w:r w:rsidRPr="00DA2128">
        <w:rPr>
          <w:sz w:val="22"/>
          <w:szCs w:val="22"/>
        </w:rPr>
        <w:t xml:space="preserve">Both Design Thinking and HCD have been lauded for their potential to tackle “wicked problems” – those complex, ill-defined challenges with no clear solution – in innovative ways by reframing </w:t>
      </w:r>
      <w:r w:rsidRPr="00DA2128">
        <w:rPr>
          <w:sz w:val="22"/>
          <w:szCs w:val="22"/>
        </w:rPr>
        <w:lastRenderedPageBreak/>
        <w:t xml:space="preserve">problems and engaging stakeholders collaboratively (Bender-Salazar, 2023). This report provides an in-depth exploration of the scientific and theoretical foundations of Design Thinking, focusing on its key stages of Inspiration, Insight, Ideation, and Implementation. It also examines the theory and practice of HCD, analysing how HCD facilitates Equity, Diversity, and Inclusion (EDI) and intersectionality in design and organisational contexts. </w:t>
      </w:r>
    </w:p>
    <w:p w14:paraId="32B7C9A7" w14:textId="77777777" w:rsidR="00E141E6" w:rsidRPr="00DA2128" w:rsidRDefault="00E141E6" w:rsidP="00A937C6">
      <w:pPr>
        <w:pStyle w:val="Sub-subheading"/>
        <w:spacing w:line="240" w:lineRule="auto"/>
      </w:pPr>
      <w:r w:rsidRPr="00DA2128">
        <w:t>Origins and Principles</w:t>
      </w:r>
    </w:p>
    <w:p w14:paraId="4FBFDF5D" w14:textId="77777777" w:rsidR="00E141E6" w:rsidRPr="00DA2128" w:rsidRDefault="00E141E6" w:rsidP="00A937C6">
      <w:pPr>
        <w:spacing w:line="240" w:lineRule="auto"/>
        <w:rPr>
          <w:sz w:val="22"/>
          <w:szCs w:val="22"/>
        </w:rPr>
      </w:pPr>
      <w:r w:rsidRPr="00DA2128">
        <w:rPr>
          <w:sz w:val="22"/>
          <w:szCs w:val="22"/>
        </w:rPr>
        <w:t>Design thinking is rooted in the practices of designers and engineers, but it has evolved into a general methodology for creative problem-solving and is now applied across disciplines (Bender-Salazar, 2023, Brown, 2008). The concept gained broader recognition through innovation leaders such as Tim Brown of IDEO, who conceptualised Design Thinking as consisting of overlapping phases of Inspiration, Ideation, and Implementation (Brown, 2009).</w:t>
      </w:r>
    </w:p>
    <w:p w14:paraId="0EE8C882" w14:textId="77777777" w:rsidR="00E141E6" w:rsidRPr="00DA2128" w:rsidRDefault="00E141E6" w:rsidP="00A937C6">
      <w:pPr>
        <w:spacing w:line="240" w:lineRule="auto"/>
        <w:rPr>
          <w:sz w:val="22"/>
          <w:szCs w:val="22"/>
        </w:rPr>
      </w:pPr>
      <w:r w:rsidRPr="00DA2128">
        <w:rPr>
          <w:sz w:val="22"/>
          <w:szCs w:val="22"/>
        </w:rPr>
        <w:t>Design Thinking is not just a strictly linear procedure; it is an iterative, people-centred process characterised by empathy for end-users, collaborative multidisciplinary teamwork, and cycles of prototyping and feedback. (Göttgens and Oertelt-Prigione, 2021).  This approach is particularly well-suited to addressing complex, ill-structured problems that benefit from reframing and continuous learning.</w:t>
      </w:r>
    </w:p>
    <w:p w14:paraId="1360CEEA" w14:textId="77777777" w:rsidR="00E141E6" w:rsidRPr="00DA2128" w:rsidRDefault="00E141E6" w:rsidP="00A937C6">
      <w:pPr>
        <w:spacing w:line="240" w:lineRule="auto"/>
        <w:rPr>
          <w:sz w:val="22"/>
          <w:szCs w:val="22"/>
        </w:rPr>
      </w:pPr>
      <w:r w:rsidRPr="00DA2128">
        <w:rPr>
          <w:sz w:val="22"/>
          <w:szCs w:val="22"/>
        </w:rPr>
        <w:t>Fundamentally, Design Thinking combines divergent thinking (exploring many possibilities) with convergent thinking (narrowing down to feasible solutions) in repeated cycles (Meinel et al., 2011, Persson, 2025).  Through this process, it embeds elements of organisational learning and reflection, akin to double-loop learning in management science (Argyris, 1977), into the design cycle (Bender-Salazar, 2023). The result is a flexible yet structured method that drives innovation by continuously refining both the problem definition and the solutions through stakeholder feedback and empirical testing (Liedtka, 2018).</w:t>
      </w:r>
    </w:p>
    <w:p w14:paraId="03EE9684" w14:textId="77777777" w:rsidR="00E141E6" w:rsidRPr="00DA2128" w:rsidRDefault="00E141E6" w:rsidP="00A937C6">
      <w:pPr>
        <w:spacing w:line="240" w:lineRule="auto"/>
        <w:rPr>
          <w:sz w:val="22"/>
          <w:szCs w:val="22"/>
        </w:rPr>
      </w:pPr>
    </w:p>
    <w:p w14:paraId="7310FF92" w14:textId="77777777" w:rsidR="00E141E6" w:rsidRPr="00DA2128" w:rsidRDefault="00E141E6" w:rsidP="00A937C6">
      <w:pPr>
        <w:pStyle w:val="Sub-subheading"/>
        <w:spacing w:line="240" w:lineRule="auto"/>
      </w:pPr>
      <w:r w:rsidRPr="00DA2128">
        <w:t xml:space="preserve">Key Stages of Design Thinking </w:t>
      </w:r>
    </w:p>
    <w:p w14:paraId="6E297807" w14:textId="77777777" w:rsidR="00E141E6" w:rsidRPr="00DA2128" w:rsidRDefault="00E141E6" w:rsidP="00A937C6">
      <w:pPr>
        <w:spacing w:line="240" w:lineRule="auto"/>
        <w:rPr>
          <w:sz w:val="22"/>
          <w:szCs w:val="22"/>
        </w:rPr>
      </w:pPr>
      <w:r w:rsidRPr="00DA2128">
        <w:rPr>
          <w:sz w:val="22"/>
          <w:szCs w:val="22"/>
        </w:rPr>
        <w:t>For clarity, this report adopts a four-stage model of Design Thinking: Inspiration, Insight, Ideation, and Implementation. This structure builds upon the three-phase model of Brown (2009) by explicitly distinguishing the insight or problem-defining phase. This breakdown reflects contemporary frameworks used in innovation training and healthcare transformation (Elgán et al., 2020).</w:t>
      </w:r>
    </w:p>
    <w:p w14:paraId="47EE8546" w14:textId="77777777" w:rsidR="00E141E6" w:rsidRPr="00DA2128" w:rsidRDefault="00E141E6" w:rsidP="00A937C6">
      <w:pPr>
        <w:pStyle w:val="Sub-subheading"/>
        <w:spacing w:line="240" w:lineRule="auto"/>
      </w:pPr>
      <w:r w:rsidRPr="00DA2128">
        <w:t>Inspiration (Discover)</w:t>
      </w:r>
    </w:p>
    <w:p w14:paraId="247BBB74" w14:textId="77777777" w:rsidR="00E141E6" w:rsidRPr="00DA2128" w:rsidRDefault="00E141E6" w:rsidP="00A937C6">
      <w:pPr>
        <w:spacing w:line="240" w:lineRule="auto"/>
        <w:rPr>
          <w:sz w:val="22"/>
          <w:szCs w:val="22"/>
        </w:rPr>
      </w:pPr>
      <w:r w:rsidRPr="00DA2128">
        <w:rPr>
          <w:sz w:val="22"/>
          <w:szCs w:val="22"/>
        </w:rPr>
        <w:t>The Inspiration stage corresponds to the exploratory phase in which the design team seeks to discover and understand the problem space in depth. This stage is characterised by intensive user research and context analysis—designers immerse themselves in the lives and environments of the people they are designing for, aiming to uncover unmet needs, pain points, and opportunities (Brown, 2009). Inspiration is essentially an investigation period during which problems are studied from multiple perspectives and in context.</w:t>
      </w:r>
    </w:p>
    <w:p w14:paraId="39D30FA2" w14:textId="77777777" w:rsidR="00E141E6" w:rsidRPr="00DA2128" w:rsidRDefault="00E141E6" w:rsidP="00A937C6">
      <w:pPr>
        <w:spacing w:line="240" w:lineRule="auto"/>
        <w:rPr>
          <w:sz w:val="22"/>
          <w:szCs w:val="22"/>
        </w:rPr>
      </w:pPr>
      <w:r w:rsidRPr="00DA2128">
        <w:rPr>
          <w:sz w:val="22"/>
          <w:szCs w:val="22"/>
        </w:rPr>
        <w:t>The scientific foundation here lies in the use of empathy and ethnographic methods to gather qualitative insights. By observing and engaging with users in real contexts, designers collect rich data about user behaviours, motivations, and challenges (O'reilly, 2012). Empathy-driven techniques—such as interviews, shadowing, and journey mapping—are grounded in social science methods and ensure that problem framing is based on users’ latent needs (Zulaikha et al., 2023).</w:t>
      </w:r>
    </w:p>
    <w:p w14:paraId="710B800F" w14:textId="77777777" w:rsidR="00E141E6" w:rsidRPr="00DA2128" w:rsidRDefault="00E141E6" w:rsidP="00A937C6">
      <w:pPr>
        <w:spacing w:line="240" w:lineRule="auto"/>
        <w:rPr>
          <w:sz w:val="22"/>
          <w:szCs w:val="22"/>
        </w:rPr>
      </w:pPr>
      <w:r w:rsidRPr="00DA2128">
        <w:rPr>
          <w:sz w:val="22"/>
          <w:szCs w:val="22"/>
        </w:rPr>
        <w:t xml:space="preserve">Studies have shown that design projects benefitting from this stage tend to yield more person-centred and relevant problem definitions (Liedtka and Ogilvie, 2011). In health innovation, for example, HCD and Design Thinking methods prioritise understanding the context of use and the real needs of end-users before attempting to generate solutions (Göttgens and Oertelt-Prigione, </w:t>
      </w:r>
      <w:r w:rsidRPr="00DA2128">
        <w:rPr>
          <w:sz w:val="22"/>
          <w:szCs w:val="22"/>
        </w:rPr>
        <w:lastRenderedPageBreak/>
        <w:t>2021). By prioritising the user’s perspective early, the Inspiration stage sets a robust foundation for creativity—it “inspires” the team by revealing the key insights and emotional drivers that any successful solution must address.</w:t>
      </w:r>
    </w:p>
    <w:p w14:paraId="613CA0DB" w14:textId="77777777" w:rsidR="00E141E6" w:rsidRPr="00DA2128" w:rsidRDefault="00E141E6" w:rsidP="00A937C6">
      <w:pPr>
        <w:spacing w:line="240" w:lineRule="auto"/>
        <w:rPr>
          <w:sz w:val="22"/>
          <w:szCs w:val="22"/>
        </w:rPr>
      </w:pPr>
      <w:r w:rsidRPr="00DA2128">
        <w:rPr>
          <w:sz w:val="22"/>
          <w:szCs w:val="22"/>
        </w:rPr>
        <w:t>Notably, problem-setting—rather than premature problem-solving—is a core activity in this phase. Bender Salazar (2023) found that entrepreneurial teams trained in Design Thinking excelled at problem-setting: outlining all necessary information and context surrounding a challenge before proposing solutions. This ability to properly frame the problem is critical for addressing wicked problems, ensuring that subsequent design efforts focus on the right questions (Dorst, 2011, Bender-Salazar, 2023).</w:t>
      </w:r>
    </w:p>
    <w:p w14:paraId="6DF3D07E" w14:textId="77777777" w:rsidR="00E141E6" w:rsidRPr="00DA2128" w:rsidRDefault="00E141E6" w:rsidP="00A937C6">
      <w:pPr>
        <w:pStyle w:val="Sub-subheading"/>
        <w:spacing w:line="240" w:lineRule="auto"/>
      </w:pPr>
      <w:r w:rsidRPr="00DA2128">
        <w:t>Ideation (Develop)</w:t>
      </w:r>
    </w:p>
    <w:p w14:paraId="3D9250EF" w14:textId="77777777" w:rsidR="00E141E6" w:rsidRPr="00DA2128" w:rsidRDefault="00E141E6" w:rsidP="00A937C6">
      <w:pPr>
        <w:spacing w:line="240" w:lineRule="auto"/>
        <w:rPr>
          <w:sz w:val="22"/>
          <w:szCs w:val="22"/>
        </w:rPr>
      </w:pPr>
      <w:r w:rsidRPr="00DA2128">
        <w:rPr>
          <w:sz w:val="22"/>
          <w:szCs w:val="22"/>
        </w:rPr>
        <w:t>In the Ideation stage, the design team transitions from problem-finding to idea generation. The aim is to produce a wide range of potential solutions using creative and collaborative techniques. Ideation begins with divergent thinking—generating many ideas without judgment, and gradually moves towards convergent thinking to refine and select the most promising ones  (Tschimmel, 2012, Elgán et al., 2020).</w:t>
      </w:r>
    </w:p>
    <w:p w14:paraId="3137AEAD" w14:textId="77777777" w:rsidR="00E141E6" w:rsidRPr="00DA2128" w:rsidRDefault="00E141E6" w:rsidP="00A937C6">
      <w:pPr>
        <w:spacing w:line="240" w:lineRule="auto"/>
        <w:rPr>
          <w:sz w:val="22"/>
          <w:szCs w:val="22"/>
        </w:rPr>
      </w:pPr>
      <w:r w:rsidRPr="00DA2128">
        <w:rPr>
          <w:sz w:val="22"/>
          <w:szCs w:val="22"/>
        </w:rPr>
        <w:t>The scientific foundations of ideation lie in creativity research and group psychology. For example, brainstorming techniques rely on the principle that producing more ideas increases the likelihood of finding truly innovative ones (Paulus and Yang, 2000). Additional methods, such as body storming (Jensen et al., 2011) and mind mapping (Bates, 2019) exercises, are employed to break habitual thinking patterns.</w:t>
      </w:r>
    </w:p>
    <w:p w14:paraId="4034F21F" w14:textId="77777777" w:rsidR="00E141E6" w:rsidRPr="00DA2128" w:rsidRDefault="00E141E6" w:rsidP="00A937C6">
      <w:pPr>
        <w:spacing w:line="240" w:lineRule="auto"/>
        <w:rPr>
          <w:sz w:val="22"/>
          <w:szCs w:val="22"/>
        </w:rPr>
      </w:pPr>
      <w:r w:rsidRPr="00DA2128">
        <w:rPr>
          <w:sz w:val="22"/>
          <w:szCs w:val="22"/>
        </w:rPr>
        <w:t>As noted in Persson (2025), ideation encourages thinking “outside the box” and challenges assumptions. Importantly, this stage is not simply about creativity for its own sake. It is informed by the insights generated in the previous stage, which act as constraints and guideposts.</w:t>
      </w:r>
    </w:p>
    <w:p w14:paraId="4A396FD8" w14:textId="77777777" w:rsidR="00E141E6" w:rsidRPr="00DA2128" w:rsidRDefault="00E141E6" w:rsidP="00A937C6">
      <w:pPr>
        <w:spacing w:line="240" w:lineRule="auto"/>
        <w:rPr>
          <w:sz w:val="22"/>
          <w:szCs w:val="22"/>
        </w:rPr>
      </w:pPr>
      <w:r w:rsidRPr="00DA2128">
        <w:rPr>
          <w:sz w:val="22"/>
          <w:szCs w:val="22"/>
        </w:rPr>
        <w:t>Bender Salazar (2023) found that teams using a hybrid Design Thinking model successfully integrated systems thinking and organisational learning into the ideation process. Participants in that study generated solutions that considered both ecological and social dimensions of the challenge, showing that ideation can synthesise diverse knowledge systems.</w:t>
      </w:r>
    </w:p>
    <w:p w14:paraId="1884907B" w14:textId="77777777" w:rsidR="00E141E6" w:rsidRPr="00DA2128" w:rsidRDefault="00E141E6" w:rsidP="00A937C6">
      <w:pPr>
        <w:spacing w:line="240" w:lineRule="auto"/>
        <w:rPr>
          <w:sz w:val="22"/>
          <w:szCs w:val="22"/>
        </w:rPr>
      </w:pPr>
      <w:r w:rsidRPr="00DA2128">
        <w:rPr>
          <w:sz w:val="22"/>
          <w:szCs w:val="22"/>
        </w:rPr>
        <w:t>Ideation concludes with the selection of one or several concepts for prototyping. This selection process is informed by the three lenses of innovation—desirability, feasibility, and viability. Through this stage, Design Thinking transforms a well-framed problem into imaginative and testable ideas grounded in research, creativity, and strategic purpose.</w:t>
      </w:r>
    </w:p>
    <w:p w14:paraId="30A77E73" w14:textId="77777777" w:rsidR="00E141E6" w:rsidRPr="00DA2128" w:rsidRDefault="00E141E6" w:rsidP="00A937C6">
      <w:pPr>
        <w:pStyle w:val="Sub-subheading"/>
        <w:spacing w:line="240" w:lineRule="auto"/>
      </w:pPr>
      <w:r w:rsidRPr="00DA2128">
        <w:t>Implementation (Deliver/Test)</w:t>
      </w:r>
    </w:p>
    <w:p w14:paraId="24AACB5C" w14:textId="77777777" w:rsidR="00E141E6" w:rsidRPr="00DA2128" w:rsidRDefault="00E141E6" w:rsidP="00A937C6">
      <w:pPr>
        <w:spacing w:line="240" w:lineRule="auto"/>
        <w:rPr>
          <w:sz w:val="22"/>
          <w:szCs w:val="22"/>
        </w:rPr>
      </w:pPr>
      <w:r w:rsidRPr="00DA2128">
        <w:rPr>
          <w:sz w:val="22"/>
          <w:szCs w:val="22"/>
        </w:rPr>
        <w:t>The Implementation stage brings ideas to life and tests them in the real world. It involves prototyping, user testing, feedback cycles, and eventually deployment. Rather than being a final, linear step, implementation is iterative—each cycle of testing and refinement contributes to deeper understanding and better outcomes (Brown, 2009).</w:t>
      </w:r>
    </w:p>
    <w:p w14:paraId="47484A22" w14:textId="77777777" w:rsidR="00E141E6" w:rsidRPr="00DA2128" w:rsidRDefault="00E141E6" w:rsidP="00A937C6">
      <w:pPr>
        <w:spacing w:line="240" w:lineRule="auto"/>
        <w:rPr>
          <w:sz w:val="22"/>
          <w:szCs w:val="22"/>
        </w:rPr>
      </w:pPr>
      <w:r w:rsidRPr="00DA2128">
        <w:rPr>
          <w:sz w:val="22"/>
          <w:szCs w:val="22"/>
        </w:rPr>
        <w:t xml:space="preserve">Design teams develop low- to high-fidelity prototypes to test specific assumptions and gather user feedback. The emphasis is on learning through doing. This approach is informed by experiential learning theory (Kolb, 2015), where knowledge is constructed through cycles of action and reflection. </w:t>
      </w:r>
    </w:p>
    <w:p w14:paraId="3B50DFA8" w14:textId="77777777" w:rsidR="00E141E6" w:rsidRPr="00DA2128" w:rsidRDefault="00E141E6" w:rsidP="00A937C6">
      <w:pPr>
        <w:spacing w:line="240" w:lineRule="auto"/>
        <w:rPr>
          <w:sz w:val="22"/>
          <w:szCs w:val="22"/>
        </w:rPr>
      </w:pPr>
      <w:r w:rsidRPr="00DA2128">
        <w:rPr>
          <w:sz w:val="22"/>
          <w:szCs w:val="22"/>
        </w:rPr>
        <w:t>Studies in human-computer interaction and engineering design confirm that early prototyping leads to better end results by revealing flaws early in development (Dow et al., 2010). In organisational settings, the iterative testing of ideas reduces the risk of large-scale failure and fosters a culture of innovation.</w:t>
      </w:r>
    </w:p>
    <w:p w14:paraId="28A0F9B0" w14:textId="77777777" w:rsidR="00E141E6" w:rsidRPr="00DA2128" w:rsidRDefault="00E141E6" w:rsidP="00A937C6">
      <w:pPr>
        <w:spacing w:line="240" w:lineRule="auto"/>
        <w:rPr>
          <w:sz w:val="22"/>
          <w:szCs w:val="22"/>
        </w:rPr>
      </w:pPr>
      <w:r w:rsidRPr="00DA2128">
        <w:rPr>
          <w:sz w:val="22"/>
          <w:szCs w:val="22"/>
        </w:rPr>
        <w:t xml:space="preserve">Bender Salazar (2023) describes this stage as embedding reflective practice into design, aligning with the scientific method through hypothesis testing, feedback loops, and data-informed </w:t>
      </w:r>
      <w:r w:rsidRPr="00DA2128">
        <w:rPr>
          <w:sz w:val="22"/>
          <w:szCs w:val="22"/>
        </w:rPr>
        <w:lastRenderedPageBreak/>
        <w:t>adjustments. Depending on the nature of the innovation, implementation may also require interdisciplinary collaboration, including business, policy, or engineering expertise.</w:t>
      </w:r>
    </w:p>
    <w:p w14:paraId="42979D9E" w14:textId="77777777" w:rsidR="00E141E6" w:rsidRPr="00DA2128" w:rsidRDefault="00E141E6" w:rsidP="00A937C6">
      <w:pPr>
        <w:spacing w:line="240" w:lineRule="auto"/>
        <w:rPr>
          <w:sz w:val="22"/>
          <w:szCs w:val="22"/>
        </w:rPr>
      </w:pPr>
      <w:r w:rsidRPr="00DA2128">
        <w:rPr>
          <w:sz w:val="22"/>
          <w:szCs w:val="22"/>
        </w:rPr>
        <w:t>The implementation stage often cycles back to earlier phases. Feedback may uncover overlooked user needs or flawed assumptions, prompting a return to insight development or ideation. This recursive structure is one of Design Thinking’s strengths since it embraces failure as part of the learning journey and ensures that solutions are robust and responsive.</w:t>
      </w:r>
    </w:p>
    <w:p w14:paraId="4D869794" w14:textId="77777777" w:rsidR="00E141E6" w:rsidRPr="00DA2128" w:rsidRDefault="00E141E6" w:rsidP="00A937C6">
      <w:pPr>
        <w:spacing w:line="240" w:lineRule="auto"/>
        <w:rPr>
          <w:color w:val="595959" w:themeColor="text1" w:themeTint="A6"/>
          <w:sz w:val="28"/>
          <w:szCs w:val="28"/>
        </w:rPr>
      </w:pPr>
      <w:r w:rsidRPr="00DA2128">
        <w:rPr>
          <w:color w:val="595959" w:themeColor="text1" w:themeTint="A6"/>
          <w:sz w:val="28"/>
          <w:szCs w:val="28"/>
        </w:rPr>
        <w:t>Applied Design Thinking as a method for improving EDI</w:t>
      </w:r>
    </w:p>
    <w:p w14:paraId="3F71F929" w14:textId="77777777" w:rsidR="00E141E6" w:rsidRPr="00DA2128" w:rsidRDefault="00E141E6" w:rsidP="00A937C6">
      <w:pPr>
        <w:spacing w:line="240" w:lineRule="auto"/>
        <w:rPr>
          <w:sz w:val="22"/>
          <w:szCs w:val="22"/>
        </w:rPr>
      </w:pPr>
      <w:r w:rsidRPr="00DA2128">
        <w:rPr>
          <w:sz w:val="22"/>
          <w:szCs w:val="22"/>
        </w:rPr>
        <w:t xml:space="preserve">Within the targets of Work Package 5, we have adopted Applied Design Thinking (described above) as a structured, participatory method for tackling challenges related to equity, diversity, and inclusion (EDI) in higher education. Specifically, via Kristianstad University and the European Union–funded initiative IDEATE: Inclusion and Diversity Education through Applied Design Thinking for Equity (2023-1-SE01-KA220-HED-000161031), a workshop was developed to facilitate the application of Design Thinking in support of Equity, Diversity, and Inclusion (EDI). This workshop was implemented across 10 universities, engaging a total of 392 students. </w:t>
      </w:r>
    </w:p>
    <w:p w14:paraId="12705F0E" w14:textId="77777777" w:rsidR="00E141E6" w:rsidRPr="00DA2128" w:rsidRDefault="00E141E6" w:rsidP="00A937C6">
      <w:pPr>
        <w:spacing w:line="240" w:lineRule="auto"/>
        <w:rPr>
          <w:sz w:val="22"/>
          <w:szCs w:val="22"/>
        </w:rPr>
      </w:pPr>
      <w:r w:rsidRPr="00DA2128">
        <w:rPr>
          <w:sz w:val="22"/>
          <w:szCs w:val="22"/>
        </w:rPr>
        <w:t>The methodology is closely aligned with the COLOURS Alliance’s equity-first approach to EDI, which recognises that lasting institutional transformation must begin by addressing structural inequalities and centring the voices of marginalised and underrepresented groups. In higher education, EDI is thus understood as a systemic effort where equity is the necessary foundation upon which diversity and inclusion can be meaningfully built. This stands in contrast to DEI frameworks commonly found in the business sector, where the emphasis is often placed on increasing diversity to foster creativity and innovation (Hellerstedt, Uman &amp; Wennberg, 2024). While the diversity-first approach may yield short-term gains, it risks overlooking the fundamental need to ensure that all individuals, regardless of background, feel genuinely welcomed, respected, and supported. Without equity, diversity cannot truly thrive, nor creativity or innovation (ibid).</w:t>
      </w:r>
    </w:p>
    <w:p w14:paraId="7BFB68A9" w14:textId="77777777" w:rsidR="00E141E6" w:rsidRPr="00DA2128" w:rsidRDefault="00E141E6" w:rsidP="00A937C6">
      <w:pPr>
        <w:pStyle w:val="Subtitle"/>
        <w:spacing w:line="240" w:lineRule="auto"/>
        <w:rPr>
          <w:noProof w:val="0"/>
        </w:rPr>
      </w:pPr>
      <w:r w:rsidRPr="00DA2128">
        <w:rPr>
          <w:noProof w:val="0"/>
        </w:rPr>
        <w:t>Human-Centred Design (HCD)</w:t>
      </w:r>
    </w:p>
    <w:p w14:paraId="76EB0DA8" w14:textId="77777777" w:rsidR="00E141E6" w:rsidRPr="00DA2128" w:rsidRDefault="00E141E6" w:rsidP="00A937C6">
      <w:pPr>
        <w:pStyle w:val="Sub-subheading"/>
        <w:spacing w:line="240" w:lineRule="auto"/>
      </w:pPr>
      <w:r w:rsidRPr="00DA2128">
        <w:t>Principles and Theoretical Roots</w:t>
      </w:r>
    </w:p>
    <w:p w14:paraId="3277E662" w14:textId="77777777" w:rsidR="00E141E6" w:rsidRPr="00DA2128" w:rsidRDefault="00E141E6" w:rsidP="00A937C6">
      <w:pPr>
        <w:spacing w:line="240" w:lineRule="auto"/>
        <w:rPr>
          <w:sz w:val="22"/>
          <w:szCs w:val="22"/>
        </w:rPr>
      </w:pPr>
      <w:r w:rsidRPr="00DA2128">
        <w:rPr>
          <w:sz w:val="22"/>
          <w:szCs w:val="22"/>
        </w:rPr>
        <w:t>Human-Centred Design (HCD) is an iterative, collaborative, and people-focused approach to designing systems, services, and products (Zuber and Moody, 2018).</w:t>
      </w:r>
    </w:p>
    <w:p w14:paraId="3CCE1D49" w14:textId="77777777" w:rsidR="00E141E6" w:rsidRPr="00DA2128" w:rsidRDefault="00E141E6" w:rsidP="00A937C6">
      <w:pPr>
        <w:spacing w:line="240" w:lineRule="auto"/>
        <w:rPr>
          <w:sz w:val="22"/>
          <w:szCs w:val="22"/>
        </w:rPr>
      </w:pPr>
      <w:r w:rsidRPr="00DA2128">
        <w:rPr>
          <w:sz w:val="22"/>
          <w:szCs w:val="22"/>
        </w:rPr>
        <w:t xml:space="preserve">Notably, HCD places an even stronger emphasis on the human being as both the origin and ultimate beneficiary of the innovation process. Core elements of HCD include cultivating user empathy, engaging in deliberate and goal-oriented design, and employing rapid prototyping cycles that integrate user feedback iteratively to produce solutions that are not only feasible and practical but also highly desirable (Salmon et al., 2015). </w:t>
      </w:r>
    </w:p>
    <w:p w14:paraId="4A4651A3" w14:textId="77777777" w:rsidR="00E141E6" w:rsidRPr="00DA2128" w:rsidRDefault="00E141E6" w:rsidP="00A937C6">
      <w:pPr>
        <w:spacing w:line="240" w:lineRule="auto"/>
        <w:rPr>
          <w:sz w:val="22"/>
          <w:szCs w:val="22"/>
        </w:rPr>
      </w:pPr>
      <w:r w:rsidRPr="00DA2128">
        <w:rPr>
          <w:sz w:val="22"/>
          <w:szCs w:val="22"/>
        </w:rPr>
        <w:t>It is argued that the essence of Human-Centred Design lies in its premise that innovation must begin with a deep understanding of human needs (Brown and Katz, 2011). From this starting point, the process culminates in implementing solutions specifically crafted to meet those needs. Crucially, HCD asserts that it is the users who ultimately determine a solution's success, reinforcing the central role of human judgment in evaluating innovation outcomes.</w:t>
      </w:r>
    </w:p>
    <w:p w14:paraId="06B6A512" w14:textId="77777777" w:rsidR="00E141E6" w:rsidRPr="00DA2128" w:rsidRDefault="00E141E6" w:rsidP="00A937C6">
      <w:pPr>
        <w:pStyle w:val="Sub-subheading"/>
        <w:spacing w:line="240" w:lineRule="auto"/>
      </w:pPr>
      <w:r w:rsidRPr="00DA2128">
        <w:t>Applications of HCD</w:t>
      </w:r>
    </w:p>
    <w:p w14:paraId="27E768A0" w14:textId="77777777" w:rsidR="00E141E6" w:rsidRPr="00DA2128" w:rsidRDefault="00E141E6" w:rsidP="00A937C6">
      <w:pPr>
        <w:spacing w:line="240" w:lineRule="auto"/>
        <w:rPr>
          <w:sz w:val="22"/>
          <w:szCs w:val="22"/>
        </w:rPr>
      </w:pPr>
      <w:r w:rsidRPr="00DA2128">
        <w:rPr>
          <w:sz w:val="22"/>
          <w:szCs w:val="22"/>
        </w:rPr>
        <w:t>Over the past decade, HCD has gained prominence in diverse domains, from consumer products to global health. In healthcare, for instance, HCD has been used to design mobile apps for chronic disease management, improve medical devices, and restructure patient-centred care systems (Göttgens and Oertelt-Prigione, 2021). These innovations emerged through direct collaboration with end-users, including patients, caregivers, and clinicians.</w:t>
      </w:r>
    </w:p>
    <w:p w14:paraId="73A587BB" w14:textId="77777777" w:rsidR="00E141E6" w:rsidRPr="00DA2128" w:rsidRDefault="00E141E6" w:rsidP="00A937C6">
      <w:pPr>
        <w:spacing w:line="240" w:lineRule="auto"/>
        <w:rPr>
          <w:sz w:val="22"/>
          <w:szCs w:val="22"/>
        </w:rPr>
      </w:pPr>
      <w:r w:rsidRPr="00DA2128">
        <w:rPr>
          <w:sz w:val="22"/>
          <w:szCs w:val="22"/>
        </w:rPr>
        <w:lastRenderedPageBreak/>
        <w:t xml:space="preserve">The Mayo Clinic, for example, redesigned its prenatal care model by involving expectant mothers in co-design workshops, resulting in a system that focused more on personal wellbeing than routine medical interventions (de Mooij et al., 2018). </w:t>
      </w:r>
    </w:p>
    <w:p w14:paraId="30550752" w14:textId="77777777" w:rsidR="00E141E6" w:rsidRPr="00DA2128" w:rsidRDefault="00E141E6" w:rsidP="00A937C6">
      <w:pPr>
        <w:spacing w:line="240" w:lineRule="auto"/>
        <w:rPr>
          <w:sz w:val="22"/>
          <w:szCs w:val="22"/>
        </w:rPr>
      </w:pPr>
      <w:r w:rsidRPr="00DA2128">
        <w:rPr>
          <w:sz w:val="22"/>
          <w:szCs w:val="22"/>
        </w:rPr>
        <w:t>One important distinction between HCD and User-Centred Design (UCD) lies in depth and ownership. While UCD tends to involve users as testers of pre-defined solutions, HCD sees users as equal partners from the start, shaping problem definitions and creative directions alike (Göttgens and Oertelt-Prigione, 2021, Gasson, 2003). This commitment to user agency makes HCD particularly potent in sensitive or equity-focused contexts.</w:t>
      </w:r>
    </w:p>
    <w:p w14:paraId="4906AE54" w14:textId="77777777" w:rsidR="00E141E6" w:rsidRPr="00DA2128" w:rsidRDefault="00E141E6" w:rsidP="00A937C6">
      <w:pPr>
        <w:pStyle w:val="Sub-subheading"/>
        <w:spacing w:line="240" w:lineRule="auto"/>
      </w:pPr>
      <w:r w:rsidRPr="00DA2128">
        <w:t>HCD’s Role in Advancing EDI and Intersectionality</w:t>
      </w:r>
    </w:p>
    <w:p w14:paraId="205AA8AE" w14:textId="77777777" w:rsidR="00E141E6" w:rsidRPr="00DA2128" w:rsidRDefault="00E141E6" w:rsidP="00A937C6">
      <w:pPr>
        <w:spacing w:line="240" w:lineRule="auto"/>
        <w:rPr>
          <w:sz w:val="22"/>
          <w:szCs w:val="22"/>
        </w:rPr>
      </w:pPr>
      <w:r w:rsidRPr="00DA2128">
        <w:rPr>
          <w:sz w:val="22"/>
          <w:szCs w:val="22"/>
        </w:rPr>
        <w:t>HCD’s humanistic ethos aligns naturally with the principles of Equity, Diversity, and Inclusion (EDI). By design, HCD involves engaging with a broad range of users, especially those historically underrepresented in design processes. It challenges the idea of a “universal user” and instead embraces human diversity across age, ability, ethnicity, gender identity, and more.</w:t>
      </w:r>
    </w:p>
    <w:p w14:paraId="5105DEB8" w14:textId="77777777" w:rsidR="00E141E6" w:rsidRPr="00DA2128" w:rsidRDefault="00E141E6" w:rsidP="00A937C6">
      <w:pPr>
        <w:spacing w:line="240" w:lineRule="auto"/>
        <w:rPr>
          <w:sz w:val="22"/>
          <w:szCs w:val="22"/>
        </w:rPr>
      </w:pPr>
      <w:r w:rsidRPr="00DA2128">
        <w:rPr>
          <w:sz w:val="22"/>
          <w:szCs w:val="22"/>
        </w:rPr>
        <w:t>As Persson (2025) explains, inclusive design “fosters equity by recognising different perspectives, avoiding one-size-fits-all approaches, and designing for difference.” Applying an intersectional lens, drawn from Crenshaw’s (1989) theory, enables designers to consider how overlapping social identities (e.g., race, gender, and disability) intersect to create unique experiences of disadvantage (Crenshaw, 2022).</w:t>
      </w:r>
    </w:p>
    <w:p w14:paraId="693E2BEE" w14:textId="77777777" w:rsidR="00E141E6" w:rsidRPr="00DA2128" w:rsidRDefault="00E141E6" w:rsidP="00A937C6">
      <w:pPr>
        <w:spacing w:line="240" w:lineRule="auto"/>
        <w:rPr>
          <w:sz w:val="22"/>
          <w:szCs w:val="22"/>
        </w:rPr>
      </w:pPr>
      <w:r w:rsidRPr="00DA2128">
        <w:rPr>
          <w:sz w:val="22"/>
          <w:szCs w:val="22"/>
        </w:rPr>
        <w:t>It is essential to acknowledge power dynamics and participant agency within co-design processes. This involves not only ensuring the inclusion of diverse voices but also critically examining who holds decision-making authority and influence throughout the design journey. Neglecting these factors can result in tokenistic or performative practices that undermine the integrity and impact of participatory design efforts (Bauer, 2014, Göttgens and Oertelt-Prigione, 2021, Pratt, 2021).</w:t>
      </w:r>
    </w:p>
    <w:p w14:paraId="112849AB" w14:textId="77777777" w:rsidR="00E141E6" w:rsidRPr="00DA2128" w:rsidRDefault="00E141E6" w:rsidP="00A937C6">
      <w:pPr>
        <w:spacing w:line="240" w:lineRule="auto"/>
        <w:rPr>
          <w:sz w:val="22"/>
          <w:szCs w:val="22"/>
        </w:rPr>
      </w:pPr>
      <w:r w:rsidRPr="00DA2128">
        <w:rPr>
          <w:sz w:val="22"/>
          <w:szCs w:val="22"/>
        </w:rPr>
        <w:t>In this way, HCD serves as a practical and philosophical framework to embed EDI into design and organisational practice. It not only produces more inclusive outcomes but fosters a culture of empathy, shared ownership, and responsiveness—values that are essential in a just and diverse society.</w:t>
      </w:r>
    </w:p>
    <w:p w14:paraId="519ED06E" w14:textId="77777777" w:rsidR="00E141E6" w:rsidRPr="00DA2128" w:rsidRDefault="00E141E6" w:rsidP="00A937C6">
      <w:pPr>
        <w:pStyle w:val="Sub-subheading"/>
        <w:spacing w:line="240" w:lineRule="auto"/>
      </w:pPr>
      <w:r w:rsidRPr="00DA2128">
        <w:t>Involving the whole university ecosystem and beyond</w:t>
      </w:r>
    </w:p>
    <w:p w14:paraId="54AEE559" w14:textId="77777777" w:rsidR="00E141E6" w:rsidRPr="00DA2128" w:rsidRDefault="00E141E6" w:rsidP="00A937C6">
      <w:pPr>
        <w:spacing w:line="240" w:lineRule="auto"/>
        <w:rPr>
          <w:sz w:val="22"/>
          <w:szCs w:val="22"/>
        </w:rPr>
      </w:pPr>
      <w:r w:rsidRPr="00DA2128">
        <w:rPr>
          <w:sz w:val="22"/>
          <w:szCs w:val="22"/>
        </w:rPr>
        <w:t>Besides the Imagine/IDEATE methodology, which is grounded in Applied Design Thinking and a Human-Centred Design approach, being a tool for student learning and activity, it is also designed to engage and benefit all parts of the university ecosystem. It is structured for external societal actors to get involved. This aligns directly with the COLOURS Alliance’s vision to promote inclusive, challenge-based innovation through a Quadruple Helix model, which brings together academia, government, industry, and civil society in a shared process of knowledge co-creation.</w:t>
      </w:r>
    </w:p>
    <w:p w14:paraId="54A17BEB" w14:textId="77777777" w:rsidR="00E141E6" w:rsidRPr="00DA2128" w:rsidRDefault="00E141E6" w:rsidP="00A937C6">
      <w:pPr>
        <w:spacing w:line="240" w:lineRule="auto"/>
        <w:rPr>
          <w:sz w:val="22"/>
          <w:szCs w:val="22"/>
        </w:rPr>
      </w:pPr>
      <w:r w:rsidRPr="00DA2128">
        <w:rPr>
          <w:sz w:val="22"/>
          <w:szCs w:val="22"/>
        </w:rPr>
        <w:t>• For students, Imagine/IDEATE offers a platform to apply theoretical knowledge to real-world societal challenges, while simultaneously developing transversal competencies such as critical thinking, communication, teamwork, and innovation. Through their engagement with EDI-focused themes, students also gain a heightened understanding of social justice, inclusion, and structural inequality while building a sense of ownership and agency in driving change.</w:t>
      </w:r>
    </w:p>
    <w:p w14:paraId="521BD87C" w14:textId="77777777" w:rsidR="00E141E6" w:rsidRPr="00DA2128" w:rsidRDefault="00E141E6" w:rsidP="00A937C6">
      <w:pPr>
        <w:spacing w:line="240" w:lineRule="auto"/>
        <w:rPr>
          <w:sz w:val="22"/>
          <w:szCs w:val="22"/>
        </w:rPr>
      </w:pPr>
      <w:r w:rsidRPr="00DA2128">
        <w:rPr>
          <w:sz w:val="22"/>
          <w:szCs w:val="22"/>
        </w:rPr>
        <w:t>• For faculty and programme directors, this model provides a flexible and scalable structure for embedding cross-disciplinary, EDI-related innovation within existing curricula. It supports academic staff in connecting their subject areas to broader societal needs and aligns with institutional goals for civic engagement and pedagogical renewal.</w:t>
      </w:r>
    </w:p>
    <w:p w14:paraId="114CFF64" w14:textId="77777777" w:rsidR="00E141E6" w:rsidRPr="00DA2128" w:rsidRDefault="00E141E6" w:rsidP="00A937C6">
      <w:pPr>
        <w:spacing w:line="240" w:lineRule="auto"/>
        <w:rPr>
          <w:sz w:val="22"/>
          <w:szCs w:val="22"/>
        </w:rPr>
      </w:pPr>
      <w:r w:rsidRPr="00DA2128">
        <w:rPr>
          <w:sz w:val="22"/>
          <w:szCs w:val="22"/>
        </w:rPr>
        <w:t xml:space="preserve">• For external stakeholders, Imagine/IDEATE serves as a bridge to the university, offering an opportunity to engage directly with the next generation of professionals and co-create ideas and </w:t>
      </w:r>
      <w:r w:rsidRPr="00DA2128">
        <w:rPr>
          <w:sz w:val="22"/>
          <w:szCs w:val="22"/>
        </w:rPr>
        <w:lastRenderedPageBreak/>
        <w:t xml:space="preserve">solutions that matter. By participating in the feedback panels during the Implementation phase, external actors, including municipalities, NGOs, policy makers, and private sector representatives, can easily connect with students and engage in their generated ideas.  </w:t>
      </w:r>
    </w:p>
    <w:p w14:paraId="51EE59D9" w14:textId="77777777" w:rsidR="00E141E6" w:rsidRPr="00DA2128" w:rsidRDefault="00E141E6" w:rsidP="00A937C6">
      <w:pPr>
        <w:spacing w:line="240" w:lineRule="auto"/>
        <w:rPr>
          <w:sz w:val="22"/>
          <w:szCs w:val="22"/>
        </w:rPr>
      </w:pPr>
      <w:r w:rsidRPr="00DA2128">
        <w:rPr>
          <w:sz w:val="22"/>
          <w:szCs w:val="22"/>
        </w:rPr>
        <w:t>In conclusion, integrating Applied Design Thinking through the Imagine/IDEATE model enables student-centred innovation within an iterative process, grounded in the lived experiences and needs of students.</w:t>
      </w:r>
    </w:p>
    <w:p w14:paraId="3FF9AE5A" w14:textId="77777777" w:rsidR="00E141E6" w:rsidRPr="00DA2128" w:rsidRDefault="00E141E6" w:rsidP="00A937C6">
      <w:pPr>
        <w:pStyle w:val="Subtitle"/>
        <w:spacing w:line="240" w:lineRule="auto"/>
        <w:rPr>
          <w:noProof w:val="0"/>
        </w:rPr>
      </w:pPr>
      <w:r w:rsidRPr="00DA2128">
        <w:rPr>
          <w:noProof w:val="0"/>
        </w:rPr>
        <w:t>All the represented universities</w:t>
      </w:r>
    </w:p>
    <w:p w14:paraId="68A28856" w14:textId="77777777" w:rsidR="00E141E6" w:rsidRPr="00DA2128" w:rsidRDefault="00E141E6" w:rsidP="00A937C6">
      <w:pPr>
        <w:spacing w:line="240" w:lineRule="auto"/>
        <w:rPr>
          <w:sz w:val="22"/>
          <w:szCs w:val="22"/>
        </w:rPr>
      </w:pPr>
      <w:r w:rsidRPr="00DA2128">
        <w:rPr>
          <w:sz w:val="22"/>
          <w:szCs w:val="22"/>
        </w:rPr>
        <w:t>Below is the list of universities that participated in the eleven Imagine/IDETAE workshops. All partner universities in the COLOURS Alliance are represented, with the addition of Neapolis University Pafos (Cyprus), which is a member of the IDEATE project. The acronyms of the universities will be used frequently throughout the report.</w:t>
      </w:r>
    </w:p>
    <w:p w14:paraId="3E553CAF" w14:textId="77777777" w:rsidR="00E141E6" w:rsidRPr="00DA2128" w:rsidRDefault="00E141E6" w:rsidP="00A937C6">
      <w:pPr>
        <w:spacing w:line="240" w:lineRule="auto"/>
        <w:rPr>
          <w:sz w:val="22"/>
          <w:szCs w:val="22"/>
        </w:rPr>
      </w:pPr>
      <w:r w:rsidRPr="00DA2128">
        <w:rPr>
          <w:sz w:val="22"/>
          <w:szCs w:val="22"/>
        </w:rPr>
        <w:t>HKR – Högskolan Kristianstad, Sweden</w:t>
      </w:r>
    </w:p>
    <w:p w14:paraId="6705DF90" w14:textId="77777777" w:rsidR="00E141E6" w:rsidRPr="00DA2128" w:rsidRDefault="00E141E6" w:rsidP="00A937C6">
      <w:pPr>
        <w:spacing w:line="240" w:lineRule="auto"/>
        <w:rPr>
          <w:sz w:val="22"/>
          <w:szCs w:val="22"/>
        </w:rPr>
      </w:pPr>
      <w:r w:rsidRPr="00DA2128">
        <w:rPr>
          <w:sz w:val="22"/>
          <w:szCs w:val="22"/>
        </w:rPr>
        <w:t>UCLM – University of Castilla-La Mancha, Spain</w:t>
      </w:r>
    </w:p>
    <w:p w14:paraId="675E76EB" w14:textId="77777777" w:rsidR="00E141E6" w:rsidRPr="00DA2128" w:rsidRDefault="00E141E6" w:rsidP="00A937C6">
      <w:pPr>
        <w:spacing w:line="240" w:lineRule="auto"/>
        <w:rPr>
          <w:sz w:val="22"/>
          <w:szCs w:val="22"/>
        </w:rPr>
      </w:pPr>
      <w:r w:rsidRPr="00DA2128">
        <w:rPr>
          <w:sz w:val="22"/>
          <w:szCs w:val="22"/>
        </w:rPr>
        <w:t>UNIOS – Josip Jurai Strossmayer University of Osijek, Croatia</w:t>
      </w:r>
    </w:p>
    <w:p w14:paraId="2E050CE2" w14:textId="77777777" w:rsidR="00E141E6" w:rsidRPr="00DA2128" w:rsidRDefault="00E141E6" w:rsidP="00A937C6">
      <w:pPr>
        <w:spacing w:line="240" w:lineRule="auto"/>
        <w:rPr>
          <w:sz w:val="22"/>
          <w:szCs w:val="22"/>
        </w:rPr>
      </w:pPr>
      <w:r w:rsidRPr="00DA2128">
        <w:rPr>
          <w:sz w:val="22"/>
          <w:szCs w:val="22"/>
        </w:rPr>
        <w:t>UKLO – University St Kliment Ohridski Bitola, North Macedonia</w:t>
      </w:r>
    </w:p>
    <w:p w14:paraId="12CC0914" w14:textId="77777777" w:rsidR="00E141E6" w:rsidRPr="00DA2128" w:rsidRDefault="00E141E6" w:rsidP="00A937C6">
      <w:pPr>
        <w:spacing w:line="240" w:lineRule="auto"/>
        <w:rPr>
          <w:sz w:val="22"/>
          <w:szCs w:val="22"/>
        </w:rPr>
      </w:pPr>
      <w:r w:rsidRPr="00DA2128">
        <w:rPr>
          <w:sz w:val="22"/>
          <w:szCs w:val="22"/>
        </w:rPr>
        <w:t>UPB – Paderborn University, Germany</w:t>
      </w:r>
    </w:p>
    <w:p w14:paraId="388508FA" w14:textId="77777777" w:rsidR="00E141E6" w:rsidRPr="00DA2128" w:rsidRDefault="00E141E6" w:rsidP="00A937C6">
      <w:pPr>
        <w:spacing w:line="240" w:lineRule="auto"/>
        <w:rPr>
          <w:sz w:val="22"/>
          <w:szCs w:val="22"/>
        </w:rPr>
      </w:pPr>
      <w:r w:rsidRPr="00DA2128">
        <w:rPr>
          <w:sz w:val="22"/>
          <w:szCs w:val="22"/>
        </w:rPr>
        <w:t>JDU – Jan Dlugosz University in Czestochowa, Polen</w:t>
      </w:r>
    </w:p>
    <w:p w14:paraId="62B627F3" w14:textId="77777777" w:rsidR="00E141E6" w:rsidRPr="00DA2128" w:rsidRDefault="00E141E6" w:rsidP="00A937C6">
      <w:pPr>
        <w:spacing w:line="240" w:lineRule="auto"/>
        <w:rPr>
          <w:sz w:val="22"/>
          <w:szCs w:val="22"/>
        </w:rPr>
      </w:pPr>
      <w:r w:rsidRPr="00DA2128">
        <w:rPr>
          <w:sz w:val="22"/>
          <w:szCs w:val="22"/>
        </w:rPr>
        <w:t>LMU – Le Mans University, France</w:t>
      </w:r>
    </w:p>
    <w:p w14:paraId="012779E9" w14:textId="77777777" w:rsidR="00E141E6" w:rsidRPr="00DA2128" w:rsidRDefault="00E141E6" w:rsidP="00A937C6">
      <w:pPr>
        <w:spacing w:line="240" w:lineRule="auto"/>
        <w:rPr>
          <w:sz w:val="22"/>
          <w:szCs w:val="22"/>
        </w:rPr>
      </w:pPr>
      <w:r w:rsidRPr="00DA2128">
        <w:rPr>
          <w:sz w:val="22"/>
          <w:szCs w:val="22"/>
        </w:rPr>
        <w:t>UNIFE - University of Ferrara, Italy</w:t>
      </w:r>
    </w:p>
    <w:p w14:paraId="627C90F2" w14:textId="77777777" w:rsidR="00E141E6" w:rsidRPr="00DA2128" w:rsidRDefault="00E141E6" w:rsidP="00A937C6">
      <w:pPr>
        <w:spacing w:line="240" w:lineRule="auto"/>
        <w:rPr>
          <w:sz w:val="22"/>
          <w:szCs w:val="22"/>
        </w:rPr>
      </w:pPr>
      <w:r w:rsidRPr="00DA2128">
        <w:rPr>
          <w:sz w:val="22"/>
          <w:szCs w:val="22"/>
        </w:rPr>
        <w:t>VUAS – Ventspils University of Applied Sciences, Latvia</w:t>
      </w:r>
    </w:p>
    <w:p w14:paraId="5FD181AF" w14:textId="77777777" w:rsidR="00E141E6" w:rsidRPr="00DA2128" w:rsidRDefault="00E141E6" w:rsidP="00A937C6">
      <w:pPr>
        <w:spacing w:line="240" w:lineRule="auto"/>
        <w:rPr>
          <w:sz w:val="22"/>
          <w:szCs w:val="22"/>
        </w:rPr>
      </w:pPr>
      <w:r w:rsidRPr="00DA2128">
        <w:rPr>
          <w:sz w:val="22"/>
          <w:szCs w:val="22"/>
        </w:rPr>
        <w:t>NUP - Neapolis University Pafos, Cyprus</w:t>
      </w:r>
    </w:p>
    <w:p w14:paraId="0368FFDA" w14:textId="77777777" w:rsidR="00E141E6" w:rsidRPr="00DA2128" w:rsidRDefault="00E141E6" w:rsidP="00A937C6">
      <w:pPr>
        <w:pStyle w:val="Sub-subheading"/>
        <w:spacing w:line="240" w:lineRule="auto"/>
      </w:pPr>
      <w:r w:rsidRPr="00DA2128">
        <w:t>The diversity of students</w:t>
      </w:r>
    </w:p>
    <w:p w14:paraId="6E2C0989" w14:textId="77777777" w:rsidR="00E141E6" w:rsidRPr="00DA2128" w:rsidRDefault="00E141E6" w:rsidP="00A937C6">
      <w:pPr>
        <w:spacing w:line="240" w:lineRule="auto"/>
        <w:rPr>
          <w:sz w:val="22"/>
          <w:szCs w:val="22"/>
        </w:rPr>
      </w:pPr>
      <w:r w:rsidRPr="00DA2128">
        <w:rPr>
          <w:sz w:val="22"/>
          <w:szCs w:val="22"/>
        </w:rPr>
        <w:t xml:space="preserve">Within the European context, the aim is to operationalise an equity-first approach to EDI as a necessity for genuine inclusion for all. This orientation is rooted in the evolution of the Bologna process (Konstantinidou, 2025), which advances the social dimension with an equitable, diverse and inclusive approach. It refers to the social dimension as an inclusive environment in which the composition of the student body entering, participating in, and completing higher education at all levels should reflect the diverse social profile of society in EHEA countries (Scukanec Schmidt and Onita, 2024, Communiqué Rome, 2020). </w:t>
      </w:r>
    </w:p>
    <w:p w14:paraId="29D34784" w14:textId="7917C883" w:rsidR="00E141E6" w:rsidRPr="00DA2128" w:rsidRDefault="00E141E6" w:rsidP="00A937C6">
      <w:pPr>
        <w:spacing w:line="240" w:lineRule="auto"/>
        <w:rPr>
          <w:sz w:val="22"/>
          <w:szCs w:val="22"/>
        </w:rPr>
      </w:pPr>
      <w:r w:rsidRPr="00DA2128">
        <w:rPr>
          <w:sz w:val="22"/>
          <w:szCs w:val="22"/>
        </w:rPr>
        <w:t xml:space="preserve">To ensure diversity among the Imagine/IDEATE workshops’ participants, universities were encouraged to involve students from a variety of academic disciplines. This led to a richer diversity, as students also represented a range of genders, ages, backgrounds, and other characteristics. </w:t>
      </w:r>
    </w:p>
    <w:p w14:paraId="296B691F" w14:textId="77777777" w:rsidR="00E141E6" w:rsidRPr="00DA2128" w:rsidRDefault="00E141E6" w:rsidP="00A937C6">
      <w:pPr>
        <w:spacing w:line="240" w:lineRule="auto"/>
        <w:rPr>
          <w:i/>
          <w:iCs/>
          <w:sz w:val="22"/>
          <w:szCs w:val="22"/>
        </w:rPr>
      </w:pPr>
      <w:r w:rsidRPr="00DA2128">
        <w:rPr>
          <w:i/>
          <w:iCs/>
          <w:sz w:val="22"/>
          <w:szCs w:val="22"/>
        </w:rPr>
        <w:t xml:space="preserve">Below is a list of the different disciplines represented, along with other diversity factors. </w:t>
      </w:r>
    </w:p>
    <w:p w14:paraId="18AC9FC2" w14:textId="77777777" w:rsidR="00E141E6" w:rsidRPr="00DA2128" w:rsidRDefault="00E141E6" w:rsidP="00A937C6">
      <w:pPr>
        <w:spacing w:line="240" w:lineRule="auto"/>
        <w:rPr>
          <w:sz w:val="22"/>
          <w:szCs w:val="22"/>
        </w:rPr>
      </w:pPr>
      <w:r w:rsidRPr="00DA2128">
        <w:rPr>
          <w:sz w:val="22"/>
          <w:szCs w:val="22"/>
        </w:rPr>
        <w:t>In total, 392 students from the disciplines listed below participated in the workshop.</w:t>
      </w:r>
    </w:p>
    <w:p w14:paraId="3179929F" w14:textId="77777777" w:rsidR="00E141E6" w:rsidRPr="00DA2128" w:rsidRDefault="00E141E6" w:rsidP="00A937C6">
      <w:pPr>
        <w:spacing w:line="240" w:lineRule="auto"/>
        <w:rPr>
          <w:sz w:val="22"/>
          <w:szCs w:val="22"/>
        </w:rPr>
      </w:pPr>
      <w:r w:rsidRPr="00DA2128">
        <w:rPr>
          <w:sz w:val="22"/>
          <w:szCs w:val="22"/>
        </w:rPr>
        <w:t>1. HKR - Public Health Science and Behavioural Science.</w:t>
      </w:r>
    </w:p>
    <w:p w14:paraId="1FFA99A2" w14:textId="77777777" w:rsidR="00E141E6" w:rsidRPr="00DA2128" w:rsidRDefault="00E141E6" w:rsidP="00A937C6">
      <w:pPr>
        <w:spacing w:line="240" w:lineRule="auto"/>
        <w:rPr>
          <w:sz w:val="22"/>
          <w:szCs w:val="22"/>
        </w:rPr>
      </w:pPr>
      <w:r w:rsidRPr="00DA2128">
        <w:rPr>
          <w:sz w:val="22"/>
          <w:szCs w:val="22"/>
        </w:rPr>
        <w:t>2. UCLM - Master's Degree in Secondary Education, Vocational Training and Language Teaching.</w:t>
      </w:r>
    </w:p>
    <w:p w14:paraId="6BE49458" w14:textId="77777777" w:rsidR="00E141E6" w:rsidRPr="00DA2128" w:rsidRDefault="00E141E6" w:rsidP="00A937C6">
      <w:pPr>
        <w:spacing w:line="240" w:lineRule="auto"/>
        <w:rPr>
          <w:sz w:val="22"/>
          <w:szCs w:val="22"/>
        </w:rPr>
      </w:pPr>
      <w:r w:rsidRPr="00DA2128">
        <w:rPr>
          <w:sz w:val="22"/>
          <w:szCs w:val="22"/>
        </w:rPr>
        <w:t>3. UJD - Education, Pre-school and early years in school education, Psychological Prevention and National Security.</w:t>
      </w:r>
    </w:p>
    <w:p w14:paraId="3B1BF286" w14:textId="77777777" w:rsidR="00E141E6" w:rsidRPr="00DA2128" w:rsidRDefault="00E141E6" w:rsidP="00A937C6">
      <w:pPr>
        <w:spacing w:line="240" w:lineRule="auto"/>
        <w:rPr>
          <w:sz w:val="22"/>
          <w:szCs w:val="22"/>
        </w:rPr>
      </w:pPr>
      <w:r w:rsidRPr="00DA2128">
        <w:rPr>
          <w:sz w:val="22"/>
          <w:szCs w:val="22"/>
        </w:rPr>
        <w:lastRenderedPageBreak/>
        <w:t>4. UKLO - The students were enrolled at first cycle of studies different years.</w:t>
      </w:r>
    </w:p>
    <w:p w14:paraId="3A33D094" w14:textId="77777777" w:rsidR="00E141E6" w:rsidRPr="00DA2128" w:rsidRDefault="00E141E6" w:rsidP="00A937C6">
      <w:pPr>
        <w:spacing w:line="240" w:lineRule="auto"/>
        <w:rPr>
          <w:sz w:val="22"/>
          <w:szCs w:val="22"/>
        </w:rPr>
      </w:pPr>
      <w:r w:rsidRPr="00DA2128">
        <w:rPr>
          <w:sz w:val="22"/>
          <w:szCs w:val="22"/>
        </w:rPr>
        <w:t>5. UNIOS - Sociology, History and English language and literature.</w:t>
      </w:r>
    </w:p>
    <w:p w14:paraId="70D585B2" w14:textId="77777777" w:rsidR="00E141E6" w:rsidRPr="00DA2128" w:rsidRDefault="00E141E6" w:rsidP="00A937C6">
      <w:pPr>
        <w:spacing w:line="240" w:lineRule="auto"/>
        <w:rPr>
          <w:sz w:val="22"/>
          <w:szCs w:val="22"/>
        </w:rPr>
      </w:pPr>
      <w:r w:rsidRPr="00DA2128">
        <w:rPr>
          <w:sz w:val="22"/>
          <w:szCs w:val="22"/>
        </w:rPr>
        <w:t>6. UPB - Bachelor of Arts, Bachelor of Science, Master of Science, Master of Arts, teacher education students from Bachelor of Education and Master of Education, and international exchange students from different disciplines.</w:t>
      </w:r>
    </w:p>
    <w:p w14:paraId="4A76E5E4" w14:textId="77777777" w:rsidR="00E141E6" w:rsidRPr="00DA2128" w:rsidRDefault="00E141E6" w:rsidP="00A937C6">
      <w:pPr>
        <w:spacing w:line="240" w:lineRule="auto"/>
        <w:rPr>
          <w:sz w:val="22"/>
          <w:szCs w:val="22"/>
        </w:rPr>
      </w:pPr>
      <w:r w:rsidRPr="00DA2128">
        <w:rPr>
          <w:sz w:val="22"/>
          <w:szCs w:val="22"/>
        </w:rPr>
        <w:t>7. VUAS - Intercultural Communication, Computer Science, Bachelor's degree Study Programme "Start-up Management, Bachelor's Study Programme "Business Administration and Master study programme "Business Administration".</w:t>
      </w:r>
    </w:p>
    <w:p w14:paraId="4E5E28C7" w14:textId="77777777" w:rsidR="00E141E6" w:rsidRPr="00DA2128" w:rsidRDefault="00E141E6" w:rsidP="00A937C6">
      <w:pPr>
        <w:spacing w:line="240" w:lineRule="auto"/>
        <w:rPr>
          <w:sz w:val="22"/>
          <w:szCs w:val="22"/>
        </w:rPr>
      </w:pPr>
      <w:r w:rsidRPr="00DA2128">
        <w:rPr>
          <w:sz w:val="22"/>
          <w:szCs w:val="22"/>
        </w:rPr>
        <w:t>8. LMU – Third-year STAPS students, Second- and third-year students from various backgrounds enrolled in the undergraduate course on disability and discrimination.</w:t>
      </w:r>
    </w:p>
    <w:p w14:paraId="0D4F490A" w14:textId="77777777" w:rsidR="00E141E6" w:rsidRPr="00DA2128" w:rsidRDefault="00E141E6" w:rsidP="00A937C6">
      <w:pPr>
        <w:spacing w:line="240" w:lineRule="auto"/>
        <w:rPr>
          <w:sz w:val="22"/>
          <w:szCs w:val="22"/>
        </w:rPr>
      </w:pPr>
      <w:r w:rsidRPr="00DA2128">
        <w:rPr>
          <w:sz w:val="22"/>
          <w:szCs w:val="22"/>
        </w:rPr>
        <w:t>9. UNIFE - Bachelor Degree, Master Degree and Educators.</w:t>
      </w:r>
    </w:p>
    <w:p w14:paraId="35B1C9F1" w14:textId="77777777" w:rsidR="00E141E6" w:rsidRPr="00DA2128" w:rsidRDefault="00E141E6" w:rsidP="00A937C6">
      <w:pPr>
        <w:spacing w:line="240" w:lineRule="auto"/>
        <w:rPr>
          <w:sz w:val="22"/>
          <w:szCs w:val="22"/>
        </w:rPr>
      </w:pPr>
      <w:r w:rsidRPr="00DA2128">
        <w:rPr>
          <w:sz w:val="22"/>
          <w:szCs w:val="22"/>
        </w:rPr>
        <w:t>10. NUP - BSc in Psychology.</w:t>
      </w:r>
    </w:p>
    <w:p w14:paraId="009CFD11" w14:textId="77777777" w:rsidR="00E141E6" w:rsidRPr="00DA2128" w:rsidRDefault="00E141E6" w:rsidP="00A937C6">
      <w:pPr>
        <w:spacing w:line="240" w:lineRule="auto"/>
        <w:rPr>
          <w:sz w:val="22"/>
          <w:szCs w:val="22"/>
        </w:rPr>
      </w:pPr>
    </w:p>
    <w:p w14:paraId="21A538D7" w14:textId="77777777" w:rsidR="00E141E6" w:rsidRPr="00DA2128" w:rsidRDefault="00E141E6" w:rsidP="00A937C6">
      <w:pPr>
        <w:pStyle w:val="Subtitle"/>
        <w:spacing w:line="240" w:lineRule="auto"/>
        <w:rPr>
          <w:noProof w:val="0"/>
        </w:rPr>
      </w:pPr>
      <w:r w:rsidRPr="00DA2128">
        <w:rPr>
          <w:noProof w:val="0"/>
        </w:rPr>
        <w:t>Method</w:t>
      </w:r>
    </w:p>
    <w:p w14:paraId="5A824468" w14:textId="77777777" w:rsidR="00E141E6" w:rsidRPr="00DA2128" w:rsidRDefault="00E141E6" w:rsidP="00A937C6">
      <w:pPr>
        <w:pStyle w:val="Sub-subheading"/>
        <w:spacing w:line="240" w:lineRule="auto"/>
      </w:pPr>
      <w:r w:rsidRPr="00DA2128">
        <w:t>Aim</w:t>
      </w:r>
    </w:p>
    <w:p w14:paraId="528726E1" w14:textId="77777777" w:rsidR="00E141E6" w:rsidRPr="00DA2128" w:rsidRDefault="00E141E6" w:rsidP="00A937C6">
      <w:pPr>
        <w:spacing w:line="240" w:lineRule="auto"/>
        <w:rPr>
          <w:sz w:val="22"/>
          <w:szCs w:val="22"/>
        </w:rPr>
      </w:pPr>
      <w:r w:rsidRPr="00DA2128">
        <w:rPr>
          <w:sz w:val="22"/>
          <w:szCs w:val="22"/>
        </w:rPr>
        <w:t>The workshops aimed to generate diverse ideas from students on how to improve equity, diversity, and inclusion (EDI) at their respective universities. The authors used Applied Design Thinking as an approach to identify trends in how students envision the improvement of EDI at their institutions and within academia.</w:t>
      </w:r>
    </w:p>
    <w:p w14:paraId="25EB66D9" w14:textId="77777777" w:rsidR="00E141E6" w:rsidRPr="00DA2128" w:rsidRDefault="00E141E6" w:rsidP="00A937C6">
      <w:pPr>
        <w:spacing w:line="240" w:lineRule="auto"/>
        <w:rPr>
          <w:sz w:val="22"/>
          <w:szCs w:val="22"/>
        </w:rPr>
      </w:pPr>
      <w:r w:rsidRPr="00DA2128">
        <w:rPr>
          <w:sz w:val="22"/>
          <w:szCs w:val="22"/>
        </w:rPr>
        <w:t>Furthermore, this report also aims to capture the reflections of EDI Officers and facilitators of the workshops on the use of Applied Design Thinking as a means to enhance knowledge and awareness of EDI-related issues.</w:t>
      </w:r>
    </w:p>
    <w:p w14:paraId="52D555E4" w14:textId="77777777" w:rsidR="00E141E6" w:rsidRPr="00DA2128" w:rsidRDefault="00E141E6" w:rsidP="00A937C6">
      <w:pPr>
        <w:spacing w:line="240" w:lineRule="auto"/>
        <w:rPr>
          <w:sz w:val="22"/>
          <w:szCs w:val="22"/>
        </w:rPr>
      </w:pPr>
    </w:p>
    <w:p w14:paraId="5D4CFB78" w14:textId="77777777" w:rsidR="00E141E6" w:rsidRPr="00DA2128" w:rsidRDefault="00E141E6" w:rsidP="00A937C6">
      <w:pPr>
        <w:pStyle w:val="Sub-subheading"/>
        <w:spacing w:line="240" w:lineRule="auto"/>
      </w:pPr>
      <w:r w:rsidRPr="00DA2128">
        <w:t>Methodological Approach</w:t>
      </w:r>
    </w:p>
    <w:p w14:paraId="6D581D28" w14:textId="77777777" w:rsidR="00E141E6" w:rsidRPr="00DA2128" w:rsidRDefault="00E141E6" w:rsidP="00A937C6">
      <w:pPr>
        <w:spacing w:line="240" w:lineRule="auto"/>
        <w:rPr>
          <w:sz w:val="22"/>
          <w:szCs w:val="22"/>
        </w:rPr>
      </w:pPr>
      <w:r w:rsidRPr="00DA2128">
        <w:rPr>
          <w:sz w:val="22"/>
          <w:szCs w:val="22"/>
        </w:rPr>
        <w:t>This summary report builds on qualitative data collected from the original ten reports of the conducted Imagine/IDEATE workshops. EDI Officers and facilitators wrote the reports. The analysis of the reports involved reading all the material generated through the NABC model, with the aim of identifying patterns and trends. Through this process, two overarching themes and four subthemes gradually took shape. An inductive approach (Braun and Clarke, 2006) was used, which is well-suited to capturing the diversity of student ideas from a bottom-up viewpoint, allowing patterns and trends to emerge from the data.</w:t>
      </w:r>
    </w:p>
    <w:p w14:paraId="68637D51" w14:textId="77777777" w:rsidR="00E141E6" w:rsidRPr="00DA2128" w:rsidRDefault="00E141E6" w:rsidP="00A937C6">
      <w:pPr>
        <w:spacing w:line="240" w:lineRule="auto"/>
        <w:rPr>
          <w:sz w:val="22"/>
          <w:szCs w:val="22"/>
        </w:rPr>
      </w:pPr>
    </w:p>
    <w:p w14:paraId="4BCB7AF2" w14:textId="77777777" w:rsidR="00E141E6" w:rsidRPr="00DA2128" w:rsidRDefault="00E141E6" w:rsidP="00A937C6">
      <w:pPr>
        <w:pStyle w:val="Sub-subheading"/>
        <w:spacing w:line="240" w:lineRule="auto"/>
      </w:pPr>
      <w:r w:rsidRPr="00DA2128">
        <w:t>Participants</w:t>
      </w:r>
    </w:p>
    <w:p w14:paraId="58386CAE" w14:textId="77777777" w:rsidR="00E141E6" w:rsidRPr="00DA2128" w:rsidRDefault="00E141E6" w:rsidP="00A937C6">
      <w:pPr>
        <w:spacing w:line="240" w:lineRule="auto"/>
        <w:rPr>
          <w:sz w:val="22"/>
          <w:szCs w:val="22"/>
        </w:rPr>
      </w:pPr>
      <w:r w:rsidRPr="00DA2128">
        <w:rPr>
          <w:sz w:val="22"/>
          <w:szCs w:val="22"/>
        </w:rPr>
        <w:t>A total of 392 students participated in the Imagine/IDEATE workshops. One workshop was conducted at each of the nine partner universities within the COLOURS Alliance, ensuring full participation across the alliance. In addition to these, two extra workshops were held — one extra at the University of Ferrara and one at Neapolis University Pafos in Cyprus. The participants represented a diverse range of academic disciplines and study levels, from first-year undergraduates to master’s students. This diversity was intentionally encouraged to ensure a wide range of perspectives and experiences.</w:t>
      </w:r>
    </w:p>
    <w:p w14:paraId="07AE3617" w14:textId="77777777" w:rsidR="00E141E6" w:rsidRPr="00DA2128" w:rsidRDefault="00E141E6" w:rsidP="00A937C6">
      <w:pPr>
        <w:spacing w:line="240" w:lineRule="auto"/>
        <w:rPr>
          <w:sz w:val="22"/>
          <w:szCs w:val="22"/>
        </w:rPr>
      </w:pPr>
      <w:r w:rsidRPr="00DA2128">
        <w:rPr>
          <w:sz w:val="22"/>
          <w:szCs w:val="22"/>
        </w:rPr>
        <w:t xml:space="preserve">Importantly, the students also had varying degrees of prior knowledge and exposure to equity, diversity, and inclusion (EDI). Rather than being a limitation, this variation was seen as a key </w:t>
      </w:r>
      <w:r w:rsidRPr="00DA2128">
        <w:rPr>
          <w:sz w:val="22"/>
          <w:szCs w:val="22"/>
        </w:rPr>
        <w:lastRenderedPageBreak/>
        <w:t>strength of the process. It enabled the exploration of EDI-related challenges from multiple diverse points of view and cultures, allowing for the emergence of ideas grounded in different lived realities. By including students with varying levels of familiarity with EDI, the workshops captured a more nuanced understanding of institutional inclusion, helping to surface both expected and previously unarticulated barriers and opportunities.</w:t>
      </w:r>
    </w:p>
    <w:p w14:paraId="415DD2E4" w14:textId="77777777" w:rsidR="00E141E6" w:rsidRPr="00DA2128" w:rsidRDefault="00E141E6" w:rsidP="00A937C6">
      <w:pPr>
        <w:spacing w:line="240" w:lineRule="auto"/>
        <w:rPr>
          <w:sz w:val="22"/>
          <w:szCs w:val="22"/>
        </w:rPr>
      </w:pPr>
    </w:p>
    <w:p w14:paraId="47705A0E" w14:textId="77777777" w:rsidR="00E141E6" w:rsidRPr="00DA2128" w:rsidRDefault="00E141E6" w:rsidP="00A937C6">
      <w:pPr>
        <w:pStyle w:val="Sub-subheading"/>
        <w:spacing w:line="240" w:lineRule="auto"/>
      </w:pPr>
      <w:r w:rsidRPr="00DA2128">
        <w:t>The process and context</w:t>
      </w:r>
    </w:p>
    <w:p w14:paraId="3C3BB423" w14:textId="77777777" w:rsidR="00E141E6" w:rsidRPr="00DA2128" w:rsidRDefault="00E141E6" w:rsidP="00A937C6">
      <w:pPr>
        <w:spacing w:line="240" w:lineRule="auto"/>
        <w:rPr>
          <w:sz w:val="22"/>
          <w:szCs w:val="22"/>
        </w:rPr>
      </w:pPr>
      <w:r w:rsidRPr="00DA2128">
        <w:rPr>
          <w:sz w:val="22"/>
          <w:szCs w:val="22"/>
        </w:rPr>
        <w:t>To ensure a consistent and high-quality implementation of the Imagine/IDEATE workshops across all partner universities, the process commenced with a comprehensive training session for the appointed EDI Officers and facilitators. These individuals were responsible for planning, facilitating, and reporting on the workshops at their respective institutions. The training was conducted online on 8 July 2025, organised by Kristianstad University within the framework of the EU-funded project IDEATE: Inclusion and Diversity Education through Applied Design Thinking for Equity (2023-1-SE01-KA220-HED-000161031).</w:t>
      </w:r>
    </w:p>
    <w:p w14:paraId="597A6F84" w14:textId="77777777" w:rsidR="00E141E6" w:rsidRPr="00DA2128" w:rsidRDefault="00E141E6" w:rsidP="00A937C6">
      <w:pPr>
        <w:spacing w:line="240" w:lineRule="auto"/>
        <w:rPr>
          <w:sz w:val="22"/>
          <w:szCs w:val="22"/>
        </w:rPr>
      </w:pPr>
      <w:r w:rsidRPr="00DA2128">
        <w:rPr>
          <w:sz w:val="22"/>
          <w:szCs w:val="22"/>
        </w:rPr>
        <w:t>The training aimed to enhance participants' theoretical understanding and practical skills in leading a one-and-a-half-day workshop based on the principles of Applied Design Thinking with a focus on EDI. The curriculum covered key EDI concepts, the methodology of Design Thinking, workshop materials, step-by-step guidance through the workshop phases, and included a practice session. Additionally, the training emphasised adaptation to local contexts, reflection, feedback, and ongoing professional development.</w:t>
      </w:r>
    </w:p>
    <w:p w14:paraId="4914FBC3" w14:textId="77777777" w:rsidR="00E141E6" w:rsidRPr="00DA2128" w:rsidRDefault="00E141E6" w:rsidP="00A937C6">
      <w:pPr>
        <w:spacing w:line="240" w:lineRule="auto"/>
        <w:rPr>
          <w:sz w:val="22"/>
          <w:szCs w:val="22"/>
        </w:rPr>
      </w:pPr>
      <w:r w:rsidRPr="00DA2128">
        <w:rPr>
          <w:sz w:val="22"/>
          <w:szCs w:val="22"/>
        </w:rPr>
        <w:t>Post-training, all EDI Officers and facilitators received access to a comprehensive digital resource package, including manuals, worksheets, and instructions suitable for both in-person and online workshops. The WP5 coordinator provided continuous support throughout the preparation phase.</w:t>
      </w:r>
    </w:p>
    <w:p w14:paraId="450B3564" w14:textId="77777777" w:rsidR="00E141E6" w:rsidRPr="00DA2128" w:rsidRDefault="00E141E6" w:rsidP="00A937C6">
      <w:pPr>
        <w:spacing w:line="240" w:lineRule="auto"/>
        <w:rPr>
          <w:sz w:val="22"/>
          <w:szCs w:val="22"/>
        </w:rPr>
      </w:pPr>
      <w:r w:rsidRPr="00DA2128">
        <w:rPr>
          <w:sz w:val="22"/>
          <w:szCs w:val="22"/>
        </w:rPr>
        <w:t>Each university was encouraged to schedule a workshop involving students from diverse academic backgrounds and study levels to ensure a broad range of perspectives and contextual relevance. The workshops were conducted between November 2024 and March 2025, each spanning 2 days, which included preparatory work by the students. They were facilitated by the local EDI Officer and educated facilitators.</w:t>
      </w:r>
    </w:p>
    <w:p w14:paraId="5A0C1717" w14:textId="77777777" w:rsidR="00E141E6" w:rsidRPr="00DA2128" w:rsidRDefault="00E141E6" w:rsidP="00A937C6">
      <w:pPr>
        <w:spacing w:line="240" w:lineRule="auto"/>
        <w:rPr>
          <w:sz w:val="22"/>
          <w:szCs w:val="22"/>
        </w:rPr>
      </w:pPr>
      <w:r w:rsidRPr="00DA2128">
        <w:rPr>
          <w:sz w:val="22"/>
          <w:szCs w:val="22"/>
        </w:rPr>
        <w:t>For in-person workshops, printed materials were provided, while online sessions utilised Zoom in combination with the collaborative platform Miro. All workshops adhered to a standardised schedule and a clearly defined methodological structure.</w:t>
      </w:r>
    </w:p>
    <w:p w14:paraId="1CDEBE6D" w14:textId="042D385E" w:rsidR="00E141E6" w:rsidRPr="00DA2128" w:rsidRDefault="00E141E6" w:rsidP="00A937C6">
      <w:pPr>
        <w:spacing w:line="240" w:lineRule="auto"/>
        <w:rPr>
          <w:sz w:val="22"/>
          <w:szCs w:val="22"/>
        </w:rPr>
      </w:pPr>
      <w:r w:rsidRPr="00DA2128">
        <w:rPr>
          <w:sz w:val="22"/>
          <w:szCs w:val="22"/>
        </w:rPr>
        <w:t>Students worked in small groups through the various phases of the Applied Design Thinking process, focusing on identifying challenges and formulating solutions to improve EDI at their respective institutions. Day one centred on idea generation and selection of a prioritised concept. On day two, the selected idea was further developed into a concrete and actionable proposal, culminating in a pitch presented to a panel of external stakeholders connected to EDI work. These panels varied in composition across universities but consistently comprised individuals who were not involved in the previous workshop. All ideas were only pitched for the panel that provided constructive feedback and invited students to potential collaborations</w:t>
      </w:r>
      <w:r w:rsidR="00087E28" w:rsidRPr="00DA2128">
        <w:rPr>
          <w:sz w:val="22"/>
          <w:szCs w:val="22"/>
        </w:rPr>
        <w:t xml:space="preserve"> </w:t>
      </w:r>
      <w:r w:rsidRPr="00DA2128">
        <w:rPr>
          <w:sz w:val="22"/>
          <w:szCs w:val="22"/>
        </w:rPr>
        <w:t>aligned with the Quadruple Helix model.</w:t>
      </w:r>
    </w:p>
    <w:p w14:paraId="013601C2" w14:textId="77777777" w:rsidR="00087E28" w:rsidRPr="00DA2128" w:rsidRDefault="00087E28" w:rsidP="00A937C6">
      <w:pPr>
        <w:spacing w:line="240" w:lineRule="auto"/>
        <w:rPr>
          <w:sz w:val="22"/>
          <w:szCs w:val="22"/>
        </w:rPr>
      </w:pPr>
    </w:p>
    <w:p w14:paraId="283C12BF" w14:textId="77777777" w:rsidR="00E141E6" w:rsidRPr="00DA2128" w:rsidRDefault="00E141E6" w:rsidP="00A937C6">
      <w:pPr>
        <w:pStyle w:val="Sub-subheading"/>
        <w:spacing w:line="240" w:lineRule="auto"/>
      </w:pPr>
      <w:r w:rsidRPr="00DA2128">
        <w:t>Data collection</w:t>
      </w:r>
    </w:p>
    <w:p w14:paraId="23A7F73D" w14:textId="77777777" w:rsidR="00E141E6" w:rsidRPr="00DA2128" w:rsidRDefault="00E141E6" w:rsidP="00A937C6">
      <w:pPr>
        <w:spacing w:line="240" w:lineRule="auto"/>
        <w:rPr>
          <w:sz w:val="22"/>
          <w:szCs w:val="22"/>
        </w:rPr>
      </w:pPr>
      <w:r w:rsidRPr="00DA2128">
        <w:rPr>
          <w:sz w:val="22"/>
          <w:szCs w:val="22"/>
        </w:rPr>
        <w:t xml:space="preserve">During the workshops, each EDI Officer and facilitator documented the outcomes using a standardised reporting template based on the NABC model (Need, Approach, Benefit, Competition). This approach ensured uniform data collection and detailed documentation of student-generated ideas. Besides students' ideas, the template also included reflections from </w:t>
      </w:r>
      <w:r w:rsidRPr="00DA2128">
        <w:rPr>
          <w:sz w:val="22"/>
          <w:szCs w:val="22"/>
        </w:rPr>
        <w:lastRenderedPageBreak/>
        <w:t xml:space="preserve">students on the EDI as a topic, as well as EDI Officers' and facilitators' reflections on both EDI as a topic and Applied Design Thinking as a method to improve EDI and raise awareness of it.  </w:t>
      </w:r>
    </w:p>
    <w:p w14:paraId="7DC4AE6E" w14:textId="77777777" w:rsidR="00E141E6" w:rsidRPr="00DA2128" w:rsidRDefault="00E141E6" w:rsidP="00A937C6">
      <w:pPr>
        <w:spacing w:line="240" w:lineRule="auto"/>
        <w:rPr>
          <w:sz w:val="22"/>
          <w:szCs w:val="22"/>
        </w:rPr>
      </w:pPr>
    </w:p>
    <w:p w14:paraId="7D64B8E7" w14:textId="77777777" w:rsidR="00E141E6" w:rsidRPr="00DA2128" w:rsidRDefault="00E141E6" w:rsidP="00A937C6">
      <w:pPr>
        <w:pStyle w:val="Subtitle"/>
        <w:spacing w:line="240" w:lineRule="auto"/>
        <w:rPr>
          <w:noProof w:val="0"/>
        </w:rPr>
      </w:pPr>
      <w:r w:rsidRPr="00DA2128">
        <w:rPr>
          <w:noProof w:val="0"/>
        </w:rPr>
        <w:t>Results</w:t>
      </w:r>
    </w:p>
    <w:p w14:paraId="1C167B5E" w14:textId="77777777" w:rsidR="00E141E6" w:rsidRPr="00DA2128" w:rsidRDefault="00E141E6" w:rsidP="00A937C6">
      <w:pPr>
        <w:spacing w:line="240" w:lineRule="auto"/>
        <w:rPr>
          <w:sz w:val="22"/>
          <w:szCs w:val="22"/>
        </w:rPr>
      </w:pPr>
      <w:r w:rsidRPr="00DA2128">
        <w:rPr>
          <w:sz w:val="22"/>
          <w:szCs w:val="22"/>
        </w:rPr>
        <w:t>This section presents a summary of the student-generated ideas collected during eleven Imagine/IDEATE workshops held at ten different universities. Each Imagine/IDEATE workshop resulted in a set of proposals aimed at improving Equity, Diversity, and Inclusion (EDI) within higher education, drawing directly from students’ lived experiences and institutional realities.</w:t>
      </w:r>
    </w:p>
    <w:p w14:paraId="25878BF5" w14:textId="77777777" w:rsidR="00E141E6" w:rsidRPr="00DA2128" w:rsidRDefault="00E141E6" w:rsidP="00A937C6">
      <w:pPr>
        <w:spacing w:line="240" w:lineRule="auto"/>
        <w:rPr>
          <w:sz w:val="22"/>
          <w:szCs w:val="22"/>
        </w:rPr>
      </w:pPr>
      <w:r w:rsidRPr="00DA2128">
        <w:rPr>
          <w:sz w:val="22"/>
          <w:szCs w:val="22"/>
        </w:rPr>
        <w:t xml:space="preserve">Furthermore, an analysis of these proposals revealed two themes and four subthemes that reflect identified challenges and aspirations among students, regardless of national or disciplinary background. The two identified themes were Inclusive education and Improving EDI with actions. </w:t>
      </w:r>
    </w:p>
    <w:p w14:paraId="5C11026E" w14:textId="77777777" w:rsidR="00E141E6" w:rsidRPr="00DA2128" w:rsidRDefault="00E141E6" w:rsidP="00A937C6">
      <w:pPr>
        <w:spacing w:line="240" w:lineRule="auto"/>
        <w:rPr>
          <w:sz w:val="22"/>
          <w:szCs w:val="22"/>
        </w:rPr>
      </w:pPr>
      <w:r w:rsidRPr="00DA2128">
        <w:rPr>
          <w:sz w:val="22"/>
          <w:szCs w:val="22"/>
        </w:rPr>
        <w:t>The first theme Inclusive education emerged following subthemes: Inclusivity and accessibility and Empathy and experiential learning. The other theme Improving EDI with actions emerged following subthemes: Digital innovation and visibility of EDI and Recognition and training programmes.</w:t>
      </w:r>
    </w:p>
    <w:p w14:paraId="13971A4B" w14:textId="77777777" w:rsidR="00E141E6" w:rsidRPr="00DA2128" w:rsidRDefault="00E141E6" w:rsidP="00A937C6">
      <w:pPr>
        <w:pStyle w:val="Subtitle"/>
        <w:spacing w:line="240" w:lineRule="auto"/>
        <w:rPr>
          <w:noProof w:val="0"/>
        </w:rPr>
      </w:pPr>
      <w:r w:rsidRPr="00DA2128">
        <w:rPr>
          <w:noProof w:val="0"/>
        </w:rPr>
        <w:t xml:space="preserve">Inclusive Education </w:t>
      </w:r>
    </w:p>
    <w:p w14:paraId="26D86B0A" w14:textId="77777777" w:rsidR="00E141E6" w:rsidRPr="00DA2128" w:rsidRDefault="00E141E6" w:rsidP="00A937C6">
      <w:pPr>
        <w:spacing w:line="240" w:lineRule="auto"/>
        <w:rPr>
          <w:sz w:val="22"/>
          <w:szCs w:val="22"/>
        </w:rPr>
      </w:pPr>
      <w:r w:rsidRPr="00DA2128">
        <w:rPr>
          <w:sz w:val="22"/>
          <w:szCs w:val="22"/>
        </w:rPr>
        <w:t>The theme Inclusive Education brings together student-driven proposals that aim to transform higher education into a more accessible, equitable, and emotionally supportive environment. The ideas are organised into two sub-themes:</w:t>
      </w:r>
    </w:p>
    <w:p w14:paraId="578F3686" w14:textId="77777777" w:rsidR="00E141E6" w:rsidRPr="00DA2128" w:rsidRDefault="00E141E6" w:rsidP="00A937C6">
      <w:pPr>
        <w:spacing w:line="240" w:lineRule="auto"/>
        <w:rPr>
          <w:sz w:val="22"/>
          <w:szCs w:val="22"/>
        </w:rPr>
      </w:pPr>
      <w:r w:rsidRPr="00DA2128">
        <w:rPr>
          <w:sz w:val="22"/>
          <w:szCs w:val="22"/>
        </w:rPr>
        <w:t>• Inclusivity and Accessibility: These initiatives focus on reducing structural barriers and improving access to learning for all students regardless of background or ability.</w:t>
      </w:r>
    </w:p>
    <w:p w14:paraId="2C2B8EFE" w14:textId="77777777" w:rsidR="00E141E6" w:rsidRPr="00DA2128" w:rsidRDefault="00E141E6" w:rsidP="00A937C6">
      <w:pPr>
        <w:spacing w:line="240" w:lineRule="auto"/>
        <w:rPr>
          <w:sz w:val="22"/>
          <w:szCs w:val="22"/>
        </w:rPr>
      </w:pPr>
      <w:r w:rsidRPr="00DA2128">
        <w:rPr>
          <w:sz w:val="22"/>
          <w:szCs w:val="22"/>
        </w:rPr>
        <w:t>• Empathy and Experiential Learning: These proposals use emotional and participatory approaches, such as storytelling, simulation, and shared reflection, to foster understanding and inclusion at a deeper, human level.</w:t>
      </w:r>
    </w:p>
    <w:p w14:paraId="1E1977B9" w14:textId="77777777" w:rsidR="00E141E6" w:rsidRPr="00DA2128" w:rsidRDefault="00E141E6" w:rsidP="00A937C6">
      <w:pPr>
        <w:spacing w:line="240" w:lineRule="auto"/>
        <w:rPr>
          <w:sz w:val="22"/>
          <w:szCs w:val="22"/>
        </w:rPr>
      </w:pPr>
      <w:r w:rsidRPr="00DA2128">
        <w:rPr>
          <w:sz w:val="22"/>
          <w:szCs w:val="22"/>
        </w:rPr>
        <w:t>Together, these contributions reflect a holistic vision: that inclusion in higher education is not only about removing obstacles, but also about building environments where all students feel seen, valued, and empowered to thrive.</w:t>
      </w:r>
    </w:p>
    <w:p w14:paraId="5212B8B1" w14:textId="77777777" w:rsidR="00E141E6" w:rsidRPr="00DA2128" w:rsidRDefault="00E141E6" w:rsidP="00A937C6">
      <w:pPr>
        <w:pStyle w:val="Sub-subheading"/>
        <w:spacing w:line="240" w:lineRule="auto"/>
      </w:pPr>
      <w:r w:rsidRPr="00DA2128">
        <w:t>Inclusivity and accessibility</w:t>
      </w:r>
    </w:p>
    <w:p w14:paraId="334438E4" w14:textId="77777777" w:rsidR="00E141E6" w:rsidRPr="00DA2128" w:rsidRDefault="00E141E6" w:rsidP="00A937C6">
      <w:pPr>
        <w:spacing w:line="240" w:lineRule="auto"/>
        <w:rPr>
          <w:sz w:val="22"/>
          <w:szCs w:val="22"/>
        </w:rPr>
      </w:pPr>
      <w:r w:rsidRPr="00DA2128">
        <w:rPr>
          <w:sz w:val="22"/>
          <w:szCs w:val="22"/>
        </w:rPr>
        <w:t>During the Imagine/IDEATE workshops, student groups developed a range of initiatives addressing barriers to participation in higher education caused by disability, socio-economic status, language, geography, and mental health. These proposals reflect a shared commitment to ensuring that all students regardless of background or ability, can access and engage meaningfully with academic life.</w:t>
      </w:r>
    </w:p>
    <w:p w14:paraId="5B474D75" w14:textId="77777777" w:rsidR="00E141E6" w:rsidRPr="00DA2128" w:rsidRDefault="00E141E6" w:rsidP="00A937C6">
      <w:pPr>
        <w:spacing w:line="240" w:lineRule="auto"/>
        <w:rPr>
          <w:sz w:val="22"/>
          <w:szCs w:val="22"/>
        </w:rPr>
      </w:pPr>
      <w:r w:rsidRPr="00DA2128">
        <w:rPr>
          <w:sz w:val="22"/>
          <w:szCs w:val="22"/>
        </w:rPr>
        <w:t>At UNIFE, several concepts addressed technological barriers. Team 4 proposed An Inclusive App for Deaf Students, a mobile application translating spoken content into sign language and real-time subtitles, aimed at improving communication and inclusion for deaf and hard-of-hearing students. Team 6 recommended the use of Inclusive Digital Textbooks for All, designed with automatic translation and accessibility features to reduce economic and linguistic obstacles in learning.</w:t>
      </w:r>
    </w:p>
    <w:p w14:paraId="5973580B" w14:textId="77777777" w:rsidR="00E141E6" w:rsidRPr="00DA2128" w:rsidRDefault="00E141E6" w:rsidP="00A937C6">
      <w:pPr>
        <w:spacing w:line="240" w:lineRule="auto"/>
        <w:rPr>
          <w:sz w:val="22"/>
          <w:szCs w:val="22"/>
        </w:rPr>
      </w:pPr>
      <w:r w:rsidRPr="00DA2128">
        <w:rPr>
          <w:sz w:val="22"/>
          <w:szCs w:val="22"/>
        </w:rPr>
        <w:t>At HKR inclusivity was addressed through digital community-building. Team 7 introduced HKR Connect, a platform designed for distance learners to overcome isolation by facilitating connections with peers, mentors, and support services. Team 9 proposed Accessible Lectures—structured, oral literature sessions for students with neurodevelopmental conditions, intended to improve comprehension and reduce dropout rates.</w:t>
      </w:r>
    </w:p>
    <w:p w14:paraId="39059655" w14:textId="77777777" w:rsidR="00E141E6" w:rsidRPr="00DA2128" w:rsidRDefault="00E141E6" w:rsidP="00A937C6">
      <w:pPr>
        <w:spacing w:line="240" w:lineRule="auto"/>
        <w:rPr>
          <w:sz w:val="22"/>
          <w:szCs w:val="22"/>
        </w:rPr>
      </w:pPr>
      <w:r w:rsidRPr="00DA2128">
        <w:rPr>
          <w:sz w:val="22"/>
          <w:szCs w:val="22"/>
        </w:rPr>
        <w:lastRenderedPageBreak/>
        <w:t xml:space="preserve">At UPB, Team 2 addressed the issue of grading inequity for international students by proposing Standardised Grading Equivalencies. The aim was to improve academic integration and fairness across exchange programmes by aligning grading systems more transparently. Team 5 proposed the creation of Peer-to-Peer Advice Centres, offering low-barrier academic and emotional support for students, especially those who are anxious, disadvantaged, or unfamiliar with navigating university systems. </w:t>
      </w:r>
    </w:p>
    <w:p w14:paraId="266509C8" w14:textId="77777777" w:rsidR="00E141E6" w:rsidRPr="00DA2128" w:rsidRDefault="00E141E6" w:rsidP="00A937C6">
      <w:pPr>
        <w:spacing w:line="240" w:lineRule="auto"/>
        <w:rPr>
          <w:sz w:val="22"/>
          <w:szCs w:val="22"/>
        </w:rPr>
      </w:pPr>
      <w:r w:rsidRPr="00DA2128">
        <w:rPr>
          <w:sz w:val="22"/>
          <w:szCs w:val="22"/>
        </w:rPr>
        <w:t>At UJD, students identified spatial inequality as a challenge. Team 4 proposed A Shared Space for Students, creating accessible student zones for studying and resting, particularly aimed at commuter students. The initiative responds to the lack of informal yet structured spaces that foster inclusion and well-being.</w:t>
      </w:r>
    </w:p>
    <w:p w14:paraId="0D34FB67" w14:textId="77777777" w:rsidR="00E141E6" w:rsidRPr="00DA2128" w:rsidRDefault="00E141E6" w:rsidP="00A937C6">
      <w:pPr>
        <w:spacing w:line="240" w:lineRule="auto"/>
        <w:rPr>
          <w:sz w:val="22"/>
          <w:szCs w:val="22"/>
        </w:rPr>
      </w:pPr>
      <w:r w:rsidRPr="00DA2128">
        <w:rPr>
          <w:sz w:val="22"/>
          <w:szCs w:val="22"/>
        </w:rPr>
        <w:t>At LMU, Team 2 addressed the exclusion of students with disabilities from campus sports through Promoting Adapted Sports Practices. This involved training instructors and providing equipment to support inclusive physical activity. Team 3 also introduced a Poster Campaign on Menstrual Pain and Precariousness, highlighting invisible barriers affecting marginalised students’ comfort and attendance.</w:t>
      </w:r>
    </w:p>
    <w:p w14:paraId="449D454E" w14:textId="77777777" w:rsidR="00E141E6" w:rsidRPr="00DA2128" w:rsidRDefault="00E141E6" w:rsidP="00A937C6">
      <w:pPr>
        <w:spacing w:line="240" w:lineRule="auto"/>
        <w:rPr>
          <w:sz w:val="22"/>
          <w:szCs w:val="22"/>
        </w:rPr>
      </w:pPr>
      <w:r w:rsidRPr="00DA2128">
        <w:rPr>
          <w:sz w:val="22"/>
          <w:szCs w:val="22"/>
        </w:rPr>
        <w:t>At UNIOS, Team 2 proposed an Anonymous Psychological Support Platform, offering accessible mental health resources without stigma. This complements Team 1’s Peer Support Platform, which provides informal assistance in both academic and financial matters, especially critical for first-generation and low-income students.</w:t>
      </w:r>
    </w:p>
    <w:p w14:paraId="6078A597" w14:textId="77777777" w:rsidR="00E141E6" w:rsidRPr="00DA2128" w:rsidRDefault="00E141E6" w:rsidP="00A937C6">
      <w:pPr>
        <w:spacing w:line="240" w:lineRule="auto"/>
        <w:rPr>
          <w:sz w:val="22"/>
          <w:szCs w:val="22"/>
        </w:rPr>
      </w:pPr>
      <w:r w:rsidRPr="00DA2128">
        <w:rPr>
          <w:sz w:val="22"/>
          <w:szCs w:val="22"/>
        </w:rPr>
        <w:t>At VUAS, Team 2 suggested a Latvian Language Course for International Student Integration, aimed at increasing employability and easing social integration. Team 7 proposed establishing an On-Campus Psychologist to address the mental health needs of both local and international students in a timely and accessible way.</w:t>
      </w:r>
    </w:p>
    <w:p w14:paraId="0F756D0C" w14:textId="77777777" w:rsidR="00E141E6" w:rsidRPr="00DA2128" w:rsidRDefault="00E141E6" w:rsidP="00A937C6">
      <w:pPr>
        <w:spacing w:line="240" w:lineRule="auto"/>
        <w:rPr>
          <w:sz w:val="22"/>
          <w:szCs w:val="22"/>
        </w:rPr>
      </w:pPr>
      <w:r w:rsidRPr="00DA2128">
        <w:rPr>
          <w:sz w:val="22"/>
          <w:szCs w:val="22"/>
        </w:rPr>
        <w:t>At NUP, Team 5 addressed the lack of interaction and connection between student groups and departments by proposing a digital solution centred on social media engagement called Bridging Departments Through Social Interaction. Their aim was to strengthen cross-departmental communication and collaboration by creating online platforms that encourage interaction through interactive posts, discussion forums with students and professors, and collaborative games involving mixed-department teams. The solution was designed to broaden students’ learning horizons, promote interdisciplinary dialogue, and foster a more connected and inclusive university environment.</w:t>
      </w:r>
    </w:p>
    <w:p w14:paraId="26E51B03" w14:textId="77777777" w:rsidR="00E141E6" w:rsidRPr="00DA2128" w:rsidRDefault="00E141E6" w:rsidP="00A937C6">
      <w:pPr>
        <w:spacing w:line="240" w:lineRule="auto"/>
        <w:rPr>
          <w:sz w:val="22"/>
          <w:szCs w:val="22"/>
        </w:rPr>
      </w:pPr>
      <w:r w:rsidRPr="00DA2128">
        <w:rPr>
          <w:sz w:val="22"/>
          <w:szCs w:val="22"/>
        </w:rPr>
        <w:t>Finally, at UKLO, inclusivity was approached through systemic advocacy. Team 3 addressed the unequal treatment of Roma children, proposing inclusive education reforms and awareness campaigns to challenge deep-rooted barriers to access and opportunity.</w:t>
      </w:r>
    </w:p>
    <w:p w14:paraId="3E49F7AA" w14:textId="77777777" w:rsidR="00E141E6" w:rsidRPr="00DA2128" w:rsidRDefault="00E141E6" w:rsidP="00A937C6">
      <w:pPr>
        <w:spacing w:line="240" w:lineRule="auto"/>
        <w:rPr>
          <w:sz w:val="22"/>
          <w:szCs w:val="22"/>
        </w:rPr>
      </w:pPr>
      <w:r w:rsidRPr="00DA2128">
        <w:rPr>
          <w:sz w:val="22"/>
          <w:szCs w:val="22"/>
        </w:rPr>
        <w:t>Together, these ideas reveal a shared student-led vision: inclusivity and accessibility must be embedded into the physical, technological, pedagogical, and cultural dimensions of university life to enable all students to participate fully.</w:t>
      </w:r>
    </w:p>
    <w:p w14:paraId="36AF09BA" w14:textId="77777777" w:rsidR="00E141E6" w:rsidRPr="00DA2128" w:rsidRDefault="00E141E6" w:rsidP="00A937C6">
      <w:pPr>
        <w:spacing w:line="240" w:lineRule="auto"/>
        <w:rPr>
          <w:sz w:val="22"/>
          <w:szCs w:val="22"/>
        </w:rPr>
      </w:pPr>
    </w:p>
    <w:p w14:paraId="7414FDA8" w14:textId="77777777" w:rsidR="00E141E6" w:rsidRPr="00DA2128" w:rsidRDefault="00E141E6" w:rsidP="00A937C6">
      <w:pPr>
        <w:pStyle w:val="Sub-subheading"/>
        <w:spacing w:line="240" w:lineRule="auto"/>
      </w:pPr>
      <w:r w:rsidRPr="00DA2128">
        <w:t>Empathy and experiential learning</w:t>
      </w:r>
    </w:p>
    <w:p w14:paraId="6454151C" w14:textId="77777777" w:rsidR="00E141E6" w:rsidRPr="00DA2128" w:rsidRDefault="00E141E6" w:rsidP="00A937C6">
      <w:pPr>
        <w:spacing w:line="240" w:lineRule="auto"/>
        <w:rPr>
          <w:sz w:val="22"/>
          <w:szCs w:val="22"/>
        </w:rPr>
      </w:pPr>
      <w:r w:rsidRPr="00DA2128">
        <w:rPr>
          <w:sz w:val="22"/>
          <w:szCs w:val="22"/>
        </w:rPr>
        <w:t>Several student groups across the COLOURS Alliance developed initiatives designed to foster empathy through direct, emotional, and participatory experiences. These proposals highlight how lived experience and emotional understanding can serve as powerful tools in building more inclusive academic communities.</w:t>
      </w:r>
    </w:p>
    <w:p w14:paraId="08BAAF6A" w14:textId="77777777" w:rsidR="00E141E6" w:rsidRPr="00DA2128" w:rsidRDefault="00E141E6" w:rsidP="00A937C6">
      <w:pPr>
        <w:spacing w:line="240" w:lineRule="auto"/>
        <w:rPr>
          <w:sz w:val="22"/>
          <w:szCs w:val="22"/>
        </w:rPr>
      </w:pPr>
      <w:r w:rsidRPr="00DA2128">
        <w:rPr>
          <w:sz w:val="22"/>
          <w:szCs w:val="22"/>
        </w:rPr>
        <w:t>At LMU, Team 12 proposed A Day in the Life of a Wheelchair User, an experiential activity where students would navigate campus in a wheelchair to simulate the everyday challenges faced by mobility-impaired peers. The initiative aimed to raise awareness through direct physical engagement and personal reflection, helping participants better understand systemic barriers to access.</w:t>
      </w:r>
    </w:p>
    <w:p w14:paraId="7CE8199F" w14:textId="77777777" w:rsidR="00E141E6" w:rsidRPr="00DA2128" w:rsidRDefault="00E141E6" w:rsidP="00A937C6">
      <w:pPr>
        <w:spacing w:line="240" w:lineRule="auto"/>
        <w:rPr>
          <w:sz w:val="22"/>
          <w:szCs w:val="22"/>
        </w:rPr>
      </w:pPr>
      <w:r w:rsidRPr="00DA2128">
        <w:rPr>
          <w:sz w:val="22"/>
          <w:szCs w:val="22"/>
        </w:rPr>
        <w:lastRenderedPageBreak/>
        <w:t>At UCLM, Team 3 introduced Inside Out: Emotion’s School, a workshop series focusing on emotional awareness and management. The sessions were designed to help both students and teachers identify, articulate, and respond to their feelings about diversity, with the goal of reducing discriminatory behaviours that stem from miscommunication or unmanaged emotions. Team 2 proposed Forest of the Brave, a nature-based programme aimed at combating bullying and promoting emotional connection. Through group activities in outdoor settings, participants would engage in trust-building, empathy exercises, and reflective storytelling. The goal was to enhance interpersonal harmony by creating shared experiences outside the classroom environment.</w:t>
      </w:r>
    </w:p>
    <w:p w14:paraId="6F2BD7BA" w14:textId="77777777" w:rsidR="00E141E6" w:rsidRPr="00DA2128" w:rsidRDefault="00E141E6" w:rsidP="00A937C6">
      <w:pPr>
        <w:spacing w:line="240" w:lineRule="auto"/>
        <w:rPr>
          <w:sz w:val="22"/>
          <w:szCs w:val="22"/>
        </w:rPr>
      </w:pPr>
      <w:r w:rsidRPr="00DA2128">
        <w:rPr>
          <w:sz w:val="22"/>
          <w:szCs w:val="22"/>
        </w:rPr>
        <w:t>At UKLO, both Team 1 and Teams 2 addressed the impact of bullying in school enviroments. The first initiative focused on peer-led interventions based on storytelling and collective reflection and the other on the roots, consequenses and solutions regarding bulliyng. By sharing personal narratives and engaging in collaborative problem-solving, students aimed to promote empathy and sustainable behaviour change within school cultures.</w:t>
      </w:r>
    </w:p>
    <w:p w14:paraId="7FFFFB38" w14:textId="77777777" w:rsidR="00E141E6" w:rsidRPr="00DA2128" w:rsidRDefault="00E141E6" w:rsidP="00A937C6">
      <w:pPr>
        <w:spacing w:line="240" w:lineRule="auto"/>
        <w:rPr>
          <w:sz w:val="22"/>
          <w:szCs w:val="22"/>
        </w:rPr>
      </w:pPr>
      <w:r w:rsidRPr="00DA2128">
        <w:rPr>
          <w:sz w:val="22"/>
          <w:szCs w:val="22"/>
        </w:rPr>
        <w:t>At UNIFE, Team 1 developed I Care Lab, a hybrid learning and support environment designed to reduce exclusion of gifted students. It combined creative workshops, psychological support, and peer-led debates. The proposal framed empathy as an interpersonal tool and also as a structural value to be embedded in inclusive pedagogical practices.</w:t>
      </w:r>
    </w:p>
    <w:p w14:paraId="1A558EE7" w14:textId="77777777" w:rsidR="00E141E6" w:rsidRPr="00DA2128" w:rsidRDefault="00E141E6" w:rsidP="00A937C6">
      <w:pPr>
        <w:spacing w:line="240" w:lineRule="auto"/>
        <w:rPr>
          <w:sz w:val="22"/>
          <w:szCs w:val="22"/>
        </w:rPr>
      </w:pPr>
      <w:r w:rsidRPr="00DA2128">
        <w:rPr>
          <w:sz w:val="22"/>
          <w:szCs w:val="22"/>
        </w:rPr>
        <w:t>At NUP, Team 1 addressed the issue of social isolation and discrimination faced by international students by proposing a storytelling-based initiative aimed at cultural integration. Their solution, Cultural Integration through Storytelling, focused on creating podcasts and public interviews where students could voluntarily share their personal experiences with diversity, discrimination, and integration. By raising awareness through student narratives and promoting empathy-building activities, the team aimed to foster understanding, reduce prejudice, and strengthen social connections across cultures within the university community.</w:t>
      </w:r>
    </w:p>
    <w:p w14:paraId="5F57FB9F" w14:textId="77777777" w:rsidR="00E141E6" w:rsidRPr="00DA2128" w:rsidRDefault="00E141E6" w:rsidP="00A937C6">
      <w:pPr>
        <w:spacing w:line="240" w:lineRule="auto"/>
        <w:rPr>
          <w:sz w:val="22"/>
          <w:szCs w:val="22"/>
        </w:rPr>
      </w:pPr>
      <w:r w:rsidRPr="00DA2128">
        <w:rPr>
          <w:sz w:val="22"/>
          <w:szCs w:val="22"/>
        </w:rPr>
        <w:t>Finally, HKR contributed with Team 3’s Inclusive Education concept, which advocated for annual workshops where students would share lived experiences with teachers. The sessions aimed to foster mutual understanding and improve educators' ability to create inclusive learning environments for students facing language, developmental, or socio-economic barriers.</w:t>
      </w:r>
    </w:p>
    <w:p w14:paraId="4D5CFC72" w14:textId="77777777" w:rsidR="00E141E6" w:rsidRPr="00DA2128" w:rsidRDefault="00E141E6" w:rsidP="00A937C6">
      <w:pPr>
        <w:spacing w:line="240" w:lineRule="auto"/>
        <w:rPr>
          <w:sz w:val="22"/>
          <w:szCs w:val="22"/>
        </w:rPr>
      </w:pPr>
      <w:r w:rsidRPr="00DA2128">
        <w:rPr>
          <w:sz w:val="22"/>
          <w:szCs w:val="22"/>
        </w:rPr>
        <w:t>Together, these proposals show how students view empathy not only as a personal quality but as a pedagogical and institutional strategy. Through storytelling, simulation, and shared dialogue, these initiatives aim to build deeper understanding, challenge biases, and create emotionally aware academic environments.</w:t>
      </w:r>
    </w:p>
    <w:p w14:paraId="034D7AA8" w14:textId="77777777" w:rsidR="00E141E6" w:rsidRPr="00DA2128" w:rsidRDefault="00E141E6" w:rsidP="00A937C6">
      <w:pPr>
        <w:spacing w:line="240" w:lineRule="auto"/>
        <w:rPr>
          <w:sz w:val="22"/>
          <w:szCs w:val="22"/>
        </w:rPr>
      </w:pPr>
    </w:p>
    <w:p w14:paraId="4E673F52" w14:textId="77777777" w:rsidR="00E141E6" w:rsidRPr="00DA2128" w:rsidRDefault="00E141E6" w:rsidP="00A937C6">
      <w:pPr>
        <w:pStyle w:val="Subtitle"/>
        <w:spacing w:line="240" w:lineRule="auto"/>
        <w:rPr>
          <w:noProof w:val="0"/>
        </w:rPr>
      </w:pPr>
      <w:r w:rsidRPr="00DA2128">
        <w:rPr>
          <w:noProof w:val="0"/>
        </w:rPr>
        <w:t>Improving EDI with actions</w:t>
      </w:r>
    </w:p>
    <w:p w14:paraId="69F500C9" w14:textId="77777777" w:rsidR="00E141E6" w:rsidRPr="00DA2128" w:rsidRDefault="00E141E6" w:rsidP="00A937C6">
      <w:pPr>
        <w:spacing w:line="240" w:lineRule="auto"/>
        <w:rPr>
          <w:sz w:val="22"/>
          <w:szCs w:val="22"/>
        </w:rPr>
      </w:pPr>
      <w:r w:rsidRPr="00DA2128">
        <w:rPr>
          <w:sz w:val="22"/>
          <w:szCs w:val="22"/>
        </w:rPr>
        <w:t>Students across the COLOURS Alliance underscored the importance of making EDI both visible and actionable within everyday university life. Two prominent strategies emerged from their proposals: using digital innovation to embed inclusion into academic systems, and introducing recognition and training programmes to support and sustain EDI engagement. These initiatives reflect a shared understanding that long-term cultural change requires accessible tools, institutional visibility, and investment in both competence and commitment from students and staff alike.</w:t>
      </w:r>
    </w:p>
    <w:p w14:paraId="772C013F" w14:textId="77777777" w:rsidR="00E141E6" w:rsidRPr="00DA2128" w:rsidRDefault="00E141E6" w:rsidP="00A937C6">
      <w:pPr>
        <w:pStyle w:val="Sub-subheading"/>
        <w:spacing w:line="240" w:lineRule="auto"/>
      </w:pPr>
      <w:r w:rsidRPr="00DA2128">
        <w:t>Digital innovation and visibility of EDI</w:t>
      </w:r>
    </w:p>
    <w:p w14:paraId="6E38D31B" w14:textId="77777777" w:rsidR="00E141E6" w:rsidRPr="00DA2128" w:rsidRDefault="00E141E6" w:rsidP="00A937C6">
      <w:pPr>
        <w:spacing w:line="240" w:lineRule="auto"/>
        <w:rPr>
          <w:sz w:val="22"/>
          <w:szCs w:val="22"/>
        </w:rPr>
      </w:pPr>
      <w:r w:rsidRPr="00DA2128">
        <w:rPr>
          <w:sz w:val="22"/>
          <w:szCs w:val="22"/>
        </w:rPr>
        <w:t xml:space="preserve">Across all different universities, student groups continuously emphasised the importance of proactive communication and incentives to raise awareness of equity, diversity, and inclusion (EDI). This is described as a strategy for increasing motivation in participation and enhancing the visibility of EDI initiatives within academia. A significant number of these initiatives focused on innovative digital solutions designed to improve inclusion and foster a stronger sense of </w:t>
      </w:r>
      <w:r w:rsidRPr="00DA2128">
        <w:rPr>
          <w:sz w:val="22"/>
          <w:szCs w:val="22"/>
        </w:rPr>
        <w:lastRenderedPageBreak/>
        <w:t>belonging. The proposed actions aimed to embed EDI into the everyday operations of university environments through accessible and tech-enabled channels.</w:t>
      </w:r>
    </w:p>
    <w:p w14:paraId="1507B184" w14:textId="77777777" w:rsidR="00E141E6" w:rsidRPr="00DA2128" w:rsidRDefault="00E141E6" w:rsidP="00A937C6">
      <w:pPr>
        <w:spacing w:line="240" w:lineRule="auto"/>
        <w:rPr>
          <w:sz w:val="22"/>
          <w:szCs w:val="22"/>
        </w:rPr>
      </w:pPr>
      <w:r w:rsidRPr="00DA2128">
        <w:rPr>
          <w:sz w:val="22"/>
          <w:szCs w:val="22"/>
        </w:rPr>
        <w:t>At NUP, Team 4 addressed the social exclusion of students with special educational needs and disabilities by proposing an AI-powered educational platform named AI-Powered Inclusive Education for Students with Special Needs. The initiative aims to promote inclusion through personalised learning tools delivered via individual tablets, enabling the platform to assess and adapt to each student’s academic and emotional needs. The solution offers a modern alternative to traditional support systems by leveraging artificial intelligence to create a more inclusive and supportive university environment.</w:t>
      </w:r>
    </w:p>
    <w:p w14:paraId="6331CE6C" w14:textId="77777777" w:rsidR="00E141E6" w:rsidRPr="00DA2128" w:rsidRDefault="00E141E6" w:rsidP="00A937C6">
      <w:pPr>
        <w:spacing w:line="240" w:lineRule="auto"/>
        <w:rPr>
          <w:sz w:val="22"/>
          <w:szCs w:val="22"/>
        </w:rPr>
      </w:pPr>
      <w:r w:rsidRPr="00DA2128">
        <w:rPr>
          <w:sz w:val="22"/>
          <w:szCs w:val="22"/>
        </w:rPr>
        <w:t>At LMU, Team 7 proposed a mobile application titled "EDI Related Services and Events". According to their NABC model, the app would centralise all EDI-related information, including contacts, event calendars, and support services, while also offering an anonymous reporting tool for discriminatory incidents. It was intended for both students and staff and aimed to make EDI resources visible and accessible from the very first day on campus.</w:t>
      </w:r>
    </w:p>
    <w:p w14:paraId="08C8EB4A" w14:textId="77777777" w:rsidR="00E141E6" w:rsidRPr="00DA2128" w:rsidRDefault="00E141E6" w:rsidP="00A937C6">
      <w:pPr>
        <w:spacing w:line="240" w:lineRule="auto"/>
        <w:rPr>
          <w:sz w:val="22"/>
          <w:szCs w:val="22"/>
        </w:rPr>
      </w:pPr>
      <w:r w:rsidRPr="00DA2128">
        <w:rPr>
          <w:sz w:val="22"/>
          <w:szCs w:val="22"/>
        </w:rPr>
        <w:t>At HKR, students proposed an idea titled "HKR Connect", a digital platform focused on supporting distance learning students. The app would serve as a hub where students could meet, network, and access study-related resources, including livestreamed lectures and EDI-relevant content. The goal was to reduce isolation, support remote learners, and provide an inclusive entry point for new students.</w:t>
      </w:r>
    </w:p>
    <w:p w14:paraId="1EF7387F" w14:textId="77777777" w:rsidR="00E141E6" w:rsidRPr="00DA2128" w:rsidRDefault="00E141E6" w:rsidP="00A937C6">
      <w:pPr>
        <w:spacing w:line="240" w:lineRule="auto"/>
        <w:rPr>
          <w:sz w:val="22"/>
          <w:szCs w:val="22"/>
        </w:rPr>
      </w:pPr>
      <w:r w:rsidRPr="00DA2128">
        <w:rPr>
          <w:sz w:val="22"/>
          <w:szCs w:val="22"/>
        </w:rPr>
        <w:t>At UNIOS, Team 5 developed "EDI Awareness Week", an annual visual campaign to promote awareness through thematic events, including panel discussions and workshops. Topics would address unconscious bias, financial inequality, disability inclusion, and gender equality in STEM. The team emphasised that recurring campaigns could create lasting cultural change and foster a more inclusive institutional atmosphere.</w:t>
      </w:r>
    </w:p>
    <w:p w14:paraId="0D3F25F9" w14:textId="77777777" w:rsidR="00E141E6" w:rsidRPr="00DA2128" w:rsidRDefault="00E141E6" w:rsidP="00A937C6">
      <w:pPr>
        <w:spacing w:line="240" w:lineRule="auto"/>
        <w:rPr>
          <w:sz w:val="22"/>
          <w:szCs w:val="22"/>
        </w:rPr>
      </w:pPr>
      <w:r w:rsidRPr="00DA2128">
        <w:rPr>
          <w:sz w:val="22"/>
          <w:szCs w:val="22"/>
        </w:rPr>
        <w:t>At VUAS, students presented an idea about a platform they called Ask and Connect. a digital platform designed to support international students. The platform would allow users to ask questions and schedule meetings with peers or university staff, in both Latvian and English. This initiative sought to reduce language and cultural barriers, especially for those who miss orientation, and to promote a smoother, more inclusive transition into university life.</w:t>
      </w:r>
    </w:p>
    <w:p w14:paraId="4AA08006" w14:textId="77777777" w:rsidR="00E141E6" w:rsidRPr="00DA2128" w:rsidRDefault="00E141E6" w:rsidP="00A937C6">
      <w:pPr>
        <w:spacing w:line="240" w:lineRule="auto"/>
        <w:rPr>
          <w:sz w:val="22"/>
          <w:szCs w:val="22"/>
        </w:rPr>
      </w:pPr>
      <w:r w:rsidRPr="00DA2128">
        <w:rPr>
          <w:sz w:val="22"/>
          <w:szCs w:val="22"/>
        </w:rPr>
        <w:t>At JDU, Team 1 proposed the Compulsory EDI Course, a mandatory educational module on equity, diversity, and inclusion for all students across faculties. Delivered partly online to ensure scalability and accessibility, the course aimed to provide baseline knowledge of EDI principles, discrimination, and student rights. Unlike optional seminars, the compulsory format was intended to guarantee broad awareness and institutionalise inclusion across curricula</w:t>
      </w:r>
    </w:p>
    <w:p w14:paraId="0A5C335C" w14:textId="77777777" w:rsidR="00E141E6" w:rsidRPr="00DA2128" w:rsidRDefault="00E141E6" w:rsidP="00A937C6">
      <w:pPr>
        <w:spacing w:line="240" w:lineRule="auto"/>
        <w:rPr>
          <w:sz w:val="22"/>
          <w:szCs w:val="22"/>
        </w:rPr>
      </w:pPr>
      <w:r w:rsidRPr="00DA2128">
        <w:rPr>
          <w:sz w:val="22"/>
          <w:szCs w:val="22"/>
        </w:rPr>
        <w:t>Finally, at UPB students proposed an idea they called SHEEP – Streaming for Higher Education, Engagement and Participation. This initiative proposed livestreaming lectures, uploading recorded sessions and transcripts, and providing technical support. Aimed at students dealing with illness, work, or commuting challenges, the model offered a flexible alternative to in-person attendance and promoted equal learning opportunities through digital inclusion.</w:t>
      </w:r>
    </w:p>
    <w:p w14:paraId="0E2B0759" w14:textId="77777777" w:rsidR="00E141E6" w:rsidRPr="00DA2128" w:rsidRDefault="00E141E6" w:rsidP="00A937C6">
      <w:pPr>
        <w:spacing w:line="240" w:lineRule="auto"/>
        <w:rPr>
          <w:sz w:val="22"/>
          <w:szCs w:val="22"/>
        </w:rPr>
      </w:pPr>
      <w:r w:rsidRPr="00DA2128">
        <w:rPr>
          <w:sz w:val="22"/>
          <w:szCs w:val="22"/>
        </w:rPr>
        <w:t>Together, these proposals demonstrate a shared understanding among students that institutional culture should be shaped by visible, accessible, and innovative initiatives. Digitalisation in this sense, becomes a strategic tool for inclusion, making abstract EDI principles concrete initiatives across campus environments.</w:t>
      </w:r>
    </w:p>
    <w:p w14:paraId="23C59A48" w14:textId="77777777" w:rsidR="00E141E6" w:rsidRPr="00DA2128" w:rsidRDefault="00E141E6" w:rsidP="00A937C6">
      <w:pPr>
        <w:spacing w:line="240" w:lineRule="auto"/>
        <w:rPr>
          <w:sz w:val="22"/>
          <w:szCs w:val="22"/>
        </w:rPr>
      </w:pPr>
    </w:p>
    <w:p w14:paraId="6EBC716E" w14:textId="77777777" w:rsidR="00E141E6" w:rsidRPr="00DA2128" w:rsidRDefault="00E141E6" w:rsidP="00A937C6">
      <w:pPr>
        <w:spacing w:line="240" w:lineRule="auto"/>
        <w:rPr>
          <w:sz w:val="22"/>
          <w:szCs w:val="22"/>
        </w:rPr>
      </w:pPr>
      <w:r w:rsidRPr="00DA2128">
        <w:rPr>
          <w:sz w:val="22"/>
          <w:szCs w:val="22"/>
        </w:rPr>
        <w:t>Recognition and training programs</w:t>
      </w:r>
    </w:p>
    <w:p w14:paraId="4E58686B" w14:textId="77777777" w:rsidR="00E141E6" w:rsidRPr="00DA2128" w:rsidRDefault="00E141E6" w:rsidP="00A937C6">
      <w:pPr>
        <w:spacing w:line="240" w:lineRule="auto"/>
        <w:rPr>
          <w:sz w:val="22"/>
          <w:szCs w:val="22"/>
        </w:rPr>
      </w:pPr>
      <w:r w:rsidRPr="00DA2128">
        <w:rPr>
          <w:sz w:val="22"/>
          <w:szCs w:val="22"/>
        </w:rPr>
        <w:t>Students across several institutions proposed initiatives that integrate two interlinked strategies for advancing equity, diversity, and inclusion (EDI) in higher education: formal recognition and capacity-building through training. These proposals demonstrate a shared belief that sustainable EDI implementation depends on both rewarding meaningful engagement and equipping both students and staff with the skills, awareness, and competencies needed to foster inclusive academic environments. Recognition, whether symbolic, financial, or academic, serves to legitimise and motivate participation, while training initiatives lay the foundation for structural and cultural transformation.</w:t>
      </w:r>
    </w:p>
    <w:p w14:paraId="30AABA99" w14:textId="77777777" w:rsidR="00E141E6" w:rsidRPr="00DA2128" w:rsidRDefault="00E141E6" w:rsidP="00A937C6">
      <w:pPr>
        <w:spacing w:line="240" w:lineRule="auto"/>
        <w:rPr>
          <w:sz w:val="22"/>
          <w:szCs w:val="22"/>
        </w:rPr>
      </w:pPr>
      <w:r w:rsidRPr="00DA2128">
        <w:rPr>
          <w:sz w:val="22"/>
          <w:szCs w:val="22"/>
        </w:rPr>
        <w:t>At LMU, Team 9 developed a proposal titled “Rewarding University Members Who Commit to EDI”. The concept recommends providing academic credits, certificates, or official commendations to students and staff who actively contribute to EDI initiatives. According to the team’s NABC summary, such recognition would encourage sustained involvement and demonstrate institutional commitment to inclusion.</w:t>
      </w:r>
    </w:p>
    <w:p w14:paraId="20C53E60" w14:textId="77777777" w:rsidR="00E141E6" w:rsidRPr="00DA2128" w:rsidRDefault="00E141E6" w:rsidP="00A937C6">
      <w:pPr>
        <w:spacing w:line="240" w:lineRule="auto"/>
        <w:rPr>
          <w:sz w:val="22"/>
          <w:szCs w:val="22"/>
        </w:rPr>
      </w:pPr>
      <w:r w:rsidRPr="00DA2128">
        <w:rPr>
          <w:sz w:val="22"/>
          <w:szCs w:val="22"/>
        </w:rPr>
        <w:t>At NUP, Team 3 addressed the lack of student motivation to participate in EDI-related activities by proposing an incentive-based approach called Incentive-Based Motivation for EDI Participation. Their solution aimed to increase engagement through recognition and rewards, such as certificates, awards, additional academic credits, and other privileges. Verbal encouragement from faculty was also highlighted as a way to support personal growth. The initiative seeks to foster greater participation, enhance academic performance, and equip students with collaborative and communication skills essential for their future careers.</w:t>
      </w:r>
    </w:p>
    <w:p w14:paraId="49F6A498" w14:textId="77777777" w:rsidR="00E141E6" w:rsidRPr="00DA2128" w:rsidRDefault="00E141E6" w:rsidP="00A937C6">
      <w:pPr>
        <w:spacing w:line="240" w:lineRule="auto"/>
        <w:rPr>
          <w:sz w:val="22"/>
          <w:szCs w:val="22"/>
        </w:rPr>
      </w:pPr>
      <w:r w:rsidRPr="00DA2128">
        <w:rPr>
          <w:sz w:val="22"/>
          <w:szCs w:val="22"/>
        </w:rPr>
        <w:t>At HKR, Team 1 proposed a Mentorship Programme that connects university students with socially excluded youth (ages 15–29) through long-term, tailored mentorships. While supporting young people to re-enter education, mentors gain valuable experience and credentials that strengthen their employability after graduation. The programme includes digital participation and offers financial compensation, making the mentoring role both accessible and professionally rewarding.</w:t>
      </w:r>
    </w:p>
    <w:p w14:paraId="16152C25" w14:textId="77777777" w:rsidR="00E141E6" w:rsidRPr="00DA2128" w:rsidRDefault="00E141E6" w:rsidP="00A937C6">
      <w:pPr>
        <w:spacing w:line="240" w:lineRule="auto"/>
        <w:rPr>
          <w:sz w:val="22"/>
          <w:szCs w:val="22"/>
        </w:rPr>
      </w:pPr>
      <w:r w:rsidRPr="00DA2128">
        <w:rPr>
          <w:sz w:val="22"/>
          <w:szCs w:val="22"/>
        </w:rPr>
        <w:t>At JDU, Team 2 proposed Stereotype-Free Language, a training initiative aimed at raising awareness of how language can reinforce bias. Through workshops targeting both students and staff, participants would develop inclusive communication skills. These could be recognised through certificates, serving as incentives and valuable qualifications for future academic or professional pathways.</w:t>
      </w:r>
    </w:p>
    <w:p w14:paraId="454B4183" w14:textId="77777777" w:rsidR="00E141E6" w:rsidRPr="00DA2128" w:rsidRDefault="00E141E6" w:rsidP="00A937C6">
      <w:pPr>
        <w:spacing w:line="240" w:lineRule="auto"/>
        <w:rPr>
          <w:sz w:val="22"/>
          <w:szCs w:val="22"/>
        </w:rPr>
      </w:pPr>
      <w:r w:rsidRPr="00DA2128">
        <w:rPr>
          <w:sz w:val="22"/>
          <w:szCs w:val="22"/>
        </w:rPr>
        <w:t>At UPB, Team 1 proposed to implement Sufficiently Providing Support, a programme involving mandatory diversity and inclusion training for teaching staff, complemented by regular office hours with professionals for guidance. The goal is to proactively address discrimination, improve classroom safety, and equip faculty with the tools needed to foster inclusive environments. Unlike existing optional training, this initiative is continuous, preventive, and structurally integrated.</w:t>
      </w:r>
    </w:p>
    <w:p w14:paraId="731D0FA9" w14:textId="77777777" w:rsidR="00E141E6" w:rsidRPr="00DA2128" w:rsidRDefault="00E141E6" w:rsidP="00A937C6">
      <w:pPr>
        <w:spacing w:line="240" w:lineRule="auto"/>
        <w:rPr>
          <w:sz w:val="22"/>
          <w:szCs w:val="22"/>
        </w:rPr>
      </w:pPr>
      <w:r w:rsidRPr="00DA2128">
        <w:rPr>
          <w:sz w:val="22"/>
          <w:szCs w:val="22"/>
        </w:rPr>
        <w:t>At UNIOS, Team 3 presented an initiative titled Empathy Workshop for Reducing Prejudice. This workshop engages students in role-play, personal storytelling, and intersectional dialogue in a safe, reflective setting. Co-designed with students, the training aims to reduce unconscious bias and promote inclusive behaviours across campus. Unlike standardised diversity training, this initiative prioritises lived experience and emotional engagement.</w:t>
      </w:r>
    </w:p>
    <w:p w14:paraId="3CEEB4C4" w14:textId="77777777" w:rsidR="00E141E6" w:rsidRPr="00DA2128" w:rsidRDefault="00E141E6" w:rsidP="00A937C6">
      <w:pPr>
        <w:spacing w:line="240" w:lineRule="auto"/>
        <w:rPr>
          <w:sz w:val="22"/>
          <w:szCs w:val="22"/>
        </w:rPr>
      </w:pPr>
      <w:r w:rsidRPr="00DA2128">
        <w:rPr>
          <w:sz w:val="22"/>
          <w:szCs w:val="22"/>
        </w:rPr>
        <w:t>At UNIFE, Team 2 introduced An Inclusive Future for All: Innovative Training for Teachers, a digital training platform designed to support educators working with students with Specific Learning Disorders (SLDs). The platform offers short, targeted modules, including multimedia materials, self-assessment quizzes, podcasts from students with SLDs, and simulations to build empathy and awareness. The training is designed for scalability and flexibility, ensuring accessibility for busy teachers.</w:t>
      </w:r>
    </w:p>
    <w:p w14:paraId="2C998C1C" w14:textId="77777777" w:rsidR="00E141E6" w:rsidRPr="00DA2128" w:rsidRDefault="00E141E6" w:rsidP="00A937C6">
      <w:pPr>
        <w:spacing w:line="240" w:lineRule="auto"/>
        <w:rPr>
          <w:sz w:val="22"/>
          <w:szCs w:val="22"/>
        </w:rPr>
      </w:pPr>
      <w:r w:rsidRPr="00DA2128">
        <w:rPr>
          <w:sz w:val="22"/>
          <w:szCs w:val="22"/>
        </w:rPr>
        <w:t>At VUAS, Team 6 proposed the Average Active Student Scholarship, aimed at recognising students who contribute significantly to university life through extracurricular engagement. Unlike traditional performance-based scholarships, this initiative provides monthly financial support (€100–140) based on level of involvement. A mixed committee of students, staff, and external stakeholders would evaluate applications, thereby promoting an inclusive and holistic definition of student success.</w:t>
      </w:r>
    </w:p>
    <w:p w14:paraId="024DE461" w14:textId="19570517" w:rsidR="002D6A2D" w:rsidRPr="00DA2128" w:rsidRDefault="00E141E6" w:rsidP="00A937C6">
      <w:pPr>
        <w:spacing w:line="240" w:lineRule="auto"/>
        <w:rPr>
          <w:sz w:val="22"/>
          <w:szCs w:val="22"/>
        </w:rPr>
      </w:pPr>
      <w:r w:rsidRPr="00DA2128">
        <w:rPr>
          <w:sz w:val="22"/>
          <w:szCs w:val="22"/>
        </w:rPr>
        <w:t>Collectively, these ideas illustrate a strong student interest in integrating EDI values both into institutional reward structures and into staff and student training programmes. Students not only called for recognition through certificates, scholarships, and transcript notations, but they also emphasised the importance of sustained learning through structured and innovative training. These combined strategies reflect a dual commitment: to incentivise engagement with EDI and to build the capacity necessary to enact inclusive practices. Together, they represent a comprehensive approach to embedding EDI as a visible, valued, and integral part of the academic experience.</w:t>
      </w:r>
    </w:p>
    <w:p w14:paraId="6B6B4E69" w14:textId="77777777" w:rsidR="00A75883" w:rsidRPr="00DA2128" w:rsidRDefault="00A75883" w:rsidP="00A937C6">
      <w:pPr>
        <w:spacing w:line="240" w:lineRule="auto"/>
        <w:rPr>
          <w:sz w:val="22"/>
          <w:szCs w:val="22"/>
        </w:rPr>
      </w:pPr>
    </w:p>
    <w:p w14:paraId="74327023" w14:textId="77777777" w:rsidR="00A22680" w:rsidRPr="00DA2128" w:rsidRDefault="00A22680" w:rsidP="00A937C6">
      <w:pPr>
        <w:pStyle w:val="Subtitle"/>
        <w:spacing w:line="240" w:lineRule="auto"/>
        <w:rPr>
          <w:noProof w:val="0"/>
        </w:rPr>
      </w:pPr>
      <w:r w:rsidRPr="00DA2128">
        <w:rPr>
          <w:noProof w:val="0"/>
        </w:rPr>
        <w:t xml:space="preserve">Summary of the survey – students’ view of the method/workshop </w:t>
      </w:r>
    </w:p>
    <w:p w14:paraId="4E04D3DE" w14:textId="77777777" w:rsidR="00A22680" w:rsidRPr="00DA2128" w:rsidRDefault="00A22680" w:rsidP="00A937C6">
      <w:pPr>
        <w:spacing w:line="240" w:lineRule="auto"/>
        <w:rPr>
          <w:sz w:val="22"/>
          <w:szCs w:val="22"/>
        </w:rPr>
      </w:pPr>
      <w:r w:rsidRPr="00DA2128">
        <w:rPr>
          <w:sz w:val="22"/>
          <w:szCs w:val="22"/>
        </w:rPr>
        <w:t>Evaluation of the Imagine/IDEATE method includes both pre- and post-assessments of students’ self-perceived innovation competencies, capturing key takeaways. The overwhelmingly positive statistical feedback indicates that the method increases students’ awareness of societal challenges and enhances their motivation to contribute to inclusive academic and professional environments by improving their problem-solving skills.</w:t>
      </w:r>
    </w:p>
    <w:p w14:paraId="2A40CDE2" w14:textId="77777777" w:rsidR="00A22680" w:rsidRPr="00DA2128" w:rsidRDefault="00A22680" w:rsidP="00A937C6">
      <w:pPr>
        <w:spacing w:line="240" w:lineRule="auto"/>
        <w:rPr>
          <w:sz w:val="22"/>
          <w:szCs w:val="22"/>
        </w:rPr>
      </w:pPr>
      <w:r w:rsidRPr="00DA2128">
        <w:rPr>
          <w:sz w:val="22"/>
          <w:szCs w:val="22"/>
        </w:rPr>
        <w:t>The section below summarises the open-ended survey responses provided by students who participated in the Imagine/IDEATE workshops across the ten universities. The focus is on synthesising the main lessons students identified as their top three takeaways, alongside their reflections on what they learned unexpectedly. Drawing from a diverse range of experiences, the analysis identifies key areas that highlight the value of the workshops in advancing understanding of Equity, Diversity, and Inclusion (EDI), fostering teamwork and collaboration, enhancing creative problem-solving skills, and empowering action-oriented thinking.</w:t>
      </w:r>
    </w:p>
    <w:p w14:paraId="13270F9A" w14:textId="77777777" w:rsidR="00A22680" w:rsidRPr="00DA2128" w:rsidRDefault="00A22680" w:rsidP="00A937C6">
      <w:pPr>
        <w:spacing w:line="240" w:lineRule="auto"/>
        <w:rPr>
          <w:sz w:val="22"/>
          <w:szCs w:val="22"/>
        </w:rPr>
      </w:pPr>
    </w:p>
    <w:p w14:paraId="5C8E38C5" w14:textId="77777777" w:rsidR="00A22680" w:rsidRPr="00DA2128" w:rsidRDefault="00A22680" w:rsidP="00A937C6">
      <w:pPr>
        <w:pStyle w:val="Sub-subheading"/>
        <w:spacing w:line="240" w:lineRule="auto"/>
      </w:pPr>
      <w:r w:rsidRPr="00DA2128">
        <w:t>Better and broader understanding of EDI concepts</w:t>
      </w:r>
    </w:p>
    <w:p w14:paraId="5724D5C0" w14:textId="77777777" w:rsidR="00A22680" w:rsidRPr="00DA2128" w:rsidRDefault="00A22680" w:rsidP="00A937C6">
      <w:pPr>
        <w:spacing w:line="240" w:lineRule="auto"/>
        <w:rPr>
          <w:sz w:val="22"/>
          <w:szCs w:val="22"/>
        </w:rPr>
      </w:pPr>
      <w:r w:rsidRPr="00DA2128">
        <w:rPr>
          <w:sz w:val="22"/>
          <w:szCs w:val="22"/>
        </w:rPr>
        <w:t xml:space="preserve">One of the strongest themes was the substantial increase in students' understanding of EDI-related issues. Students reported that they gained new insights into equity, diversity, and inclusion, with several participants explicitly stating that it was their first time engaging deeply with these topics. </w:t>
      </w:r>
    </w:p>
    <w:p w14:paraId="3B290E14" w14:textId="77777777" w:rsidR="00A22680" w:rsidRPr="00DA2128" w:rsidRDefault="00A22680" w:rsidP="00A937C6">
      <w:pPr>
        <w:spacing w:line="240" w:lineRule="auto"/>
        <w:rPr>
          <w:sz w:val="22"/>
          <w:szCs w:val="22"/>
        </w:rPr>
      </w:pPr>
      <w:r w:rsidRPr="00DA2128">
        <w:rPr>
          <w:sz w:val="22"/>
          <w:szCs w:val="22"/>
        </w:rPr>
        <w:t>Many respondents mentioned becoming more aware of the differences between equality and equity, while students from LMU and HKR highlighted a deeper comprehension of nuanced concepts. UNIFE and UPB students also reflected on the importance of inclusion, humanity, and solidarity in academic and societal contexts.</w:t>
      </w:r>
    </w:p>
    <w:p w14:paraId="310DDB40" w14:textId="77777777" w:rsidR="00A22680" w:rsidRPr="00DA2128" w:rsidRDefault="00A22680" w:rsidP="00A937C6">
      <w:pPr>
        <w:spacing w:line="240" w:lineRule="auto"/>
        <w:rPr>
          <w:sz w:val="22"/>
          <w:szCs w:val="22"/>
        </w:rPr>
      </w:pPr>
      <w:r w:rsidRPr="00DA2128">
        <w:rPr>
          <w:sz w:val="22"/>
          <w:szCs w:val="22"/>
        </w:rPr>
        <w:t>Several students stressed that the workshop opened their eyes to previously unnoticed barriers and challenges their peers faced, reinforcing empathy and the importance of proactive inclusion efforts. Students from VUAS expressed that exposure to international perspectives and communication with diverse groups further enhanced their EDI literacy.</w:t>
      </w:r>
    </w:p>
    <w:p w14:paraId="7BA0F2C0" w14:textId="77777777" w:rsidR="00A22680" w:rsidRPr="00DA2128" w:rsidRDefault="00A22680" w:rsidP="00A937C6">
      <w:pPr>
        <w:spacing w:line="240" w:lineRule="auto"/>
        <w:rPr>
          <w:sz w:val="22"/>
          <w:szCs w:val="22"/>
        </w:rPr>
      </w:pPr>
      <w:r w:rsidRPr="00DA2128">
        <w:rPr>
          <w:sz w:val="22"/>
          <w:szCs w:val="22"/>
        </w:rPr>
        <w:t>UCLM and UKLO students also gained a new understanding of intersectionality, a concept that helped them better grasp how social identities overlap and shape experiences of marginalisation. Some students from LMU found the workshops to be their first meaningful exposure to inclusion as a transformative value in education.</w:t>
      </w:r>
    </w:p>
    <w:p w14:paraId="688D9B0C" w14:textId="77777777" w:rsidR="00A22680" w:rsidRPr="00DA2128" w:rsidRDefault="00A22680" w:rsidP="00A937C6">
      <w:pPr>
        <w:spacing w:line="240" w:lineRule="auto"/>
        <w:rPr>
          <w:sz w:val="22"/>
          <w:szCs w:val="22"/>
        </w:rPr>
      </w:pPr>
      <w:r w:rsidRPr="00DA2128">
        <w:rPr>
          <w:sz w:val="22"/>
          <w:szCs w:val="22"/>
        </w:rPr>
        <w:t>Overall, the workshops succeeded in laying a stronger conceptual foundation for EDI, empowering students to think critically about systemic issues and the need for active engagement in promoting inclusive environments.</w:t>
      </w:r>
    </w:p>
    <w:p w14:paraId="1B81F966" w14:textId="77777777" w:rsidR="00A22680" w:rsidRPr="00DA2128" w:rsidRDefault="00A22680" w:rsidP="00A937C6">
      <w:pPr>
        <w:spacing w:line="240" w:lineRule="auto"/>
        <w:rPr>
          <w:sz w:val="22"/>
          <w:szCs w:val="22"/>
        </w:rPr>
      </w:pPr>
      <w:r w:rsidRPr="00DA2128">
        <w:rPr>
          <w:sz w:val="22"/>
          <w:szCs w:val="22"/>
        </w:rPr>
        <w:t>Teamwork, collaboration, and social connection</w:t>
      </w:r>
    </w:p>
    <w:p w14:paraId="64496FF4" w14:textId="77777777" w:rsidR="00A22680" w:rsidRPr="00DA2128" w:rsidRDefault="00A22680" w:rsidP="00A937C6">
      <w:pPr>
        <w:spacing w:line="240" w:lineRule="auto"/>
        <w:rPr>
          <w:sz w:val="22"/>
          <w:szCs w:val="22"/>
        </w:rPr>
      </w:pPr>
      <w:r w:rsidRPr="00DA2128">
        <w:rPr>
          <w:sz w:val="22"/>
          <w:szCs w:val="22"/>
        </w:rPr>
        <w:t xml:space="preserve">Across all universities, students consistently cited teamwork, group work, and collaboration as major learning points. Many appreciated learning how to collaborate effectively, respect differing opinions, and combine diverse ideas to reach consensus </w:t>
      </w:r>
    </w:p>
    <w:p w14:paraId="7058E2CB" w14:textId="77777777" w:rsidR="00A22680" w:rsidRPr="00DA2128" w:rsidRDefault="00A22680" w:rsidP="00A937C6">
      <w:pPr>
        <w:spacing w:line="240" w:lineRule="auto"/>
        <w:rPr>
          <w:sz w:val="22"/>
          <w:szCs w:val="22"/>
        </w:rPr>
      </w:pPr>
      <w:r w:rsidRPr="00DA2128">
        <w:rPr>
          <w:sz w:val="22"/>
          <w:szCs w:val="22"/>
        </w:rPr>
        <w:t>Students from VUAS and UPB described experiences of forming new social connections, overcoming fears of presenting ideas, and gaining confidence in engaging with unfamiliar peers. Some UPB students explicitly stated that they learned how to socialise and share their voice within group settings for the first time.</w:t>
      </w:r>
    </w:p>
    <w:p w14:paraId="1D0168F4" w14:textId="77777777" w:rsidR="00A22680" w:rsidRPr="00DA2128" w:rsidRDefault="00A22680" w:rsidP="00A937C6">
      <w:pPr>
        <w:spacing w:line="240" w:lineRule="auto"/>
        <w:rPr>
          <w:sz w:val="22"/>
          <w:szCs w:val="22"/>
        </w:rPr>
      </w:pPr>
      <w:r w:rsidRPr="00DA2128">
        <w:rPr>
          <w:sz w:val="22"/>
          <w:szCs w:val="22"/>
        </w:rPr>
        <w:t>Others discovered the value of balancing individual contributions with collective decision-making, which helped them feel more confident and less isolated. Students from different academic years and disciplines were able to bring varied perspectives that enriched the group dynamic in UPB and VUAS.</w:t>
      </w:r>
    </w:p>
    <w:p w14:paraId="5A241EFF" w14:textId="77777777" w:rsidR="00A22680" w:rsidRPr="00DA2128" w:rsidRDefault="00A22680" w:rsidP="00A937C6">
      <w:pPr>
        <w:spacing w:line="240" w:lineRule="auto"/>
        <w:rPr>
          <w:sz w:val="22"/>
          <w:szCs w:val="22"/>
        </w:rPr>
      </w:pPr>
      <w:r w:rsidRPr="00DA2128">
        <w:rPr>
          <w:sz w:val="22"/>
          <w:szCs w:val="22"/>
        </w:rPr>
        <w:t>Notably, several students pointed out that working in diverse teams fostered new friendships and improved their ability to communicate across cultural and disciplinary divides. Students acknowledged the role of collaboration for achieving project outcomes and developing a supportive and inclusive community.</w:t>
      </w:r>
    </w:p>
    <w:p w14:paraId="36C60BFB" w14:textId="77777777" w:rsidR="00A22680" w:rsidRPr="00DA2128" w:rsidRDefault="00A22680" w:rsidP="00A937C6">
      <w:pPr>
        <w:spacing w:line="240" w:lineRule="auto"/>
        <w:rPr>
          <w:sz w:val="22"/>
          <w:szCs w:val="22"/>
        </w:rPr>
      </w:pPr>
    </w:p>
    <w:p w14:paraId="66C672E0" w14:textId="77777777" w:rsidR="00A22680" w:rsidRPr="00DA2128" w:rsidRDefault="00A22680" w:rsidP="00A937C6">
      <w:pPr>
        <w:pStyle w:val="Sub-subheading"/>
        <w:spacing w:line="240" w:lineRule="auto"/>
      </w:pPr>
      <w:r w:rsidRPr="00DA2128">
        <w:t>Development of creative Problem-Solving skills</w:t>
      </w:r>
    </w:p>
    <w:p w14:paraId="6631DB48" w14:textId="77777777" w:rsidR="00A22680" w:rsidRPr="00DA2128" w:rsidRDefault="00A22680" w:rsidP="00A937C6">
      <w:pPr>
        <w:spacing w:line="240" w:lineRule="auto"/>
        <w:rPr>
          <w:sz w:val="22"/>
          <w:szCs w:val="22"/>
        </w:rPr>
      </w:pPr>
      <w:r w:rsidRPr="00DA2128">
        <w:rPr>
          <w:sz w:val="22"/>
          <w:szCs w:val="22"/>
        </w:rPr>
        <w:t>Creativity and innovation emerged as another dominant theme. Students across institutions valued learning structured innovation methods within Design Thinking, such as the "5 Whys" technique, efficient ideation methology, and the NABC model.</w:t>
      </w:r>
    </w:p>
    <w:p w14:paraId="21B6462E" w14:textId="77777777" w:rsidR="00A22680" w:rsidRPr="00DA2128" w:rsidRDefault="00A22680" w:rsidP="00A937C6">
      <w:pPr>
        <w:spacing w:line="240" w:lineRule="auto"/>
        <w:rPr>
          <w:sz w:val="22"/>
          <w:szCs w:val="22"/>
        </w:rPr>
      </w:pPr>
      <w:r w:rsidRPr="00DA2128">
        <w:rPr>
          <w:sz w:val="22"/>
          <w:szCs w:val="22"/>
        </w:rPr>
        <w:t>Participants from HKR and UPB frequently mentioned that brainstorming sessions, problem definition exercises, and reframing techniques helped them think differently, challenge assumptions, and generate actionable ideas. Students discovered how to move from a general complaint to a clearly defined challenge, and then into an idea that could realistically be implemented.</w:t>
      </w:r>
    </w:p>
    <w:p w14:paraId="68AF1133" w14:textId="77777777" w:rsidR="00A22680" w:rsidRPr="00DA2128" w:rsidRDefault="00A22680" w:rsidP="00A937C6">
      <w:pPr>
        <w:spacing w:line="240" w:lineRule="auto"/>
        <w:rPr>
          <w:sz w:val="22"/>
          <w:szCs w:val="22"/>
        </w:rPr>
      </w:pPr>
      <w:r w:rsidRPr="00DA2128">
        <w:rPr>
          <w:sz w:val="22"/>
          <w:szCs w:val="22"/>
        </w:rPr>
        <w:t>Some students from UPB and VUAS noted how starting with simple ideas and focusing on the structure of problems allowed them to unlock new solutions. The ability to map out ideas visually using tools like Miro was also highlighted as an empowering skill, particularly in team settings.</w:t>
      </w:r>
    </w:p>
    <w:p w14:paraId="1F33BE1A" w14:textId="77777777" w:rsidR="00A22680" w:rsidRPr="00DA2128" w:rsidRDefault="00A22680" w:rsidP="00A937C6">
      <w:pPr>
        <w:spacing w:line="240" w:lineRule="auto"/>
        <w:rPr>
          <w:sz w:val="22"/>
          <w:szCs w:val="22"/>
        </w:rPr>
      </w:pPr>
      <w:r w:rsidRPr="00DA2128">
        <w:rPr>
          <w:sz w:val="22"/>
          <w:szCs w:val="22"/>
        </w:rPr>
        <w:t xml:space="preserve">Students from NUP also highlighted the importance of staying in the “problem phase” long enough to really understand the problem, before jumping into solutions. They also pointed out the importance of critical thinking and that reaching a solution does not necessarily mean that the solution needs to be defined and finalised directly, but rather a starting point for something with potential for development. </w:t>
      </w:r>
    </w:p>
    <w:p w14:paraId="1F10A67E" w14:textId="77777777" w:rsidR="00A22680" w:rsidRPr="00DA2128" w:rsidRDefault="00A22680" w:rsidP="00A937C6">
      <w:pPr>
        <w:spacing w:line="240" w:lineRule="auto"/>
        <w:rPr>
          <w:sz w:val="22"/>
          <w:szCs w:val="22"/>
        </w:rPr>
      </w:pPr>
      <w:r w:rsidRPr="00DA2128">
        <w:rPr>
          <w:sz w:val="22"/>
          <w:szCs w:val="22"/>
        </w:rPr>
        <w:t xml:space="preserve">Overall, students discovered their creative potential and learned that innovation is equal about technological advances, social change and inclusivity. </w:t>
      </w:r>
    </w:p>
    <w:p w14:paraId="253FB581" w14:textId="77777777" w:rsidR="007C70ED" w:rsidRPr="00DA2128" w:rsidRDefault="007C70ED" w:rsidP="00A937C6">
      <w:pPr>
        <w:spacing w:line="240" w:lineRule="auto"/>
        <w:rPr>
          <w:sz w:val="22"/>
          <w:szCs w:val="22"/>
        </w:rPr>
      </w:pPr>
    </w:p>
    <w:p w14:paraId="5CCFE858" w14:textId="77777777" w:rsidR="00A22680" w:rsidRPr="00DA2128" w:rsidRDefault="00A22680" w:rsidP="00A937C6">
      <w:pPr>
        <w:pStyle w:val="Sub-subheading"/>
        <w:spacing w:line="240" w:lineRule="auto"/>
      </w:pPr>
      <w:r w:rsidRPr="00DA2128">
        <w:t>Empowerment to act and drive change</w:t>
      </w:r>
    </w:p>
    <w:p w14:paraId="2F115721" w14:textId="77777777" w:rsidR="00A22680" w:rsidRPr="00DA2128" w:rsidRDefault="00A22680" w:rsidP="00A937C6">
      <w:pPr>
        <w:spacing w:line="240" w:lineRule="auto"/>
        <w:rPr>
          <w:sz w:val="22"/>
          <w:szCs w:val="22"/>
        </w:rPr>
      </w:pPr>
      <w:r w:rsidRPr="00DA2128">
        <w:rPr>
          <w:sz w:val="22"/>
          <w:szCs w:val="22"/>
        </w:rPr>
        <w:t>Many students reflected that the workshop experience motivated them to take action and apply what they learned to real-world contexts. At HKR and UPB they mentioned feeling empowered to transform complaints into solutions and recognised the importance of small steps in achieving larger systemic changes.</w:t>
      </w:r>
    </w:p>
    <w:p w14:paraId="47485AB0" w14:textId="77777777" w:rsidR="00A22680" w:rsidRPr="00DA2128" w:rsidRDefault="00A22680" w:rsidP="00A937C6">
      <w:pPr>
        <w:spacing w:line="240" w:lineRule="auto"/>
        <w:rPr>
          <w:sz w:val="22"/>
          <w:szCs w:val="22"/>
        </w:rPr>
      </w:pPr>
      <w:r w:rsidRPr="00DA2128">
        <w:rPr>
          <w:sz w:val="22"/>
          <w:szCs w:val="22"/>
        </w:rPr>
        <w:t>Students frequently spoke about how the experience gave them hope and a sense of agency. For instance, UNIOS students noted that the workshop strengthened their belief in the power of group work and community engagement. Others discovered that even small actions, such as improving communication or encouraging diversity in discussions, can lead to a meaningful impact.</w:t>
      </w:r>
    </w:p>
    <w:p w14:paraId="3DCBF9A4" w14:textId="77777777" w:rsidR="00A22680" w:rsidRPr="00DA2128" w:rsidRDefault="00A22680" w:rsidP="00A937C6">
      <w:pPr>
        <w:spacing w:line="240" w:lineRule="auto"/>
        <w:rPr>
          <w:sz w:val="22"/>
          <w:szCs w:val="22"/>
        </w:rPr>
      </w:pPr>
      <w:r w:rsidRPr="00DA2128">
        <w:rPr>
          <w:sz w:val="22"/>
          <w:szCs w:val="22"/>
        </w:rPr>
        <w:t>The process of identifying problems, working through multiple viewpoints, and arriving at a collaborative solution was eye-opening for many students. Several students from UKLO and UCLM mentioned that they plan to apply these techniques in their studies and future careers, especially in teaching, leadership, and project development.</w:t>
      </w:r>
    </w:p>
    <w:p w14:paraId="5534CB0A" w14:textId="77777777" w:rsidR="00A22680" w:rsidRPr="00DA2128" w:rsidRDefault="00A22680" w:rsidP="00A937C6">
      <w:pPr>
        <w:spacing w:line="240" w:lineRule="auto"/>
        <w:rPr>
          <w:sz w:val="22"/>
          <w:szCs w:val="22"/>
        </w:rPr>
      </w:pPr>
      <w:r w:rsidRPr="00DA2128">
        <w:rPr>
          <w:sz w:val="22"/>
          <w:szCs w:val="22"/>
        </w:rPr>
        <w:t>By combining knowledge acquisition with skill development and social connection, the workshops instilled a sense of agency among participants, reinforcing the principle that meaningful change often starts with individual initiative and collective collaboration. Several participants reflected that they now felt equipped with concrete strategies to develop inclusive and effective solutions.</w:t>
      </w:r>
    </w:p>
    <w:p w14:paraId="0C58E654" w14:textId="77777777" w:rsidR="007C70ED" w:rsidRPr="00DA2128" w:rsidRDefault="007C70ED" w:rsidP="00A937C6">
      <w:pPr>
        <w:spacing w:line="240" w:lineRule="auto"/>
        <w:rPr>
          <w:sz w:val="22"/>
          <w:szCs w:val="22"/>
        </w:rPr>
      </w:pPr>
    </w:p>
    <w:p w14:paraId="655E1CE4" w14:textId="77777777" w:rsidR="00A22680" w:rsidRPr="00DA2128" w:rsidRDefault="00A22680" w:rsidP="00A937C6">
      <w:pPr>
        <w:pStyle w:val="Sub-subheading"/>
        <w:spacing w:line="240" w:lineRule="auto"/>
      </w:pPr>
      <w:r w:rsidRPr="00DA2128">
        <w:t>Unexpected insights and learning moments</w:t>
      </w:r>
    </w:p>
    <w:p w14:paraId="668743FF" w14:textId="77777777" w:rsidR="00A22680" w:rsidRPr="00DA2128" w:rsidRDefault="00A22680" w:rsidP="00A937C6">
      <w:pPr>
        <w:spacing w:line="240" w:lineRule="auto"/>
        <w:rPr>
          <w:sz w:val="22"/>
          <w:szCs w:val="22"/>
        </w:rPr>
      </w:pPr>
      <w:r w:rsidRPr="00DA2128">
        <w:rPr>
          <w:sz w:val="22"/>
          <w:szCs w:val="22"/>
        </w:rPr>
        <w:t>The second open-ended question invited students to reflect on something they learned that they had not expected. A strong theme across responses was surprise at their own creativity and problem-solving abilities. Students frequently mentioned discovering that they were “more innovative than I thought” or that brainstorming could yield real, usable ideas.</w:t>
      </w:r>
    </w:p>
    <w:p w14:paraId="6E48806D" w14:textId="77777777" w:rsidR="00A22680" w:rsidRPr="00DA2128" w:rsidRDefault="00A22680" w:rsidP="00A937C6">
      <w:pPr>
        <w:spacing w:line="240" w:lineRule="auto"/>
        <w:rPr>
          <w:sz w:val="22"/>
          <w:szCs w:val="22"/>
        </w:rPr>
      </w:pPr>
      <w:r w:rsidRPr="00DA2128">
        <w:rPr>
          <w:sz w:val="22"/>
          <w:szCs w:val="22"/>
        </w:rPr>
        <w:t>At UCLM and LMU students highlighted newly acquired knowledge, such as learning about intersectionality, the distinction between equality and equity, and various structured methods of innovation like Design Thinking and NABC. One student at LMU stated that they had no prior knowledge of the COLOURS Alliance or EDI, but left the workshop with both.</w:t>
      </w:r>
    </w:p>
    <w:p w14:paraId="6E73B9ED" w14:textId="77777777" w:rsidR="00A22680" w:rsidRPr="00DA2128" w:rsidRDefault="00A22680" w:rsidP="00A937C6">
      <w:pPr>
        <w:spacing w:line="240" w:lineRule="auto"/>
        <w:rPr>
          <w:sz w:val="22"/>
          <w:szCs w:val="22"/>
        </w:rPr>
      </w:pPr>
      <w:r w:rsidRPr="00DA2128">
        <w:rPr>
          <w:sz w:val="22"/>
          <w:szCs w:val="22"/>
        </w:rPr>
        <w:t>Students at UPB and VUAS mentioned being surprised by the amount of background work required before arriving at a good idea, and by the fact that even simple problems could lead to complex and far-reaching solutions. Some were impressed by how small group dynamics, collaboration, and creativity could trigger systemic insights.</w:t>
      </w:r>
    </w:p>
    <w:p w14:paraId="68B09B54" w14:textId="77777777" w:rsidR="00A22680" w:rsidRPr="00DA2128" w:rsidRDefault="00A22680" w:rsidP="00A937C6">
      <w:pPr>
        <w:spacing w:line="240" w:lineRule="auto"/>
        <w:rPr>
          <w:sz w:val="22"/>
          <w:szCs w:val="22"/>
        </w:rPr>
      </w:pPr>
      <w:r w:rsidRPr="00DA2128">
        <w:rPr>
          <w:sz w:val="22"/>
          <w:szCs w:val="22"/>
        </w:rPr>
        <w:t xml:space="preserve">Some responses also revealed how the process allowed students to connect emotionally with the subject matter. For example, one student at LMU mentioned realising how disabled sport is not just about accessibility but can serve as a tool for breaking down social barriers. Similarly, UPB students noted learning about design strategies that were entirely new to them, such as the NABC method and working backwards from problems. </w:t>
      </w:r>
    </w:p>
    <w:p w14:paraId="5A43C473" w14:textId="77777777" w:rsidR="00A22680" w:rsidRPr="00DA2128" w:rsidRDefault="00A22680" w:rsidP="00A937C6">
      <w:pPr>
        <w:spacing w:line="240" w:lineRule="auto"/>
        <w:rPr>
          <w:sz w:val="22"/>
          <w:szCs w:val="22"/>
        </w:rPr>
      </w:pPr>
      <w:r w:rsidRPr="00DA2128">
        <w:rPr>
          <w:sz w:val="22"/>
          <w:szCs w:val="22"/>
        </w:rPr>
        <w:t>Overall, this question demonstrated that the workshops facilitated had an impact on intellectual growth as well as an unexpected emotional and personal development.</w:t>
      </w:r>
    </w:p>
    <w:p w14:paraId="74D44EEF" w14:textId="77777777" w:rsidR="00A22680" w:rsidRPr="00DA2128" w:rsidRDefault="00A22680" w:rsidP="00A937C6">
      <w:pPr>
        <w:pStyle w:val="Sub-subheading"/>
        <w:spacing w:line="240" w:lineRule="auto"/>
      </w:pPr>
      <w:r w:rsidRPr="00DA2128">
        <w:t>Conclusion</w:t>
      </w:r>
    </w:p>
    <w:p w14:paraId="0FE51AE4" w14:textId="77777777" w:rsidR="00A22680" w:rsidRPr="00DA2128" w:rsidRDefault="00A22680" w:rsidP="00A937C6">
      <w:pPr>
        <w:spacing w:line="240" w:lineRule="auto"/>
        <w:rPr>
          <w:sz w:val="22"/>
          <w:szCs w:val="22"/>
        </w:rPr>
      </w:pPr>
      <w:r w:rsidRPr="00DA2128">
        <w:rPr>
          <w:sz w:val="22"/>
          <w:szCs w:val="22"/>
        </w:rPr>
        <w:t>The open-ended student responses demonstrate that the Imagine/IDEATE workshops were highly effective in achieving multiple outcomes: strengthening EDI understanding, fostering collaboration, enhancing creative problem-solving skills, and empowering students to drive change. In addition, the second question revealed that the workshops were rich in unexpected learning moments, often unlocking hidden confidence, creativity, and empathy. Students left the workshops with both new knowledge and tangible skills, as well as a renewed sense of belonging and purpose.</w:t>
      </w:r>
    </w:p>
    <w:p w14:paraId="63455E3D" w14:textId="77777777" w:rsidR="00A22680" w:rsidRPr="00DA2128" w:rsidRDefault="00A22680" w:rsidP="00A937C6">
      <w:pPr>
        <w:spacing w:line="240" w:lineRule="auto"/>
        <w:rPr>
          <w:sz w:val="22"/>
          <w:szCs w:val="22"/>
        </w:rPr>
      </w:pPr>
    </w:p>
    <w:p w14:paraId="773D39F3" w14:textId="77777777" w:rsidR="00A22680" w:rsidRPr="00DA2128" w:rsidRDefault="00A22680" w:rsidP="00A937C6">
      <w:pPr>
        <w:pStyle w:val="Subtitle"/>
        <w:spacing w:line="240" w:lineRule="auto"/>
        <w:rPr>
          <w:noProof w:val="0"/>
        </w:rPr>
      </w:pPr>
      <w:r w:rsidRPr="00DA2128">
        <w:rPr>
          <w:noProof w:val="0"/>
        </w:rPr>
        <w:t>Summary of the EDI Officers' and facilitators' reflections on EDI as the topic of workshops</w:t>
      </w:r>
    </w:p>
    <w:p w14:paraId="02E51FC9" w14:textId="77777777" w:rsidR="00A22680" w:rsidRPr="00DA2128" w:rsidRDefault="00A22680" w:rsidP="00A937C6">
      <w:pPr>
        <w:spacing w:line="240" w:lineRule="auto"/>
        <w:rPr>
          <w:sz w:val="22"/>
          <w:szCs w:val="22"/>
        </w:rPr>
      </w:pPr>
      <w:r w:rsidRPr="00DA2128">
        <w:rPr>
          <w:sz w:val="22"/>
          <w:szCs w:val="22"/>
        </w:rPr>
        <w:t>This section below summarises the reflections on EDI (Equity, Diversity, and Inclusion) as a topic during the Imagine/IDEATE workshops submitted by EDI Officers and facilitators across the ten universities. Drawing from a wide range of institutional contexts, the analysis identifies major patterns of growth, highlights key differences, and offers insight into challenges and opportunities for developing EDI initiatives within Work Package 5 (WP5) and in the COLOURS alliance as a whole. The reflections have been examined to identify common threads and divergences, ensuring that each university's authentic voice is acknowledged by referencing their respective initials. The analysis is organised into four overarching themes that emerged most prominently across the data.</w:t>
      </w:r>
    </w:p>
    <w:p w14:paraId="2B0102EA" w14:textId="77777777" w:rsidR="00A22680" w:rsidRPr="00DA2128" w:rsidRDefault="00A22680" w:rsidP="00A937C6">
      <w:pPr>
        <w:spacing w:line="240" w:lineRule="auto"/>
        <w:rPr>
          <w:sz w:val="22"/>
          <w:szCs w:val="22"/>
        </w:rPr>
      </w:pPr>
    </w:p>
    <w:p w14:paraId="60D99AE2" w14:textId="77777777" w:rsidR="00A22680" w:rsidRPr="00DA2128" w:rsidRDefault="00A22680" w:rsidP="00A937C6">
      <w:pPr>
        <w:pStyle w:val="Sub-subheading"/>
        <w:spacing w:line="240" w:lineRule="auto"/>
      </w:pPr>
      <w:r w:rsidRPr="00DA2128">
        <w:t>Deepening EDI understanding from awareness to action</w:t>
      </w:r>
    </w:p>
    <w:p w14:paraId="1717B2B6" w14:textId="77777777" w:rsidR="00A22680" w:rsidRPr="00DA2128" w:rsidRDefault="00A22680" w:rsidP="00A937C6">
      <w:pPr>
        <w:spacing w:line="240" w:lineRule="auto"/>
        <w:rPr>
          <w:sz w:val="22"/>
          <w:szCs w:val="22"/>
        </w:rPr>
      </w:pPr>
      <w:r w:rsidRPr="00DA2128">
        <w:rPr>
          <w:sz w:val="22"/>
          <w:szCs w:val="22"/>
        </w:rPr>
        <w:t>A clear shift from basic awareness to deeper reflection on EDI principles was evident across all participating universities. Students entered the workshops with varying levels of familiarity, but almost uniformly reported an increased understanding after engaging in discussions and activities.</w:t>
      </w:r>
    </w:p>
    <w:p w14:paraId="032FA518" w14:textId="77777777" w:rsidR="00A22680" w:rsidRPr="00DA2128" w:rsidRDefault="00A22680" w:rsidP="00A937C6">
      <w:pPr>
        <w:spacing w:line="240" w:lineRule="auto"/>
        <w:rPr>
          <w:sz w:val="22"/>
          <w:szCs w:val="22"/>
        </w:rPr>
      </w:pPr>
      <w:r w:rsidRPr="00DA2128">
        <w:rPr>
          <w:sz w:val="22"/>
          <w:szCs w:val="22"/>
        </w:rPr>
        <w:t>For example, UNIOS noted that students initially had only a "general awareness" but through participation "developed a deeper and more personal understanding of EDI”. Similarly, HKR highlighted how students "gained a new understanding of how different perspectives contribute to meaningful solutions," connecting previously abstract EDI concepts to real-world applications.</w:t>
      </w:r>
    </w:p>
    <w:p w14:paraId="55DD4D4E" w14:textId="77777777" w:rsidR="00A22680" w:rsidRPr="00DA2128" w:rsidRDefault="00A22680" w:rsidP="00A937C6">
      <w:pPr>
        <w:spacing w:line="240" w:lineRule="auto"/>
        <w:rPr>
          <w:sz w:val="22"/>
          <w:szCs w:val="22"/>
        </w:rPr>
      </w:pPr>
      <w:r w:rsidRPr="00DA2128">
        <w:rPr>
          <w:sz w:val="22"/>
          <w:szCs w:val="22"/>
        </w:rPr>
        <w:t xml:space="preserve">UPB reported that pre-workshop research assignments—where students explored existing institutional EDI structures—helped frame discussions, leading to a more informed and engaged starting point. In contrast, VUAS reflected that while students demonstrated "basic understanding of EDI," deeper awareness needed further development, particularly around balancing diverse group needs. This was also noted at LMU, where the EDI Officer highlighted how students progressed from initially having limited knowledge about increasing participation in sports for people with disabilities, as they were not disabled themselves, to reflecting on how they can still contribute to creating a more inclusive environment for others. </w:t>
      </w:r>
    </w:p>
    <w:p w14:paraId="25EB7D09" w14:textId="77777777" w:rsidR="00A22680" w:rsidRPr="00DA2128" w:rsidRDefault="00A22680" w:rsidP="00A937C6">
      <w:pPr>
        <w:spacing w:line="240" w:lineRule="auto"/>
        <w:rPr>
          <w:sz w:val="22"/>
          <w:szCs w:val="22"/>
        </w:rPr>
      </w:pPr>
      <w:r w:rsidRPr="00DA2128">
        <w:rPr>
          <w:sz w:val="22"/>
          <w:szCs w:val="22"/>
        </w:rPr>
        <w:t xml:space="preserve">The workshops' hands-on nature, collaborative exercises, and exposure to diverse perspectives enabled a transition from passive reception of EDI information to active, critical engagement. Several universities like UNIFE and UCLM emphasised that students absorbed knowledge and began reflecting strategically on how to apply EDI perspectives in broader contexts. At NUP, facilitators noticed that students showed a growth in knowledge about EDI and that they discussed how it can be applied in both their professional and private lives. </w:t>
      </w:r>
    </w:p>
    <w:p w14:paraId="562888A0" w14:textId="77777777" w:rsidR="00A22680" w:rsidRPr="00DA2128" w:rsidRDefault="00A22680" w:rsidP="00A937C6">
      <w:pPr>
        <w:spacing w:line="240" w:lineRule="auto"/>
        <w:rPr>
          <w:sz w:val="22"/>
          <w:szCs w:val="22"/>
        </w:rPr>
      </w:pPr>
      <w:r w:rsidRPr="00DA2128">
        <w:rPr>
          <w:sz w:val="22"/>
          <w:szCs w:val="22"/>
        </w:rPr>
        <w:t>Overall, this theme shows that while starting points varied, all universities achieved notable deepening of EDI understanding among participants—a strong foundation for future WP5 activities and inclusion implementation.</w:t>
      </w:r>
    </w:p>
    <w:p w14:paraId="716A8AE0" w14:textId="77777777" w:rsidR="007C70ED" w:rsidRPr="00DA2128" w:rsidRDefault="007C70ED" w:rsidP="00A937C6">
      <w:pPr>
        <w:spacing w:line="240" w:lineRule="auto"/>
        <w:rPr>
          <w:sz w:val="22"/>
          <w:szCs w:val="22"/>
        </w:rPr>
      </w:pPr>
    </w:p>
    <w:p w14:paraId="6C0E5177" w14:textId="77777777" w:rsidR="00A22680" w:rsidRPr="00DA2128" w:rsidRDefault="00A22680" w:rsidP="00A937C6">
      <w:pPr>
        <w:spacing w:line="240" w:lineRule="auto"/>
        <w:rPr>
          <w:color w:val="595959" w:themeColor="text1" w:themeTint="A6"/>
          <w:sz w:val="28"/>
          <w:szCs w:val="28"/>
        </w:rPr>
      </w:pPr>
      <w:r w:rsidRPr="00DA2128">
        <w:rPr>
          <w:color w:val="595959" w:themeColor="text1" w:themeTint="A6"/>
          <w:sz w:val="28"/>
          <w:szCs w:val="28"/>
        </w:rPr>
        <w:t>Inclusive innovation and increased creativity</w:t>
      </w:r>
    </w:p>
    <w:p w14:paraId="7C583F48" w14:textId="77777777" w:rsidR="00A22680" w:rsidRPr="00DA2128" w:rsidRDefault="00A22680" w:rsidP="00A937C6">
      <w:pPr>
        <w:spacing w:line="240" w:lineRule="auto"/>
        <w:rPr>
          <w:sz w:val="22"/>
          <w:szCs w:val="22"/>
        </w:rPr>
      </w:pPr>
      <w:r w:rsidRPr="00DA2128">
        <w:rPr>
          <w:sz w:val="22"/>
          <w:szCs w:val="22"/>
        </w:rPr>
        <w:t>Another strong theme was the role of EDI as a catalyst for innovation, creativity, and interdisciplinary collaboration. Many universities reported that embedding EDI thinking into idea generation led to richer, more socially valuable outcomes.</w:t>
      </w:r>
    </w:p>
    <w:p w14:paraId="6080B380" w14:textId="77777777" w:rsidR="00A22680" w:rsidRPr="00DA2128" w:rsidRDefault="00A22680" w:rsidP="00A937C6">
      <w:pPr>
        <w:spacing w:line="240" w:lineRule="auto"/>
        <w:rPr>
          <w:sz w:val="22"/>
          <w:szCs w:val="22"/>
        </w:rPr>
      </w:pPr>
      <w:r w:rsidRPr="00DA2128">
        <w:rPr>
          <w:sz w:val="22"/>
          <w:szCs w:val="22"/>
        </w:rPr>
        <w:t>For instance, HKR described how combining students from Public Health Science and Behavioural Science backgrounds "enriched the discussions" and "underscored the importance of interdisciplinary perspectives in EDI work." Students appreciated that creativity was actively encouraged, allowing "no idea [to be] too wild" before refining concepts.</w:t>
      </w:r>
    </w:p>
    <w:p w14:paraId="44732990" w14:textId="77777777" w:rsidR="00A22680" w:rsidRPr="00DA2128" w:rsidRDefault="00A22680" w:rsidP="00A937C6">
      <w:pPr>
        <w:spacing w:line="240" w:lineRule="auto"/>
        <w:rPr>
          <w:sz w:val="22"/>
          <w:szCs w:val="22"/>
        </w:rPr>
      </w:pPr>
      <w:r w:rsidRPr="00DA2128">
        <w:rPr>
          <w:sz w:val="22"/>
          <w:szCs w:val="22"/>
        </w:rPr>
        <w:t>Similarly, UKLO observed that the Imagine/IDEATE methodology encouraged "open dialogue, creativity, and critical thinking" among participants, resulting in a "refreshing form of collaboration" that was both dynamic and inclusive.</w:t>
      </w:r>
    </w:p>
    <w:p w14:paraId="110E6104" w14:textId="77777777" w:rsidR="00A22680" w:rsidRPr="00DA2128" w:rsidRDefault="00A22680" w:rsidP="00A937C6">
      <w:pPr>
        <w:spacing w:line="240" w:lineRule="auto"/>
        <w:rPr>
          <w:sz w:val="22"/>
          <w:szCs w:val="22"/>
        </w:rPr>
      </w:pPr>
      <w:r w:rsidRPr="00DA2128">
        <w:rPr>
          <w:sz w:val="22"/>
          <w:szCs w:val="22"/>
        </w:rPr>
        <w:t>UPB noted that the diverse academic backgrounds of participants "facilitated good exchanges within the groups," anticipating the needs of different student communities in their idea development. Importantly, students collaborated and did so with a visible EDI lens — integrating considerations of mental health, accessibility, cultural barriers, and social belonging into their solutions. For example, UCLM noted practical approaches like cooking and outdoor activities that aimed to blend emotional intelligence and cultural diversity promotion.</w:t>
      </w:r>
    </w:p>
    <w:p w14:paraId="6FAC98E9" w14:textId="77777777" w:rsidR="00A22680" w:rsidRPr="00DA2128" w:rsidRDefault="00A22680" w:rsidP="00A937C6">
      <w:pPr>
        <w:spacing w:line="240" w:lineRule="auto"/>
        <w:rPr>
          <w:sz w:val="22"/>
          <w:szCs w:val="22"/>
        </w:rPr>
      </w:pPr>
      <w:r w:rsidRPr="00DA2128">
        <w:rPr>
          <w:sz w:val="22"/>
          <w:szCs w:val="22"/>
        </w:rPr>
        <w:t>This theme highlights that when EDI is intentionally woven into innovation processes, it does increase creativity and significantly enhances it, fostering socially responsible, realistic, and impactful solutions.</w:t>
      </w:r>
    </w:p>
    <w:p w14:paraId="7C37330B" w14:textId="77777777" w:rsidR="007C70ED" w:rsidRPr="00DA2128" w:rsidRDefault="007C70ED" w:rsidP="00A937C6">
      <w:pPr>
        <w:spacing w:line="240" w:lineRule="auto"/>
        <w:rPr>
          <w:sz w:val="22"/>
          <w:szCs w:val="22"/>
        </w:rPr>
      </w:pPr>
    </w:p>
    <w:p w14:paraId="4B732744" w14:textId="77777777" w:rsidR="00A22680" w:rsidRPr="00DA2128" w:rsidRDefault="00A22680" w:rsidP="00A937C6">
      <w:pPr>
        <w:spacing w:line="240" w:lineRule="auto"/>
        <w:rPr>
          <w:color w:val="595959" w:themeColor="text1" w:themeTint="A6"/>
          <w:sz w:val="28"/>
          <w:szCs w:val="28"/>
        </w:rPr>
      </w:pPr>
      <w:r w:rsidRPr="00DA2128">
        <w:rPr>
          <w:color w:val="595959" w:themeColor="text1" w:themeTint="A6"/>
          <w:sz w:val="28"/>
          <w:szCs w:val="28"/>
        </w:rPr>
        <w:t xml:space="preserve">Balancing diverse needs in an equitable way </w:t>
      </w:r>
    </w:p>
    <w:p w14:paraId="1BB64907" w14:textId="77777777" w:rsidR="00A22680" w:rsidRPr="00DA2128" w:rsidRDefault="00A22680" w:rsidP="00A937C6">
      <w:pPr>
        <w:spacing w:line="240" w:lineRule="auto"/>
        <w:rPr>
          <w:sz w:val="22"/>
          <w:szCs w:val="22"/>
        </w:rPr>
      </w:pPr>
      <w:r w:rsidRPr="00DA2128">
        <w:rPr>
          <w:sz w:val="22"/>
          <w:szCs w:val="22"/>
        </w:rPr>
        <w:t xml:space="preserve">Beyond general awareness, several universities reported that participants increased their understanding of diverse needs and existing barriers to reach equity and inclusion, as well as the complexity of addressing those issues. Commonly referred issues included mental health support, language accessibility, and social engagement. </w:t>
      </w:r>
    </w:p>
    <w:p w14:paraId="3B1C458B" w14:textId="77777777" w:rsidR="00A22680" w:rsidRPr="00DA2128" w:rsidRDefault="00A22680" w:rsidP="00A937C6">
      <w:pPr>
        <w:spacing w:line="240" w:lineRule="auto"/>
        <w:rPr>
          <w:sz w:val="22"/>
          <w:szCs w:val="22"/>
        </w:rPr>
      </w:pPr>
      <w:r w:rsidRPr="00DA2128">
        <w:rPr>
          <w:sz w:val="22"/>
          <w:szCs w:val="22"/>
        </w:rPr>
        <w:t xml:space="preserve">For example, VUAS reported a strong focus on mental health and its impact on "academic performance and social engagement," stressing the need for accessible services. They also highlighted linguistic challenges, with international students needing Latvian skills for employability, while Latvian students requested better English proficiency. Such dual perspectives underscore the complexity of inclusive linguistic practice. </w:t>
      </w:r>
    </w:p>
    <w:p w14:paraId="46A4C195" w14:textId="77777777" w:rsidR="00A22680" w:rsidRPr="00DA2128" w:rsidRDefault="00A22680" w:rsidP="00A937C6">
      <w:pPr>
        <w:spacing w:line="240" w:lineRule="auto"/>
        <w:rPr>
          <w:sz w:val="22"/>
          <w:szCs w:val="22"/>
        </w:rPr>
      </w:pPr>
      <w:r w:rsidRPr="00DA2128">
        <w:rPr>
          <w:sz w:val="22"/>
          <w:szCs w:val="22"/>
        </w:rPr>
        <w:t xml:space="preserve">UNIOS reflected that students became more aware of "less visible barriers" like economic background and mental health, acknowledging how intersecting disadvantages can impact university experiences. At the same time, UNIOS noted that students become more aware of their sense of agency. Many of the responses emphasised the realisation that they too have the power to create change and request changes. </w:t>
      </w:r>
    </w:p>
    <w:p w14:paraId="39A35409" w14:textId="77777777" w:rsidR="00A22680" w:rsidRPr="00DA2128" w:rsidRDefault="00A22680" w:rsidP="00A937C6">
      <w:pPr>
        <w:spacing w:line="240" w:lineRule="auto"/>
        <w:rPr>
          <w:sz w:val="22"/>
          <w:szCs w:val="22"/>
        </w:rPr>
      </w:pPr>
      <w:r w:rsidRPr="00DA2128">
        <w:rPr>
          <w:sz w:val="22"/>
          <w:szCs w:val="22"/>
        </w:rPr>
        <w:t xml:space="preserve">At NUP, the workshop helped students reflect on their own experiences and recognise how EDI principles can be applied to real-world contexts, enabling them to identify and begin addressing underlying barriers to inclusion in academic and social environments. Many students also noted that the workshop helped them recognise the importance of EDI in terms of promoting positive change in society. </w:t>
      </w:r>
    </w:p>
    <w:p w14:paraId="49DBAE1E" w14:textId="77777777" w:rsidR="00A22680" w:rsidRPr="00DA2128" w:rsidRDefault="00A22680" w:rsidP="00A937C6">
      <w:pPr>
        <w:spacing w:line="240" w:lineRule="auto"/>
        <w:rPr>
          <w:sz w:val="22"/>
          <w:szCs w:val="22"/>
        </w:rPr>
      </w:pPr>
      <w:r w:rsidRPr="00DA2128">
        <w:rPr>
          <w:sz w:val="22"/>
          <w:szCs w:val="22"/>
        </w:rPr>
        <w:t xml:space="preserve">UPB emphasised students’ sensitivity to ensuring ideas were equitable and feasible by indicating a pragmatic awareness that successful EDI measures must account for real-world constraints. Students discussed the barriers to making ideas feasible in an engaged way. </w:t>
      </w:r>
    </w:p>
    <w:p w14:paraId="0BB38E5E" w14:textId="77777777" w:rsidR="00A22680" w:rsidRPr="00DA2128" w:rsidRDefault="00A22680" w:rsidP="00A937C6">
      <w:pPr>
        <w:spacing w:line="240" w:lineRule="auto"/>
        <w:rPr>
          <w:sz w:val="22"/>
          <w:szCs w:val="22"/>
        </w:rPr>
      </w:pPr>
      <w:r w:rsidRPr="00DA2128">
        <w:rPr>
          <w:sz w:val="22"/>
          <w:szCs w:val="22"/>
        </w:rPr>
        <w:t xml:space="preserve">Challenges also emerged. VUAS pointed out that when addressing one group’s needs, some teams unconsciously overlooked others. This was described as a complexity of the ongoing tension between targeted inclusion and systemic equity. VUAS highlighted the importance of “ongoing discussions, collaborative initiatives, and university support to ensure that solutions are inclusive and beneficial to all students”. </w:t>
      </w:r>
    </w:p>
    <w:p w14:paraId="02695AFC" w14:textId="77777777" w:rsidR="00A22680" w:rsidRPr="00DA2128" w:rsidRDefault="00A22680" w:rsidP="00A937C6">
      <w:pPr>
        <w:spacing w:line="240" w:lineRule="auto"/>
        <w:rPr>
          <w:sz w:val="22"/>
          <w:szCs w:val="22"/>
        </w:rPr>
      </w:pPr>
      <w:r w:rsidRPr="00DA2128">
        <w:rPr>
          <w:sz w:val="22"/>
          <w:szCs w:val="22"/>
        </w:rPr>
        <w:t>In summary, while the workshop increased understanding of barriers to inclusion across the alliance, balancing diverse needs equitably remains an ongoing and complex challenge that we must face and address. As the reflections of EDI Officers and facilitators show, the complexity of different needs is essential to consider when planning the strategic work of EDI and the structure of integrating EDI within the academia and broader.</w:t>
      </w:r>
    </w:p>
    <w:p w14:paraId="2BC88B17" w14:textId="77777777" w:rsidR="007C70ED" w:rsidRPr="00DA2128" w:rsidRDefault="007C70ED" w:rsidP="00A937C6">
      <w:pPr>
        <w:spacing w:line="240" w:lineRule="auto"/>
        <w:rPr>
          <w:sz w:val="22"/>
          <w:szCs w:val="22"/>
        </w:rPr>
      </w:pPr>
    </w:p>
    <w:p w14:paraId="1ED416D1" w14:textId="77777777" w:rsidR="00A22680" w:rsidRPr="00DA2128" w:rsidRDefault="00A22680" w:rsidP="00A937C6">
      <w:pPr>
        <w:spacing w:line="240" w:lineRule="auto"/>
        <w:rPr>
          <w:color w:val="595959" w:themeColor="text1" w:themeTint="A6"/>
          <w:sz w:val="28"/>
          <w:szCs w:val="28"/>
        </w:rPr>
      </w:pPr>
      <w:r w:rsidRPr="00DA2128">
        <w:rPr>
          <w:color w:val="595959" w:themeColor="text1" w:themeTint="A6"/>
          <w:sz w:val="28"/>
          <w:szCs w:val="28"/>
        </w:rPr>
        <w:t xml:space="preserve">Transforming educational practices </w:t>
      </w:r>
    </w:p>
    <w:p w14:paraId="497C1C48" w14:textId="77777777" w:rsidR="00A22680" w:rsidRPr="00DA2128" w:rsidRDefault="00A22680" w:rsidP="00A937C6">
      <w:pPr>
        <w:spacing w:line="240" w:lineRule="auto"/>
        <w:rPr>
          <w:sz w:val="22"/>
          <w:szCs w:val="22"/>
        </w:rPr>
      </w:pPr>
      <w:r w:rsidRPr="00DA2128">
        <w:rPr>
          <w:sz w:val="22"/>
          <w:szCs w:val="22"/>
        </w:rPr>
        <w:t>A transformative insight from the reflections was the recognition that EDI should be developed from relatively short workshops to be systematically embedded into educational practices, ensuring the participation of different groups and meeting their needs.</w:t>
      </w:r>
    </w:p>
    <w:p w14:paraId="3955C428" w14:textId="77777777" w:rsidR="00A22680" w:rsidRPr="00DA2128" w:rsidRDefault="00A22680" w:rsidP="00A937C6">
      <w:pPr>
        <w:spacing w:line="240" w:lineRule="auto"/>
        <w:rPr>
          <w:sz w:val="22"/>
          <w:szCs w:val="22"/>
        </w:rPr>
      </w:pPr>
      <w:r w:rsidRPr="00DA2128">
        <w:rPr>
          <w:sz w:val="22"/>
          <w:szCs w:val="22"/>
        </w:rPr>
        <w:t>UKLO concluded that the Imagine/IDEATE method was so effective that they planned to incorporate it into broader course design, noting it "enriched the learning experience" and strengthened critical thinking skills. Similarly, HKR expressed hope that Design Thinking would be integrated into future curricula, given its success in fostering student-led innovation with an EDI focus.</w:t>
      </w:r>
    </w:p>
    <w:p w14:paraId="2A530FBE" w14:textId="77777777" w:rsidR="00A22680" w:rsidRPr="00DA2128" w:rsidRDefault="00A22680" w:rsidP="00A937C6">
      <w:pPr>
        <w:spacing w:line="240" w:lineRule="auto"/>
        <w:rPr>
          <w:sz w:val="22"/>
          <w:szCs w:val="22"/>
        </w:rPr>
      </w:pPr>
      <w:r w:rsidRPr="00DA2128">
        <w:rPr>
          <w:sz w:val="22"/>
          <w:szCs w:val="22"/>
        </w:rPr>
        <w:t>UNIFE observed that participants moved from personal reflections to strategic thinking about measuring EDI impact, suggesting a growing maturity in understanding the structural aspects of inclusive education. In contrast, VUAS noted that while students engaged with workshops, a deeper and broader integration of EDI concepts into academic life was still needed.</w:t>
      </w:r>
    </w:p>
    <w:p w14:paraId="4F8FC45D" w14:textId="77777777" w:rsidR="00A22680" w:rsidRPr="00DA2128" w:rsidRDefault="00A22680" w:rsidP="00A937C6">
      <w:pPr>
        <w:spacing w:line="240" w:lineRule="auto"/>
        <w:rPr>
          <w:sz w:val="22"/>
          <w:szCs w:val="22"/>
        </w:rPr>
      </w:pPr>
      <w:r w:rsidRPr="00DA2128">
        <w:rPr>
          <w:sz w:val="22"/>
          <w:szCs w:val="22"/>
        </w:rPr>
        <w:t>Through interactive activities and real-life scenarios, the workshop at NUP shifted learning from theoretical discussions to practical application, encouraging students to engage with EDI in meaningful ways. This hands-on approach contributed to transforming educational practices by embedding inclusivity into everyday learning experiences.</w:t>
      </w:r>
    </w:p>
    <w:p w14:paraId="596D038B" w14:textId="77777777" w:rsidR="00A22680" w:rsidRPr="00DA2128" w:rsidRDefault="00A22680" w:rsidP="00A937C6">
      <w:pPr>
        <w:spacing w:line="240" w:lineRule="auto"/>
        <w:rPr>
          <w:sz w:val="22"/>
          <w:szCs w:val="22"/>
        </w:rPr>
      </w:pPr>
      <w:r w:rsidRPr="00DA2128">
        <w:rPr>
          <w:sz w:val="22"/>
          <w:szCs w:val="22"/>
        </w:rPr>
        <w:t>The EDI Officers` and facilitators' reflections across all represented universities demonstrate a significant advancement in EDI literacy, creativity, innovation and critical thinking among students. Students moved from basic awareness to a more complex and active understanding of EDI principles. They identified mental health, language barriers, and social belonging as structural challenges and embraced interdisciplinary collaboration as a powerful tool for inclusive innovation. Notably, many institutions recognised the need to embed EDI principles into broader teaching and learning strategies to ensure sustainable impact.</w:t>
      </w:r>
    </w:p>
    <w:p w14:paraId="462DCA94" w14:textId="77777777" w:rsidR="00A22680" w:rsidRPr="00DA2128" w:rsidRDefault="00A22680" w:rsidP="00A937C6">
      <w:pPr>
        <w:spacing w:line="240" w:lineRule="auto"/>
        <w:rPr>
          <w:sz w:val="22"/>
          <w:szCs w:val="22"/>
        </w:rPr>
      </w:pPr>
      <w:r w:rsidRPr="00DA2128">
        <w:rPr>
          <w:sz w:val="22"/>
          <w:szCs w:val="22"/>
        </w:rPr>
        <w:t xml:space="preserve">While challenges remain, particularly around balancing diverse needs equitably, the foundation laid by the Imagine/IDEATE workshops provides a strong base for ongoing progress within WP5 and beyond. It also provides a comprehensive review of using Imagine/IDEATE as a method to enhance awareness about EDI and develop student-oriented solutions to improve EDI within academia. </w:t>
      </w:r>
    </w:p>
    <w:p w14:paraId="65C17CDC" w14:textId="77777777" w:rsidR="00A22680" w:rsidRPr="00DA2128" w:rsidRDefault="00A22680" w:rsidP="00A937C6">
      <w:pPr>
        <w:spacing w:line="240" w:lineRule="auto"/>
        <w:rPr>
          <w:sz w:val="22"/>
          <w:szCs w:val="22"/>
        </w:rPr>
      </w:pPr>
    </w:p>
    <w:p w14:paraId="4ADFEFBE" w14:textId="77777777" w:rsidR="00A22680" w:rsidRPr="00DA2128" w:rsidRDefault="00A22680" w:rsidP="00A937C6">
      <w:pPr>
        <w:pStyle w:val="Subtitle"/>
        <w:spacing w:line="240" w:lineRule="auto"/>
        <w:rPr>
          <w:noProof w:val="0"/>
        </w:rPr>
      </w:pPr>
      <w:r w:rsidRPr="00DA2128">
        <w:rPr>
          <w:noProof w:val="0"/>
        </w:rPr>
        <w:t>Summary of EDI Officers' and facilitators' reflections from the workshop</w:t>
      </w:r>
    </w:p>
    <w:p w14:paraId="0BFD347A" w14:textId="77777777" w:rsidR="00A22680" w:rsidRPr="00DA2128" w:rsidRDefault="00A22680" w:rsidP="00A937C6">
      <w:pPr>
        <w:spacing w:line="240" w:lineRule="auto"/>
        <w:rPr>
          <w:sz w:val="22"/>
          <w:szCs w:val="22"/>
        </w:rPr>
      </w:pPr>
      <w:r w:rsidRPr="00DA2128">
        <w:rPr>
          <w:sz w:val="22"/>
          <w:szCs w:val="22"/>
        </w:rPr>
        <w:t>Unlike the previous analysis, which focused on the reflections of EDI Officers and facilitators regarding students’ work and understanding of EDI during the Imagine/IDEATE workshop, this analysis summarises the perspectives of the overall delivery of the workshops. The analysis of this section identified key patterns, highlighted institutional differences, and drew out challenges and opportunities for improving the design of future workshops. Each reflection is referenced using university initials to ensure clear attribution. The analysis is organised around four core areas, followed by a dedicated section containing feedback for enhancing future workshops.</w:t>
      </w:r>
    </w:p>
    <w:p w14:paraId="0BD2E7BE" w14:textId="77777777" w:rsidR="00A22680" w:rsidRPr="00DA2128" w:rsidRDefault="00A22680" w:rsidP="00A937C6">
      <w:pPr>
        <w:spacing w:line="240" w:lineRule="auto"/>
        <w:rPr>
          <w:sz w:val="22"/>
          <w:szCs w:val="22"/>
        </w:rPr>
      </w:pPr>
    </w:p>
    <w:p w14:paraId="35111913" w14:textId="77777777" w:rsidR="00A22680" w:rsidRPr="00DA2128" w:rsidRDefault="00A22680" w:rsidP="00A937C6">
      <w:pPr>
        <w:spacing w:line="240" w:lineRule="auto"/>
        <w:rPr>
          <w:color w:val="595959" w:themeColor="text1" w:themeTint="A6"/>
          <w:sz w:val="28"/>
          <w:szCs w:val="28"/>
        </w:rPr>
      </w:pPr>
      <w:r w:rsidRPr="00DA2128">
        <w:rPr>
          <w:color w:val="595959" w:themeColor="text1" w:themeTint="A6"/>
          <w:sz w:val="28"/>
          <w:szCs w:val="28"/>
        </w:rPr>
        <w:t>Student Empowerment through Participatory Learning</w:t>
      </w:r>
    </w:p>
    <w:p w14:paraId="6BFBB874" w14:textId="77777777" w:rsidR="00A22680" w:rsidRPr="00DA2128" w:rsidRDefault="00A22680" w:rsidP="00A937C6">
      <w:pPr>
        <w:spacing w:line="240" w:lineRule="auto"/>
        <w:rPr>
          <w:sz w:val="22"/>
          <w:szCs w:val="22"/>
        </w:rPr>
      </w:pPr>
      <w:r w:rsidRPr="00DA2128">
        <w:rPr>
          <w:sz w:val="22"/>
          <w:szCs w:val="22"/>
        </w:rPr>
        <w:t>A major theme emerging from the workshop reflections is the empowering effect of participatory, student-led learning approaches. Facilitators consistently reported that giving students ownership over discussions and problem-solving processes led to increased engagement, creativity, and confidence.</w:t>
      </w:r>
    </w:p>
    <w:p w14:paraId="32E03014" w14:textId="77777777" w:rsidR="00A22680" w:rsidRPr="00DA2128" w:rsidRDefault="00A22680" w:rsidP="00A937C6">
      <w:pPr>
        <w:spacing w:line="240" w:lineRule="auto"/>
        <w:rPr>
          <w:sz w:val="22"/>
          <w:szCs w:val="22"/>
        </w:rPr>
      </w:pPr>
      <w:r w:rsidRPr="00DA2128">
        <w:rPr>
          <w:sz w:val="22"/>
          <w:szCs w:val="22"/>
        </w:rPr>
        <w:t>For example, UNIOS highlighted that students' engagement "quickly deepened once they were given ownership of the process," fostering collaboration, empathy, and critical thinking. HKR similarly emphasised how students, initially unfamiliar with Design Thinking, adapted and thrived when given space to explore ideas freely and iteratively. At many universities, like LMU, NUP, and UNIFE, for example, the facilitators noticed that the safe and participatory environment allowed students to express themselves, develop critical thinking, and recognise their role in shaping inclusive practices.</w:t>
      </w:r>
    </w:p>
    <w:p w14:paraId="5DA14582" w14:textId="77777777" w:rsidR="00A22680" w:rsidRPr="00DA2128" w:rsidRDefault="00A22680" w:rsidP="00A937C6">
      <w:pPr>
        <w:spacing w:line="240" w:lineRule="auto"/>
        <w:rPr>
          <w:sz w:val="22"/>
          <w:szCs w:val="22"/>
        </w:rPr>
      </w:pPr>
      <w:r w:rsidRPr="00DA2128">
        <w:rPr>
          <w:sz w:val="22"/>
          <w:szCs w:val="22"/>
        </w:rPr>
        <w:t>Similarly, UKLO noted that the Imagine/IDEATE method "encouraged participation, creativity, and critical thinking" by creating an inclusive environment where students’ voices were valued.</w:t>
      </w:r>
    </w:p>
    <w:p w14:paraId="0EF468B1" w14:textId="77777777" w:rsidR="00A22680" w:rsidRPr="00DA2128" w:rsidRDefault="00A22680" w:rsidP="00A937C6">
      <w:pPr>
        <w:spacing w:line="240" w:lineRule="auto"/>
        <w:rPr>
          <w:sz w:val="22"/>
          <w:szCs w:val="22"/>
        </w:rPr>
      </w:pPr>
      <w:r w:rsidRPr="00DA2128">
        <w:rPr>
          <w:sz w:val="22"/>
          <w:szCs w:val="22"/>
        </w:rPr>
        <w:t>In several cases, facilitators reflected that participatory methods allowed students to move beyond theoretical understanding to practical application of EDI principles. Empowerment, ownership, and active involvement were clearly central drivers of successful engagement across the workshops.</w:t>
      </w:r>
    </w:p>
    <w:p w14:paraId="57F4E7F4" w14:textId="77777777" w:rsidR="007C70ED" w:rsidRPr="00DA2128" w:rsidRDefault="007C70ED" w:rsidP="00A937C6">
      <w:pPr>
        <w:spacing w:line="240" w:lineRule="auto"/>
        <w:rPr>
          <w:sz w:val="22"/>
          <w:szCs w:val="22"/>
        </w:rPr>
      </w:pPr>
    </w:p>
    <w:p w14:paraId="51610752" w14:textId="77777777" w:rsidR="00A22680" w:rsidRPr="00DA2128" w:rsidRDefault="00A22680" w:rsidP="00A937C6">
      <w:pPr>
        <w:spacing w:line="240" w:lineRule="auto"/>
        <w:rPr>
          <w:color w:val="595959" w:themeColor="text1" w:themeTint="A6"/>
          <w:sz w:val="28"/>
          <w:szCs w:val="28"/>
        </w:rPr>
      </w:pPr>
      <w:r w:rsidRPr="00DA2128">
        <w:rPr>
          <w:color w:val="595959" w:themeColor="text1" w:themeTint="A6"/>
          <w:sz w:val="28"/>
          <w:szCs w:val="28"/>
        </w:rPr>
        <w:t>The power and challenges of interdisciplinary collaboration</w:t>
      </w:r>
    </w:p>
    <w:p w14:paraId="1262B766" w14:textId="77777777" w:rsidR="00A22680" w:rsidRPr="00DA2128" w:rsidRDefault="00A22680" w:rsidP="00A937C6">
      <w:pPr>
        <w:spacing w:line="240" w:lineRule="auto"/>
        <w:rPr>
          <w:sz w:val="22"/>
          <w:szCs w:val="22"/>
        </w:rPr>
      </w:pPr>
      <w:r w:rsidRPr="00DA2128">
        <w:rPr>
          <w:sz w:val="22"/>
          <w:szCs w:val="22"/>
        </w:rPr>
        <w:t>Many reflections pointed to interdisciplinary collaboration as a significant strength of the workshop model. Bringing students from diverse academic backgrounds together enriched the discussions and allowed for broader perspectives on EDI-related challenges.</w:t>
      </w:r>
    </w:p>
    <w:p w14:paraId="70227907" w14:textId="77777777" w:rsidR="00A22680" w:rsidRPr="00DA2128" w:rsidRDefault="00A22680" w:rsidP="00A937C6">
      <w:pPr>
        <w:spacing w:line="240" w:lineRule="auto"/>
        <w:rPr>
          <w:sz w:val="22"/>
          <w:szCs w:val="22"/>
        </w:rPr>
      </w:pPr>
      <w:r w:rsidRPr="00DA2128">
        <w:rPr>
          <w:sz w:val="22"/>
          <w:szCs w:val="22"/>
        </w:rPr>
        <w:t>HKR praised the combination of Public Health and Behavioural Science students, stating that this "diversity of perspectives significantly enriched the group discussions and solutions." UCLM noted that although participation was high, future workshops could further benefit from an even wider range of academic disciplines to maximise the richness of dialogue and idea generation.</w:t>
      </w:r>
    </w:p>
    <w:p w14:paraId="7589EB7D" w14:textId="77777777" w:rsidR="00A22680" w:rsidRPr="00DA2128" w:rsidRDefault="00A22680" w:rsidP="00A937C6">
      <w:pPr>
        <w:spacing w:line="240" w:lineRule="auto"/>
        <w:rPr>
          <w:sz w:val="22"/>
          <w:szCs w:val="22"/>
        </w:rPr>
      </w:pPr>
      <w:r w:rsidRPr="00DA2128">
        <w:rPr>
          <w:sz w:val="22"/>
          <w:szCs w:val="22"/>
        </w:rPr>
        <w:t>VUAS observed that diverse groups offered "unique perspectives," but also warned that sometimes students focused narrowly on their own field or specific group challenges without considering broader impacts.</w:t>
      </w:r>
    </w:p>
    <w:p w14:paraId="471C149E" w14:textId="77777777" w:rsidR="00A22680" w:rsidRPr="00DA2128" w:rsidRDefault="00A22680" w:rsidP="00A937C6">
      <w:pPr>
        <w:spacing w:line="240" w:lineRule="auto"/>
        <w:rPr>
          <w:sz w:val="22"/>
          <w:szCs w:val="22"/>
        </w:rPr>
      </w:pPr>
      <w:r w:rsidRPr="00DA2128">
        <w:rPr>
          <w:sz w:val="22"/>
          <w:szCs w:val="22"/>
        </w:rPr>
        <w:t>While interdisciplinary collaboration strengthened outcomes overall, the reflections suggest it also requires careful facilitation to ensure balance, inclusivity, and cross-disciplinary learning within groups.</w:t>
      </w:r>
    </w:p>
    <w:p w14:paraId="1A7542C2" w14:textId="77777777" w:rsidR="007C70ED" w:rsidRPr="00DA2128" w:rsidRDefault="007C70ED" w:rsidP="00A937C6">
      <w:pPr>
        <w:spacing w:line="240" w:lineRule="auto"/>
        <w:rPr>
          <w:color w:val="595959" w:themeColor="text1" w:themeTint="A6"/>
          <w:sz w:val="28"/>
          <w:szCs w:val="28"/>
        </w:rPr>
      </w:pPr>
    </w:p>
    <w:p w14:paraId="1B4FD521" w14:textId="766BA3BB" w:rsidR="00A22680" w:rsidRPr="00DA2128" w:rsidRDefault="00A22680" w:rsidP="00A937C6">
      <w:pPr>
        <w:spacing w:line="240" w:lineRule="auto"/>
        <w:rPr>
          <w:color w:val="595959" w:themeColor="text1" w:themeTint="A6"/>
          <w:sz w:val="28"/>
          <w:szCs w:val="28"/>
        </w:rPr>
      </w:pPr>
      <w:r w:rsidRPr="00DA2128">
        <w:rPr>
          <w:color w:val="595959" w:themeColor="text1" w:themeTint="A6"/>
          <w:sz w:val="28"/>
          <w:szCs w:val="28"/>
        </w:rPr>
        <w:t>Addressing practical limitations in innovation and feasibility</w:t>
      </w:r>
    </w:p>
    <w:p w14:paraId="60B023C2" w14:textId="77777777" w:rsidR="00A22680" w:rsidRPr="00DA2128" w:rsidRDefault="00A22680" w:rsidP="00A937C6">
      <w:pPr>
        <w:spacing w:line="240" w:lineRule="auto"/>
        <w:rPr>
          <w:sz w:val="22"/>
          <w:szCs w:val="22"/>
        </w:rPr>
      </w:pPr>
      <w:r w:rsidRPr="00DA2128">
        <w:rPr>
          <w:sz w:val="22"/>
          <w:szCs w:val="22"/>
        </w:rPr>
        <w:t xml:space="preserve">Another shared reflection concerned students’ difficulties in addressing the feasibility and practical implementation of their ideas. While creativity and ambition were strong, several universities noted that students often struggled to think realistically about resource requirements, stakeholder engagement, and financial sustainability. VUAS specifically pointed out that "many proposals lacked a realistic understanding of resource requirements," and that clearer structuring of expectations during the presentation phase could help. </w:t>
      </w:r>
    </w:p>
    <w:p w14:paraId="6058C256" w14:textId="77777777" w:rsidR="00A22680" w:rsidRPr="00DA2128" w:rsidRDefault="00A22680" w:rsidP="00A937C6">
      <w:pPr>
        <w:spacing w:line="240" w:lineRule="auto"/>
        <w:rPr>
          <w:sz w:val="22"/>
          <w:szCs w:val="22"/>
        </w:rPr>
      </w:pPr>
      <w:r w:rsidRPr="00DA2128">
        <w:rPr>
          <w:sz w:val="22"/>
          <w:szCs w:val="22"/>
        </w:rPr>
        <w:t>UPB similarly highlighted that students from more advanced academic years found it challenging to stay in the ‘creative phase’ without prematurely focusing on feasibility, suggesting tension between ideation and implementation phases.</w:t>
      </w:r>
    </w:p>
    <w:p w14:paraId="4824368E" w14:textId="77777777" w:rsidR="00A22680" w:rsidRPr="00DA2128" w:rsidRDefault="00A22680" w:rsidP="00A937C6">
      <w:pPr>
        <w:spacing w:line="240" w:lineRule="auto"/>
        <w:rPr>
          <w:sz w:val="22"/>
          <w:szCs w:val="22"/>
        </w:rPr>
      </w:pPr>
      <w:r w:rsidRPr="00DA2128">
        <w:rPr>
          <w:sz w:val="22"/>
          <w:szCs w:val="22"/>
        </w:rPr>
        <w:t xml:space="preserve">These observations indicate the need to strengthen guidance around feasibility assessments early in the workshops, helping students bridge the gap between innovation and practical application without stifling creativity. </w:t>
      </w:r>
    </w:p>
    <w:p w14:paraId="3D6C14ED" w14:textId="77777777" w:rsidR="007C70ED" w:rsidRPr="00DA2128" w:rsidRDefault="007C70ED" w:rsidP="00A937C6">
      <w:pPr>
        <w:spacing w:line="240" w:lineRule="auto"/>
        <w:rPr>
          <w:sz w:val="22"/>
          <w:szCs w:val="22"/>
        </w:rPr>
      </w:pPr>
    </w:p>
    <w:p w14:paraId="304DD335" w14:textId="77777777" w:rsidR="00A22680" w:rsidRPr="00DA2128" w:rsidRDefault="00A22680" w:rsidP="00A937C6">
      <w:pPr>
        <w:spacing w:line="240" w:lineRule="auto"/>
        <w:rPr>
          <w:color w:val="595959" w:themeColor="text1" w:themeTint="A6"/>
          <w:sz w:val="28"/>
          <w:szCs w:val="28"/>
        </w:rPr>
      </w:pPr>
      <w:r w:rsidRPr="00DA2128">
        <w:rPr>
          <w:color w:val="595959" w:themeColor="text1" w:themeTint="A6"/>
          <w:sz w:val="28"/>
          <w:szCs w:val="28"/>
        </w:rPr>
        <w:t>The importance of contextual sensitivity and institutional realities</w:t>
      </w:r>
    </w:p>
    <w:p w14:paraId="34AC6821" w14:textId="77777777" w:rsidR="00A22680" w:rsidRPr="00DA2128" w:rsidRDefault="00A22680" w:rsidP="00A937C6">
      <w:pPr>
        <w:spacing w:line="240" w:lineRule="auto"/>
        <w:rPr>
          <w:sz w:val="22"/>
          <w:szCs w:val="22"/>
        </w:rPr>
      </w:pPr>
      <w:r w:rsidRPr="00DA2128">
        <w:rPr>
          <w:sz w:val="22"/>
          <w:szCs w:val="22"/>
        </w:rPr>
        <w:t>Several reflections underscored the importance of adapting workshops to local institutional contexts and student realities. While the general structure was effective, facilitators noted variations in which EDI issues resonated most strongly.</w:t>
      </w:r>
    </w:p>
    <w:p w14:paraId="55238597" w14:textId="77777777" w:rsidR="00A22680" w:rsidRPr="00DA2128" w:rsidRDefault="00A22680" w:rsidP="00A937C6">
      <w:pPr>
        <w:spacing w:line="240" w:lineRule="auto"/>
        <w:rPr>
          <w:sz w:val="22"/>
          <w:szCs w:val="22"/>
        </w:rPr>
      </w:pPr>
      <w:r w:rsidRPr="00DA2128">
        <w:rPr>
          <w:sz w:val="22"/>
          <w:szCs w:val="22"/>
        </w:rPr>
        <w:t>For example, JDU reported that the students had very low knowledge of EDI at the beginning of the workshop. UNIOS noted that economic inequality and class barriers were more prominent concerns among students than ethnicity or disability, reflecting demographic realities. VUAS similarly highlighted that while language inclusion challenges affected international students, local students also faced language barriers in English while developing employability skills.</w:t>
      </w:r>
    </w:p>
    <w:p w14:paraId="4EC8D642" w14:textId="77777777" w:rsidR="00A22680" w:rsidRPr="00DA2128" w:rsidRDefault="00A22680" w:rsidP="00A937C6">
      <w:pPr>
        <w:spacing w:line="240" w:lineRule="auto"/>
        <w:rPr>
          <w:sz w:val="22"/>
          <w:szCs w:val="22"/>
        </w:rPr>
      </w:pPr>
      <w:r w:rsidRPr="00DA2128">
        <w:rPr>
          <w:sz w:val="22"/>
          <w:szCs w:val="22"/>
        </w:rPr>
        <w:t>UPB reflected that highly structured workshop phases could sometimes interrupt organic thinking processes, especially for advanced students, suggesting a need for more flexible facilitation depending on group maturity. Meanwhile, LMU noticed the difficulty of keeping the attention of all students through the theoretical part and suggested inserting an activity, such as a quiz, after learning about EDI.</w:t>
      </w:r>
    </w:p>
    <w:p w14:paraId="09D08B1B" w14:textId="77777777" w:rsidR="00A22680" w:rsidRPr="00DA2128" w:rsidRDefault="00A22680" w:rsidP="00A937C6">
      <w:pPr>
        <w:spacing w:line="240" w:lineRule="auto"/>
        <w:rPr>
          <w:sz w:val="22"/>
          <w:szCs w:val="22"/>
        </w:rPr>
      </w:pPr>
      <w:r w:rsidRPr="00DA2128">
        <w:rPr>
          <w:sz w:val="22"/>
          <w:szCs w:val="22"/>
        </w:rPr>
        <w:t>These insights demonstrate that while the Imagine/IDEATE framework is robust, its delivery must remain flexible and responsive to specific institutional and cultural dynamics.</w:t>
      </w:r>
    </w:p>
    <w:p w14:paraId="20753838" w14:textId="77777777" w:rsidR="00A22680" w:rsidRPr="00DA2128" w:rsidRDefault="00A22680" w:rsidP="00A937C6">
      <w:pPr>
        <w:spacing w:line="240" w:lineRule="auto"/>
        <w:rPr>
          <w:sz w:val="22"/>
          <w:szCs w:val="22"/>
        </w:rPr>
      </w:pPr>
    </w:p>
    <w:p w14:paraId="4BFA72AB" w14:textId="77777777" w:rsidR="00A22680" w:rsidRPr="00DA2128" w:rsidRDefault="00A22680" w:rsidP="00A937C6">
      <w:pPr>
        <w:pStyle w:val="Subtitle"/>
        <w:spacing w:line="240" w:lineRule="auto"/>
        <w:rPr>
          <w:noProof w:val="0"/>
        </w:rPr>
      </w:pPr>
      <w:r w:rsidRPr="00DA2128">
        <w:rPr>
          <w:noProof w:val="0"/>
        </w:rPr>
        <w:t>Feedback for future workshops</w:t>
      </w:r>
    </w:p>
    <w:p w14:paraId="620DD80B" w14:textId="77777777" w:rsidR="00A22680" w:rsidRPr="00DA2128" w:rsidRDefault="00A22680" w:rsidP="00A937C6">
      <w:pPr>
        <w:spacing w:line="240" w:lineRule="auto"/>
        <w:rPr>
          <w:sz w:val="22"/>
          <w:szCs w:val="22"/>
        </w:rPr>
      </w:pPr>
      <w:r w:rsidRPr="00DA2128">
        <w:rPr>
          <w:sz w:val="22"/>
          <w:szCs w:val="22"/>
        </w:rPr>
        <w:t>Across the reflections, valuable feedback was provided from both students and facilitators on how to strengthen future workshops:</w:t>
      </w:r>
    </w:p>
    <w:p w14:paraId="48261A9A" w14:textId="77777777" w:rsidR="00A22680" w:rsidRPr="00DA2128" w:rsidRDefault="00A22680" w:rsidP="00A937C6">
      <w:pPr>
        <w:spacing w:line="240" w:lineRule="auto"/>
        <w:rPr>
          <w:sz w:val="22"/>
          <w:szCs w:val="22"/>
        </w:rPr>
      </w:pPr>
      <w:r w:rsidRPr="00DA2128">
        <w:rPr>
          <w:sz w:val="22"/>
          <w:szCs w:val="22"/>
        </w:rPr>
        <w:t>• Extend Workshop Duration: Several universities suggested allowing more time for idea refinement, possibly spreading the workshop over more days.</w:t>
      </w:r>
    </w:p>
    <w:p w14:paraId="78D76267" w14:textId="77777777" w:rsidR="00A22680" w:rsidRPr="00DA2128" w:rsidRDefault="00A22680" w:rsidP="00A937C6">
      <w:pPr>
        <w:spacing w:line="240" w:lineRule="auto"/>
        <w:rPr>
          <w:sz w:val="22"/>
          <w:szCs w:val="22"/>
        </w:rPr>
      </w:pPr>
      <w:r w:rsidRPr="00DA2128">
        <w:rPr>
          <w:sz w:val="22"/>
          <w:szCs w:val="22"/>
        </w:rPr>
        <w:t>• Introduce Design Thinking Earlier: A short preparatory session could ease the transition into innovative mindsets, especially for students unfamiliar with the method.</w:t>
      </w:r>
    </w:p>
    <w:p w14:paraId="79E70F29" w14:textId="77777777" w:rsidR="00A22680" w:rsidRPr="00DA2128" w:rsidRDefault="00A22680" w:rsidP="00A937C6">
      <w:pPr>
        <w:spacing w:line="240" w:lineRule="auto"/>
        <w:rPr>
          <w:sz w:val="22"/>
          <w:szCs w:val="22"/>
        </w:rPr>
      </w:pPr>
      <w:r w:rsidRPr="00DA2128">
        <w:rPr>
          <w:sz w:val="22"/>
          <w:szCs w:val="22"/>
        </w:rPr>
        <w:t xml:space="preserve">• Balance Group Composition: To foster inclusivity, careful attention should be paid to evenly mixing students from different academic backgrounds within groups. </w:t>
      </w:r>
    </w:p>
    <w:p w14:paraId="303DA0F1" w14:textId="77777777" w:rsidR="00A22680" w:rsidRPr="00DA2128" w:rsidRDefault="00A22680" w:rsidP="00A937C6">
      <w:pPr>
        <w:spacing w:line="240" w:lineRule="auto"/>
        <w:rPr>
          <w:sz w:val="22"/>
          <w:szCs w:val="22"/>
        </w:rPr>
      </w:pPr>
      <w:r w:rsidRPr="00DA2128">
        <w:rPr>
          <w:sz w:val="22"/>
          <w:szCs w:val="22"/>
        </w:rPr>
        <w:t>• Strengthen Practical Guidance: Structured prompts and clearer example questions for facilitators could help students think more critically about feasibility and stakeholder engagement.</w:t>
      </w:r>
    </w:p>
    <w:p w14:paraId="4753F991" w14:textId="77777777" w:rsidR="00A22680" w:rsidRPr="00DA2128" w:rsidRDefault="00A22680" w:rsidP="00A937C6">
      <w:pPr>
        <w:spacing w:line="240" w:lineRule="auto"/>
        <w:rPr>
          <w:sz w:val="22"/>
          <w:szCs w:val="22"/>
        </w:rPr>
      </w:pPr>
      <w:r w:rsidRPr="00DA2128">
        <w:rPr>
          <w:sz w:val="22"/>
          <w:szCs w:val="22"/>
        </w:rPr>
        <w:t>• Coach Training: providing clearer guidelines for coaches on how and when to intervene to steer students towards more inclusive and realistic ideas.</w:t>
      </w:r>
    </w:p>
    <w:p w14:paraId="7B9A1C78" w14:textId="77777777" w:rsidR="00A22680" w:rsidRPr="00DA2128" w:rsidRDefault="00A22680" w:rsidP="00A937C6">
      <w:pPr>
        <w:spacing w:line="240" w:lineRule="auto"/>
        <w:rPr>
          <w:sz w:val="22"/>
          <w:szCs w:val="22"/>
        </w:rPr>
      </w:pPr>
      <w:r w:rsidRPr="00DA2128">
        <w:rPr>
          <w:sz w:val="22"/>
          <w:szCs w:val="22"/>
        </w:rPr>
        <w:t>• Hybrid Delivery Considerations: If hybrid models are used, ensure dedicated online support is provided or consider running separate fully online or fully in-person sessions.</w:t>
      </w:r>
    </w:p>
    <w:p w14:paraId="62431DE7" w14:textId="77777777" w:rsidR="00A22680" w:rsidRPr="00DA2128" w:rsidRDefault="00A22680" w:rsidP="00A937C6">
      <w:pPr>
        <w:spacing w:line="240" w:lineRule="auto"/>
        <w:rPr>
          <w:sz w:val="22"/>
          <w:szCs w:val="22"/>
        </w:rPr>
      </w:pPr>
      <w:r w:rsidRPr="00DA2128">
        <w:rPr>
          <w:sz w:val="22"/>
          <w:szCs w:val="22"/>
        </w:rPr>
        <w:t>• Increase Visibility of the COLOURS Alliance: promoting the COLOURS Alliance’s initiatives, such as Erasmus opportunities, early in the workshops would enhance student connection and engagement.</w:t>
      </w:r>
    </w:p>
    <w:p w14:paraId="43DF1FED" w14:textId="77777777" w:rsidR="00A22680" w:rsidRPr="00DA2128" w:rsidRDefault="00A22680" w:rsidP="00A937C6">
      <w:pPr>
        <w:spacing w:line="240" w:lineRule="auto"/>
        <w:rPr>
          <w:sz w:val="22"/>
          <w:szCs w:val="22"/>
        </w:rPr>
      </w:pPr>
      <w:r w:rsidRPr="00DA2128">
        <w:rPr>
          <w:sz w:val="22"/>
          <w:szCs w:val="22"/>
        </w:rPr>
        <w:t>Overall, the feedback provides a constructive roadmap for strengthening the impact and inclusivity of future workshops, ensuring that both creativity and practical application continue to evolve.</w:t>
      </w:r>
    </w:p>
    <w:p w14:paraId="44C829E5" w14:textId="77777777" w:rsidR="007C70ED" w:rsidRPr="00DA2128" w:rsidRDefault="007C70ED" w:rsidP="00A937C6">
      <w:pPr>
        <w:spacing w:line="240" w:lineRule="auto"/>
        <w:rPr>
          <w:sz w:val="22"/>
          <w:szCs w:val="22"/>
        </w:rPr>
      </w:pPr>
    </w:p>
    <w:p w14:paraId="61D8AE59" w14:textId="77777777" w:rsidR="00A22680" w:rsidRPr="00DA2128" w:rsidRDefault="00A22680" w:rsidP="00A937C6">
      <w:pPr>
        <w:pStyle w:val="Subtitle"/>
        <w:spacing w:line="240" w:lineRule="auto"/>
        <w:rPr>
          <w:noProof w:val="0"/>
        </w:rPr>
      </w:pPr>
      <w:r w:rsidRPr="00DA2128">
        <w:rPr>
          <w:noProof w:val="0"/>
        </w:rPr>
        <w:t xml:space="preserve">Discussion </w:t>
      </w:r>
    </w:p>
    <w:p w14:paraId="50A571B6" w14:textId="77777777" w:rsidR="00A22680" w:rsidRPr="00DA2128" w:rsidRDefault="00A22680" w:rsidP="00A937C6">
      <w:pPr>
        <w:spacing w:line="240" w:lineRule="auto"/>
        <w:rPr>
          <w:sz w:val="22"/>
          <w:szCs w:val="22"/>
        </w:rPr>
      </w:pPr>
      <w:r w:rsidRPr="00DA2128">
        <w:rPr>
          <w:sz w:val="22"/>
          <w:szCs w:val="22"/>
        </w:rPr>
        <w:t>This discussion synthesises key themes emerging from the Imagine/IDEATE workshops and aligns them with current research and the European policy framework on EDI in higher education. It examines how structural inclusion, emotional and experiential learning, digital innovation, and Applied Design Thinking can work together to foster systemic change. By highlighting student perspectives and showcasing institutional examples across Europe, the chapter argues for a multidimensional and participatory approach to building inclusive, resilient, and future-oriented academic environments (European Commission et al., 2025, Watson et al., 2023)</w:t>
      </w:r>
    </w:p>
    <w:p w14:paraId="671ADD4B" w14:textId="77777777" w:rsidR="007C70ED" w:rsidRPr="00DA2128" w:rsidRDefault="007C70ED" w:rsidP="00A937C6">
      <w:pPr>
        <w:spacing w:line="240" w:lineRule="auto"/>
        <w:rPr>
          <w:sz w:val="22"/>
          <w:szCs w:val="22"/>
        </w:rPr>
      </w:pPr>
    </w:p>
    <w:p w14:paraId="760823BD" w14:textId="77777777" w:rsidR="00A22680" w:rsidRPr="00DA2128" w:rsidRDefault="00A22680" w:rsidP="00A937C6">
      <w:pPr>
        <w:pStyle w:val="Sub-subheading"/>
        <w:spacing w:line="240" w:lineRule="auto"/>
      </w:pPr>
      <w:r w:rsidRPr="00DA2128">
        <w:t>How inclusivity and accessibility can make a difference</w:t>
      </w:r>
    </w:p>
    <w:p w14:paraId="314FF496" w14:textId="77777777" w:rsidR="00A22680" w:rsidRPr="00DA2128" w:rsidRDefault="00A22680" w:rsidP="00A937C6">
      <w:pPr>
        <w:spacing w:line="240" w:lineRule="auto"/>
        <w:rPr>
          <w:sz w:val="22"/>
          <w:szCs w:val="22"/>
        </w:rPr>
      </w:pPr>
      <w:r w:rsidRPr="00DA2128">
        <w:rPr>
          <w:sz w:val="22"/>
          <w:szCs w:val="22"/>
        </w:rPr>
        <w:t xml:space="preserve">Student insights from the Imagine/IDEATE workshops consistently highlight the need for more inclusive and accessible higher education environments. Many of the proposed solutions were grounded in personal experiences of structural and cultural barriers linked to disability, socio-economic inequality, linguistic limitations, and inadequate institutional responsiveness. </w:t>
      </w:r>
    </w:p>
    <w:p w14:paraId="6366D9C2" w14:textId="77777777" w:rsidR="00A22680" w:rsidRPr="00DA2128" w:rsidRDefault="00A22680" w:rsidP="00A937C6">
      <w:pPr>
        <w:spacing w:line="240" w:lineRule="auto"/>
        <w:rPr>
          <w:sz w:val="22"/>
          <w:szCs w:val="22"/>
        </w:rPr>
      </w:pPr>
      <w:r w:rsidRPr="00DA2128">
        <w:rPr>
          <w:sz w:val="22"/>
          <w:szCs w:val="22"/>
        </w:rPr>
        <w:t>The Fundamental Rights Report further confirms the persistence of intersecting disadvantages affecting underrepresented groups such as Roma communities, people of African descent, Muslim students, and migrants. Structural issues such as energy poverty, digital exclusion, and housing insecurity are deeply intertwined with educational outcomes. Notably, the report stresses the need for disaggregated data and intersectional analysis to inform policy interventions (European Union Agency for Fundamental Rights, 2024).</w:t>
      </w:r>
    </w:p>
    <w:p w14:paraId="7BBCDB50" w14:textId="77777777" w:rsidR="00A22680" w:rsidRPr="00DA2128" w:rsidRDefault="00A22680" w:rsidP="00A937C6">
      <w:pPr>
        <w:spacing w:line="240" w:lineRule="auto"/>
        <w:rPr>
          <w:sz w:val="22"/>
          <w:szCs w:val="22"/>
        </w:rPr>
      </w:pPr>
      <w:r w:rsidRPr="00DA2128">
        <w:rPr>
          <w:sz w:val="22"/>
          <w:szCs w:val="22"/>
        </w:rPr>
        <w:t xml:space="preserve">To better understand these barriers and the complexity of student experiences, intersectionality provides a practical analytical framework. Kimberlé Crenshaw explained that intersectionality helps to define how different aspects of a person's identity—such as ethnicity, gender, sexual orientation, class, ability, and more—intersect and overlap, producing unique experiences of both privilege and oppression. People do not experience discrimination or advantage based on a single identity category alone; instead, their realities are shaped by the interaction of multiple, interlocking systems of power (Crenshaw, 2022).  Understanding intersectionality in educational settings, for instance, can help create more inclusive and supportive environments. It encourages educators, students, and institutions to recognise that a student's challenges or barriers to success may be influenced by the interplay of various aspects of their identity. </w:t>
      </w:r>
    </w:p>
    <w:p w14:paraId="17368539" w14:textId="77777777" w:rsidR="00A22680" w:rsidRPr="00DA2128" w:rsidRDefault="00A22680" w:rsidP="00A937C6">
      <w:pPr>
        <w:spacing w:line="240" w:lineRule="auto"/>
        <w:rPr>
          <w:sz w:val="22"/>
          <w:szCs w:val="22"/>
        </w:rPr>
      </w:pPr>
      <w:r w:rsidRPr="00DA2128">
        <w:rPr>
          <w:sz w:val="22"/>
          <w:szCs w:val="22"/>
        </w:rPr>
        <w:t>As the results under the subtheme Inclusivity and Accessibility show, students advocated for systemic developments aimed at enhancing inclusion and accessibility for all, regardless of the identity characteristics mentioned above. These proposals align with a growing body of international research and policy recommendations that underscore the systemic nature of educational exclusion.</w:t>
      </w:r>
    </w:p>
    <w:p w14:paraId="21A1AA9C" w14:textId="77777777" w:rsidR="00A22680" w:rsidRPr="00DA2128" w:rsidRDefault="00A22680" w:rsidP="00A937C6">
      <w:pPr>
        <w:spacing w:line="240" w:lineRule="auto"/>
        <w:rPr>
          <w:sz w:val="22"/>
          <w:szCs w:val="22"/>
        </w:rPr>
      </w:pPr>
      <w:r w:rsidRPr="00DA2128">
        <w:rPr>
          <w:sz w:val="22"/>
          <w:szCs w:val="22"/>
        </w:rPr>
        <w:t>The European Higher Education Area (EHEA) highlights that equal access to higher education is essential for addressing societal challenges and fostering inclusive academic systems (Rome Communiqué, 2020) At the ministerial conference in Tirana (2024) the EHEA reconfirmed the importance of “building an inclusive EHEA by 2030” and committed to the improvement of data collection through participation in initiatives such as EUROSTUDENT (European Higher Education Area, 2024).</w:t>
      </w:r>
    </w:p>
    <w:p w14:paraId="521AE069" w14:textId="77777777" w:rsidR="00A22680" w:rsidRPr="00DA2128" w:rsidRDefault="00A22680" w:rsidP="00A937C6">
      <w:pPr>
        <w:spacing w:line="240" w:lineRule="auto"/>
        <w:rPr>
          <w:sz w:val="22"/>
          <w:szCs w:val="22"/>
        </w:rPr>
      </w:pPr>
      <w:r w:rsidRPr="00DA2128">
        <w:rPr>
          <w:sz w:val="22"/>
          <w:szCs w:val="22"/>
        </w:rPr>
        <w:t>EUROSTUDENT is offering a database of students’ living conditions, as well as their socio-economic characteristics. The data indicate that 19% of students in Europe report being hindered in their studies by disability or long-term health issues, with mental health being the most frequently cited barrier. One in four students has an international background, and the most frequently reported grounds for discrimination among students are age and gender (Hauschildt et al., 2024). Institutional responses often fall short in providing accessible facilities, trained staff, and adequate assistive technologies. Moreover, students from low-income households are disproportionately affected by financial hardship, which limits their study intensity, housing security, and overall academic success (Hauschildt et al., 2024).</w:t>
      </w:r>
    </w:p>
    <w:p w14:paraId="6C200FC2" w14:textId="77777777" w:rsidR="00A22680" w:rsidRPr="00DA2128" w:rsidRDefault="00A22680" w:rsidP="00A937C6">
      <w:pPr>
        <w:spacing w:line="240" w:lineRule="auto"/>
        <w:rPr>
          <w:sz w:val="22"/>
          <w:szCs w:val="22"/>
        </w:rPr>
      </w:pPr>
      <w:r w:rsidRPr="00DA2128">
        <w:rPr>
          <w:sz w:val="22"/>
          <w:szCs w:val="22"/>
        </w:rPr>
        <w:t xml:space="preserve">On the other hand, the UNESCO Global Education Monitoring Report reinforces the notion that exclusion in education is frequently the product of structural education design rather than individual limitations. Norms, pedagogical practices, and infrastructure that fail to accommodate diversity are significant contributors to educational disadvantage (UNESCO, 2020). The report advocates for inclusion to be treated as an ongoing institutional process that necessitates structural transformation, supported by data and leadership accountability mechanisms that engage in inclusive polices  (UNESCO, 2020; Antoninis et al., 2020). Furthermore, the report also highlights how inclusive education requires educators to take responsibility for the learning of all students by providing a broad spectrum of learning opportunities that are accessible to everyone, rather than tailoring specific alternatives solely for certain individuals (Florian and Spratt, 2013, UNESCO, 2020). </w:t>
      </w:r>
    </w:p>
    <w:p w14:paraId="250969BC" w14:textId="77777777" w:rsidR="00A22680" w:rsidRPr="00DA2128" w:rsidRDefault="00A22680" w:rsidP="00A937C6">
      <w:pPr>
        <w:spacing w:line="240" w:lineRule="auto"/>
        <w:rPr>
          <w:sz w:val="22"/>
          <w:szCs w:val="22"/>
        </w:rPr>
      </w:pPr>
      <w:r w:rsidRPr="00DA2128">
        <w:rPr>
          <w:sz w:val="22"/>
          <w:szCs w:val="22"/>
        </w:rPr>
        <w:t xml:space="preserve">Findings from the research conducted by Hayes and Bulat challenge enduring misconceptions that inclusive education impedes the academic progress of students without disabilities. In contrast, their work provides evidence that inclusive educational practices positively influence both the academic performance and social development of students without disabilities. These findings support the growing consensus that inclusive education offers universal benefits by fostering equitable learning environments and promoting instructional approaches that are responsive to the diverse needs of all learners (Hayes and Bulat, 2017). </w:t>
      </w:r>
    </w:p>
    <w:p w14:paraId="46FF5F27" w14:textId="43CA2203" w:rsidR="00212113" w:rsidRPr="00DA2128" w:rsidRDefault="00A22680" w:rsidP="00A937C6">
      <w:pPr>
        <w:spacing w:line="240" w:lineRule="auto"/>
        <w:rPr>
          <w:sz w:val="22"/>
          <w:szCs w:val="22"/>
        </w:rPr>
      </w:pPr>
      <w:r w:rsidRPr="00DA2128">
        <w:rPr>
          <w:sz w:val="22"/>
          <w:szCs w:val="22"/>
        </w:rPr>
        <w:t>A key conclusion is that the successful implementation of inclusive education cannot rely solely on the efforts of individual educators or institutional strategies. Instead, it requires coordinated engagement across all organisational levels, underpinned by a clearly articulated and collectively endorsed vision. This vision must be operationalised through strategic planning and robust institutional policies. Such systemic alignment is essential for embedding inclusive practices in a sustainable manner, ensuring that inclusion becomes an enduring structural and cultural cornerstone of the higher education system.</w:t>
      </w:r>
    </w:p>
    <w:p w14:paraId="3CF8F4AA" w14:textId="77777777" w:rsidR="00212113" w:rsidRPr="00DA2128" w:rsidRDefault="00212113" w:rsidP="00A937C6">
      <w:pPr>
        <w:spacing w:line="240" w:lineRule="auto"/>
        <w:rPr>
          <w:sz w:val="22"/>
          <w:szCs w:val="22"/>
        </w:rPr>
      </w:pPr>
    </w:p>
    <w:p w14:paraId="683F6F03" w14:textId="77777777" w:rsidR="00A22680" w:rsidRPr="00DA2128" w:rsidRDefault="00A22680" w:rsidP="00A937C6">
      <w:pPr>
        <w:pStyle w:val="Sub-subheading"/>
        <w:spacing w:line="240" w:lineRule="auto"/>
      </w:pPr>
      <w:r w:rsidRPr="00DA2128">
        <w:t>Practical examples of embedding EDI in academia</w:t>
      </w:r>
    </w:p>
    <w:p w14:paraId="6492C04C" w14:textId="77777777" w:rsidR="00A22680" w:rsidRPr="00DA2128" w:rsidRDefault="00A22680" w:rsidP="00A937C6">
      <w:pPr>
        <w:pStyle w:val="Subtitle"/>
        <w:spacing w:line="240" w:lineRule="auto"/>
        <w:rPr>
          <w:rFonts w:eastAsiaTheme="minorHAnsi" w:cstheme="minorBidi"/>
          <w:noProof w:val="0"/>
          <w:color w:val="221F1F"/>
          <w:spacing w:val="-4"/>
          <w:sz w:val="22"/>
          <w:szCs w:val="22"/>
        </w:rPr>
      </w:pPr>
      <w:r w:rsidRPr="00DA2128">
        <w:rPr>
          <w:rFonts w:eastAsiaTheme="minorHAnsi" w:cstheme="minorBidi"/>
          <w:noProof w:val="0"/>
          <w:color w:val="221F1F"/>
          <w:spacing w:val="-4"/>
          <w:sz w:val="22"/>
          <w:szCs w:val="22"/>
        </w:rPr>
        <w:t xml:space="preserve">Several successful practices from European universities illustrate the feasibility of institutional, national and international proposals. Notably, the University of Aberdeen in the UK has adopted a long-term inclusive strategy articulated in its 'Aberdeen 2040' vision. This strategy embeds inclusion of staff and students as one of the institution's four strategic themes, with specific commitments such as fostering a welcoming and vibrant environment, promoting fairness and transparency, remaining open to change, and engaging with communities at local, national and international levels. In the 2020 Staff Survey, 92% of staff identified with these inclusive commitments, and 90% believed the university was genuinely committed to equality, demonstrating high institutional buy-in and an embedded EDI culture (University of Aberdeen, 2020). As part of this effort to create an inclusive institutional environment, the University has introduced two mandatory training courses for all new staff—Inclusion Essentials and Understanding Race Bias—which must be completed within the first three months of employment. These courses reflect a strategic emphasis on embedding inclusive competencies from the outset of academic employment. </w:t>
      </w:r>
    </w:p>
    <w:p w14:paraId="6CE80743" w14:textId="77777777" w:rsidR="00A22680" w:rsidRPr="00DA2128" w:rsidRDefault="00A22680" w:rsidP="00A937C6">
      <w:pPr>
        <w:spacing w:line="240" w:lineRule="auto"/>
        <w:rPr>
          <w:sz w:val="22"/>
          <w:szCs w:val="22"/>
        </w:rPr>
      </w:pPr>
      <w:r w:rsidRPr="00DA2128">
        <w:rPr>
          <w:sz w:val="22"/>
          <w:szCs w:val="22"/>
        </w:rPr>
        <w:t>This example suggests that student-led ideas for creating inclusive education environments can be effectively reinforced through institutional culture development initiatives. By targeting student-facing improvements while also ensuring that all university staff receive structured training in inclusion and bias awareness, higher education institutions can build cohesive and system-wide cultural change. As demonstrated in the case of the University of Aberdeen, such a dual approach has the potential to reach policy-level significance and transformative impact, spanning the horizon of a 20-year strategic inclusion plan. This aligns with the COLOURS Alliance’s strategic framework, which seeks to advance EDI policy and professional development through mandatory training for newly appointed staff. Student-driven proposals for inclusive education environments can thus be seen as mutually reinforcing with institutional efforts to educate and equip staff. Embedding such practices has the potential to generate the impact of long-term strategic proportions, as illustrated by the University of Aberdeen’s 20-year inclusion strategy.</w:t>
      </w:r>
    </w:p>
    <w:p w14:paraId="1C6B8583" w14:textId="77777777" w:rsidR="00A22680" w:rsidRPr="00DA2128" w:rsidRDefault="00A22680" w:rsidP="00A937C6">
      <w:pPr>
        <w:spacing w:line="240" w:lineRule="auto"/>
        <w:rPr>
          <w:sz w:val="22"/>
          <w:szCs w:val="22"/>
        </w:rPr>
      </w:pPr>
      <w:r w:rsidRPr="00DA2128">
        <w:rPr>
          <w:sz w:val="22"/>
          <w:szCs w:val="22"/>
        </w:rPr>
        <w:t xml:space="preserve">While the University of Aberdeen works intensely with inclusion by changing the culture, in Belgium, the University of Antwerp’s work with inclusion by implementation of accessible practices and flexible learning paths for part-time and working students (University of Antwerp, 2024). This approach to inclusion has been recognised as one aspect of well-being by balancing work-life with academic standards (European University Association, 2023). At the same time, there are universities that promote EDI by rethinking and developing pedagogical approaches such as enriching learning, reducing barriers, and providing accessible educational opportunities. </w:t>
      </w:r>
    </w:p>
    <w:p w14:paraId="63EDA2EB" w14:textId="77777777" w:rsidR="00A22680" w:rsidRPr="00DA2128" w:rsidRDefault="00A22680" w:rsidP="00A937C6">
      <w:pPr>
        <w:spacing w:line="240" w:lineRule="auto"/>
        <w:rPr>
          <w:sz w:val="22"/>
          <w:szCs w:val="22"/>
        </w:rPr>
      </w:pPr>
      <w:r w:rsidRPr="00DA2128">
        <w:rPr>
          <w:sz w:val="22"/>
          <w:szCs w:val="22"/>
        </w:rPr>
        <w:t xml:space="preserve">One example is the integration of Universal Design for Learning (UDL), a framework that supports accessible and equitable education by proactively addressing diverse learning needs (Rose and Meyer, 2002, CAST, 2018). This approach aims to make education accessible to all learners by proactively designing course content, teaching methods and assessments to accommodate diverse abilities and learning preferences. Research on UDL implementation in higher education shows that the flexibility and inclusivity, together with digital technologies, when thoughtfully embedded, can enhance engagement and skill development among students. A new study involving university students in Mexico demonstrated positive perceptions of digital tools used to support UDL’s core principles: engagement, representation, and action/expression (Veytia Bucheli et al., 2024). These findings suggest that, when aligned with pedagogical theory and quality frameworks, UDL can contribute meaningfully to inclusive teaching and to broader, global educational objectives such as Agenda 2030 and Sustainable Development Goal 4 (Veytia Bucheli et al., 2024, UNITED NATIONS, 2015). </w:t>
      </w:r>
    </w:p>
    <w:p w14:paraId="2E8FF148" w14:textId="77777777" w:rsidR="00A22680" w:rsidRPr="00DA2128" w:rsidRDefault="00A22680" w:rsidP="00A937C6">
      <w:pPr>
        <w:spacing w:line="240" w:lineRule="auto"/>
        <w:rPr>
          <w:sz w:val="22"/>
          <w:szCs w:val="22"/>
        </w:rPr>
      </w:pPr>
      <w:r w:rsidRPr="00DA2128">
        <w:rPr>
          <w:sz w:val="22"/>
          <w:szCs w:val="22"/>
        </w:rPr>
        <w:t xml:space="preserve">These practical examples from different European universities about inclusive and accessible education are supported by recommendations from the League of European Research Universities to aim for a systemic approach to EDI, including institutional leadership, policy coherence, and inclusive governance structures (Buitendijk et al., 2019). Eurydice similarly calls for lifelong learning pathways, targeted outreach, and adaptable curriculum design to ensure equitable access to higher education (European Commission European Education Culture Executive Agency et al., 2022). </w:t>
      </w:r>
    </w:p>
    <w:p w14:paraId="63281DD0" w14:textId="77777777" w:rsidR="00A22680" w:rsidRPr="00DA2128" w:rsidRDefault="00A22680" w:rsidP="00A937C6">
      <w:pPr>
        <w:spacing w:line="240" w:lineRule="auto"/>
        <w:rPr>
          <w:sz w:val="22"/>
          <w:szCs w:val="22"/>
        </w:rPr>
      </w:pPr>
      <w:r w:rsidRPr="00DA2128">
        <w:rPr>
          <w:sz w:val="22"/>
          <w:szCs w:val="22"/>
        </w:rPr>
        <w:t>A key conclusion emerging from the Imagine/IDEATE framework, current research, and various implementation approaches across Europe is the consistent emphasis on the need for a multidimensional approach to accessibility and inclusion. Accessibility should be conceptualised as encompassing not only physical and mobility-related adaptations for persons with disabilities, but also intersecting cultural and structural dimensions. This broader perspective reflects a growing recognition that inclusion must be systematically embedded within institutional practices, rather than treated as a peripheral or reactive concern. The data indicate that structural transformation is most effective when institutions demonstrate sustained commitment, particularly through staff development initiatives and the integration of inclusive values within governance structures. Long-term strategies, such as the University of Aberdeen’s 20-year inclusion plan, illustrate how consistent efforts can generate systemic change, reinforcing the imperative that inclusion and accessibility must be both culturally internalised and structurally embedded across the higher education sector.</w:t>
      </w:r>
    </w:p>
    <w:p w14:paraId="5CA68345" w14:textId="77777777" w:rsidR="007C70ED" w:rsidRPr="00DA2128" w:rsidRDefault="007C70ED" w:rsidP="00A937C6">
      <w:pPr>
        <w:spacing w:line="240" w:lineRule="auto"/>
        <w:rPr>
          <w:sz w:val="22"/>
          <w:szCs w:val="22"/>
        </w:rPr>
      </w:pPr>
    </w:p>
    <w:p w14:paraId="5043A907" w14:textId="77777777" w:rsidR="007C70ED" w:rsidRPr="00DA2128" w:rsidRDefault="007C70ED" w:rsidP="00A937C6">
      <w:pPr>
        <w:spacing w:line="240" w:lineRule="auto"/>
        <w:rPr>
          <w:sz w:val="22"/>
          <w:szCs w:val="22"/>
        </w:rPr>
      </w:pPr>
    </w:p>
    <w:p w14:paraId="150C996B" w14:textId="77777777" w:rsidR="00A22680" w:rsidRPr="00DA2128" w:rsidRDefault="00A22680" w:rsidP="00A937C6">
      <w:pPr>
        <w:pStyle w:val="Sub-subheading"/>
        <w:spacing w:line="240" w:lineRule="auto"/>
      </w:pPr>
      <w:r w:rsidRPr="00DA2128">
        <w:t>Empathy and experiential learning</w:t>
      </w:r>
    </w:p>
    <w:p w14:paraId="1F666415" w14:textId="77777777" w:rsidR="00A22680" w:rsidRPr="00DA2128" w:rsidRDefault="00A22680" w:rsidP="00A937C6">
      <w:pPr>
        <w:spacing w:line="240" w:lineRule="auto"/>
        <w:rPr>
          <w:sz w:val="22"/>
          <w:szCs w:val="22"/>
        </w:rPr>
      </w:pPr>
      <w:r w:rsidRPr="00DA2128">
        <w:rPr>
          <w:sz w:val="22"/>
          <w:szCs w:val="22"/>
        </w:rPr>
        <w:t>Throughout the Imagine/IDEATE workshops, students across the COLOURS alliance underscored the importance of empathy and experiential learning as powerful levers for institutional change. Their proposals revealed a consistent emphasis on learning environments that foster understanding of others' lived experiences, including those shaped by systemic inequality, cultural marginalisation, and personal adversity. Rather than conceptualising equity solely as policy implementation, student reflections encouraged a pedagogical approach grounded in mutual recognition, emotional intelligence, and perspective-taking.</w:t>
      </w:r>
    </w:p>
    <w:p w14:paraId="361A34AC" w14:textId="77777777" w:rsidR="00A22680" w:rsidRPr="00DA2128" w:rsidRDefault="00A22680" w:rsidP="00A937C6">
      <w:pPr>
        <w:spacing w:line="240" w:lineRule="auto"/>
        <w:rPr>
          <w:sz w:val="22"/>
          <w:szCs w:val="22"/>
        </w:rPr>
      </w:pPr>
      <w:r w:rsidRPr="00DA2128">
        <w:rPr>
          <w:sz w:val="22"/>
          <w:szCs w:val="22"/>
        </w:rPr>
        <w:t>Several student groups advocated for experiential learning interventions aimed at cultivating a deeper emotional engagement with EDI themes. Suggestions included empathy workshops led by students with lived experience of discrimination, role-switching simulations (e.g. navigating campus in a wheelchair), and immersive activities such as multilingual communication exercises and intercultural dialogue circles. These forms of active, participatory learning were seen as essential to fostering a campus culture rooted in solidarity and shared responsibility, extending beyond awareness-raising towards behavioural and attitudinal change. This emphasis on a "culture of understanding and empathy" is further supported by recent findings from the European University Association, where students identified such a culture as the second most significant factor impacting their well-being (14.02%) when asked about institutional attributes (European University Association, 2023).</w:t>
      </w:r>
    </w:p>
    <w:p w14:paraId="539BAD07" w14:textId="34CDE843" w:rsidR="00A22680" w:rsidRPr="00DA2128" w:rsidRDefault="00A22680" w:rsidP="00A937C6">
      <w:pPr>
        <w:spacing w:line="240" w:lineRule="auto"/>
        <w:rPr>
          <w:sz w:val="22"/>
          <w:szCs w:val="22"/>
        </w:rPr>
      </w:pPr>
      <w:r w:rsidRPr="00DA2128">
        <w:rPr>
          <w:sz w:val="22"/>
          <w:szCs w:val="22"/>
        </w:rPr>
        <w:t>UNESCO (2020) argues that inclusive education must encompass more than structural and curricular reforms and that inclusive pedagogies require educators to foster emotional safety, embrace student voice, and enable spaces for dialogue and uncertainty. This points to a broader tension in equity and inclusion work. On the one hand, the collection of disaggregated data on student populations is essential for uncovering systemic barriers and providing an evidence base to guide meaningful institutional reform (Hauschildt et al., 2024, European Higher Education Area). On the other hand, UNESCO (2020) emphasises that inclusion at the individual learner level is best supported by avoiding categorical labels and assumptions. Instead, inclusive education should focus on understanding each individual’s strengths and their lived experiences of exclusion and inclusion. This approach can be bolstered by comprehensive data collection systems that monitor equity and inclusion without stigmatising the diversity of learners. The emphasis on emotional and cultural learning is further explained by Florian and Spratt (2013), who describe inclusion as a framework of practice where teaching is designed for the benefit of all, not merely as accommodation for specific groups. Such efforts require educators to adopt strategic, intentional, and collaborative approaches to embed inclusive practices effectively within their teaching and institutional environments. This involves proactively designing learning experiences that accommodate diverse needs, fostering supportive classroom cultures, and working in partnership with colleagues, students, and broader institutional structures to ensure that inclusion is sustained and meaningful (Hayes and Bulat, 2017).</w:t>
      </w:r>
    </w:p>
    <w:p w14:paraId="1649D99C" w14:textId="77777777" w:rsidR="00A22680" w:rsidRPr="00DA2128" w:rsidRDefault="00A22680" w:rsidP="00A937C6">
      <w:pPr>
        <w:spacing w:line="240" w:lineRule="auto"/>
        <w:rPr>
          <w:sz w:val="22"/>
          <w:szCs w:val="22"/>
        </w:rPr>
      </w:pPr>
      <w:r w:rsidRPr="00DA2128">
        <w:rPr>
          <w:sz w:val="22"/>
          <w:szCs w:val="22"/>
        </w:rPr>
        <w:t xml:space="preserve">A growing body of research highlights the vital role of empathy and emotional connection in supporting students’ engagement and success in higher education. One important dimension of this is the sense of belonging, which has been shown to influence students’ academic performance, psychological well-being, and long-term educational outcomes (Fong et al., 2024, van Kessel et al., 2025).  From this perspective, experiential learning strategies that engage students cognitively and affectively may be key to promoting more inclusive academic environments. </w:t>
      </w:r>
    </w:p>
    <w:p w14:paraId="2A2DF703" w14:textId="77777777" w:rsidR="00A22680" w:rsidRPr="00DA2128" w:rsidRDefault="00A22680" w:rsidP="00A937C6">
      <w:pPr>
        <w:spacing w:line="240" w:lineRule="auto"/>
        <w:rPr>
          <w:sz w:val="22"/>
          <w:szCs w:val="22"/>
        </w:rPr>
      </w:pPr>
      <w:r w:rsidRPr="00DA2128">
        <w:rPr>
          <w:sz w:val="22"/>
          <w:szCs w:val="22"/>
        </w:rPr>
        <w:t>Activities such as storytelling, embodied simulations, and cultural exchanges, frequently proposed by students in the Imagine/IDEATE workshops, serve as powerful tools for cultivating empathy and relational understanding. These forms of learning foster a sense of shared experience and connection, which in turn strengthens students’ feeling of inclusion and safety in educational settings. By embedding empathy-driven experiences into curricular design, institutions can better address exclusionary dynamics and support students’ holistic development. As the empirical literature confirms, students who feel seen, heard, and emotionally connected to their learning environment are significantly more likely to thrive both academically and personally (van Kessel et al., 2025, Fong et al., 2024).</w:t>
      </w:r>
    </w:p>
    <w:p w14:paraId="4069F08D" w14:textId="77777777" w:rsidR="00A22680" w:rsidRPr="00DA2128" w:rsidRDefault="00A22680" w:rsidP="00A937C6">
      <w:pPr>
        <w:spacing w:line="240" w:lineRule="auto"/>
        <w:rPr>
          <w:sz w:val="22"/>
          <w:szCs w:val="22"/>
        </w:rPr>
      </w:pPr>
      <w:r w:rsidRPr="00DA2128">
        <w:rPr>
          <w:sz w:val="22"/>
          <w:szCs w:val="22"/>
        </w:rPr>
        <w:t>A key implication emerging from the workshop discussions is that systemic transformation in EDI must engage not only institutional policies but also the affective and cultural domains of learning. Student proposals highlight empathy not as a supplementary attribute but as a pedagogical method and strategic tool for cultivating inclusive academic communities. In this context, experiential learning grounded in emotional and intercultural literacy serves as an essential complement to structural reforms. Moreover, participants emphasised that EDI must adopt a more pragmatic orientation—recognising that education and training for all members of the academic community must go hand in hand with policy development. There is a clear need for institutional policies that explicitly mandate and support comprehensive EDI training and education, ensuring that inclusive values are not only articulated but actively developed and embedded across all levels of the university system.</w:t>
      </w:r>
    </w:p>
    <w:p w14:paraId="3B3E2F7C" w14:textId="77777777" w:rsidR="00A22680" w:rsidRPr="00DA2128" w:rsidRDefault="00A22680" w:rsidP="00A937C6">
      <w:pPr>
        <w:spacing w:line="240" w:lineRule="auto"/>
        <w:rPr>
          <w:color w:val="595959" w:themeColor="text1" w:themeTint="A6"/>
          <w:sz w:val="28"/>
          <w:szCs w:val="28"/>
        </w:rPr>
      </w:pPr>
      <w:r w:rsidRPr="00DA2128">
        <w:rPr>
          <w:color w:val="595959" w:themeColor="text1" w:themeTint="A6"/>
          <w:sz w:val="28"/>
          <w:szCs w:val="28"/>
        </w:rPr>
        <w:t>Innovation, digitalisation and EDI</w:t>
      </w:r>
    </w:p>
    <w:p w14:paraId="5BB06EDA" w14:textId="77777777" w:rsidR="00A22680" w:rsidRPr="00DA2128" w:rsidRDefault="00A22680" w:rsidP="00A937C6">
      <w:pPr>
        <w:spacing w:line="240" w:lineRule="auto"/>
        <w:rPr>
          <w:sz w:val="22"/>
          <w:szCs w:val="22"/>
        </w:rPr>
      </w:pPr>
      <w:r w:rsidRPr="00DA2128">
        <w:rPr>
          <w:sz w:val="22"/>
          <w:szCs w:val="22"/>
        </w:rPr>
        <w:t>The student proposals represented in the results subtheme Digital innovation and visibility of EDI, highlight a shared conviction that digital innovation could be a tool for advancing equity, diversity, and inclusion (EDI) in higher education. Several student-led initiatives, such as an application for connecting between students, streaming live lectures and sharing notifications for different awareness events of EDI initiatives, exemplify how technology can be used to reduce barriers, improve access to support structures, and normalise the visibility of inclusion efforts across campus environments.</w:t>
      </w:r>
    </w:p>
    <w:p w14:paraId="1A9993FD" w14:textId="77777777" w:rsidR="00A22680" w:rsidRPr="00DA2128" w:rsidRDefault="00A22680" w:rsidP="00A937C6">
      <w:pPr>
        <w:spacing w:line="240" w:lineRule="auto"/>
        <w:rPr>
          <w:sz w:val="22"/>
          <w:szCs w:val="22"/>
        </w:rPr>
      </w:pPr>
      <w:r w:rsidRPr="00DA2128">
        <w:rPr>
          <w:sz w:val="22"/>
          <w:szCs w:val="22"/>
        </w:rPr>
        <w:t>These proposals for reducing barriers through technology and innovation align closely with the European Commission’s strategic digital priority for the next decade. The initiative advocates for leveraging digital technologies to enhance both the quality and inclusiveness by, among other topics, keeping people and societies engaged in an increasingly hybrid context (European Commission, 2024). Ursula von der Leyen, President of the Commission, said: “The signature of the European Declaration on Digital Rights and Principles reflects our shared goal of a digital transformation that puts people first.” (European Commission, 2022). The people-centred approach explicitly underscores the importance of digital environments that are designed to be accessible and responsive to diverse learner needs, an intention that is reflected in student proposals to centralise EDI services, offer multilingual content, and design tools for both peer and institutional support.</w:t>
      </w:r>
    </w:p>
    <w:p w14:paraId="10CF0EE1" w14:textId="77777777" w:rsidR="00A22680" w:rsidRPr="00DA2128" w:rsidRDefault="00A22680" w:rsidP="00A937C6">
      <w:pPr>
        <w:spacing w:line="240" w:lineRule="auto"/>
        <w:rPr>
          <w:sz w:val="22"/>
          <w:szCs w:val="22"/>
        </w:rPr>
      </w:pPr>
      <w:r w:rsidRPr="00DA2128">
        <w:rPr>
          <w:sz w:val="22"/>
          <w:szCs w:val="22"/>
        </w:rPr>
        <w:t>Similarly, the Eurydice Report about equity and inclusion in higher education highlights that digital infrastructures can serve as powerful equalising forces, but only if their implementation is equity-driven (European Commission European Education Culture Executive Agency et al., 2022). Without this intentional design, however, digital tools risk increasing existing inequalities. Consistent with the findings of a European Students’ Union survey, younger students, those without access to a quiet study environment, a stable internet connection, or adequate learning materials, as well as students with limited digital literacy and reduced social capital, consistently reported greater difficulties in adapting to the conditions imposed by the COVID-19 pandemic lockdown. In addition, students experiencing mental health challenges demonstrated significantly lower scores across all indicators of academic and social adjustment. These patterns underscore the compounded vulnerabilities experienced by already marginalised groups, highlighting the urgent need for more inclusive and responsive educational support structures during periods of crisis (Doolan et al., 2021).</w:t>
      </w:r>
    </w:p>
    <w:p w14:paraId="727A8987" w14:textId="77777777" w:rsidR="00A22680" w:rsidRPr="00DA2128" w:rsidRDefault="00A22680" w:rsidP="00A937C6">
      <w:pPr>
        <w:spacing w:line="240" w:lineRule="auto"/>
        <w:rPr>
          <w:sz w:val="22"/>
          <w:szCs w:val="22"/>
        </w:rPr>
      </w:pPr>
      <w:r w:rsidRPr="00DA2128">
        <w:rPr>
          <w:sz w:val="22"/>
          <w:szCs w:val="22"/>
        </w:rPr>
        <w:t>According to European University Associations thematic peer group report Needs and wellbeing of students and staff, students are affected differently by the digitalisation of learning, depending on their personal and social circumstances. While some benefit from increased accessibility and flexibility, especially those with disabilities, others face challenges such as digital poverty or lack of digital skills. This highlights the need for institutions to adapt support structures to ensure student wellbeing. Therefore, it is important to notify that while student proposals about improving EDI with digitalisation are ambitious and well-aligned with European policies and priorities, they also rely on universities addressing underlying digital divides through infrastructure, access to internet and general inclusive design (European University Association, 2023).</w:t>
      </w:r>
    </w:p>
    <w:p w14:paraId="61FAFE4C" w14:textId="77777777" w:rsidR="00A22680" w:rsidRPr="00DA2128" w:rsidRDefault="00A22680" w:rsidP="00A937C6">
      <w:pPr>
        <w:spacing w:line="240" w:lineRule="auto"/>
        <w:rPr>
          <w:sz w:val="22"/>
          <w:szCs w:val="22"/>
        </w:rPr>
      </w:pPr>
      <w:r w:rsidRPr="00DA2128">
        <w:rPr>
          <w:sz w:val="22"/>
          <w:szCs w:val="22"/>
        </w:rPr>
        <w:t xml:space="preserve">From a pedagogical standpoint, several proposals regarding digitalisation, innovation and inclusion mirror the principles of Universal Design for Learning (UDL), a framework already mentioned previously in this report, that promotes an inclusive pedagogical framework. UDL emphasises the need to tailor teaching methods to accommodate diverse learning preferences, needs, and abilities. By providing diverse options for engagement, content representation, and ways to demonstrate understanding, UDL enables educators to create adaptable learning environments that respond effectively to students’ differing needs, abilities, and contexts (Cumming and Rose, 2022, Meyer et al., 2014, Coyne et al., 2012).    </w:t>
      </w:r>
    </w:p>
    <w:p w14:paraId="74FA85FE" w14:textId="77777777" w:rsidR="00A22680" w:rsidRPr="00DA2128" w:rsidRDefault="00A22680" w:rsidP="00A937C6">
      <w:pPr>
        <w:spacing w:line="240" w:lineRule="auto"/>
        <w:rPr>
          <w:sz w:val="22"/>
          <w:szCs w:val="22"/>
        </w:rPr>
      </w:pPr>
      <w:r w:rsidRPr="00DA2128">
        <w:rPr>
          <w:sz w:val="22"/>
          <w:szCs w:val="22"/>
        </w:rPr>
        <w:t>A recent study shows that the integration of digital technologies functions as an instrument for strengthening the implementation of Universal Design for Learning (UDL) (Veytia Bucheli et al., 2024). Students’ proposals such as SHEEP (UPB Team 7) and Accessible Lectures (HKR Team 9), which integrate recorded lectures, real-time streaming, and transcripts to accommodate students with varying schedules, abilities, and needs, align with the UDL framework as well as research findings of Veytia Bucheli et al (2024). On one hand, by supporting flexible and responsive teaching methods, technology contributes to more inclusive learning environments that are better equipped to accommodate diverse student needs. On the other hand, the authors (ibid) caution that without ensuring the effectiveness for the different learners, the integration of digital technologies within the UDL framework risks being ineffective or even counterproductive.</w:t>
      </w:r>
    </w:p>
    <w:p w14:paraId="49F3600D" w14:textId="77777777" w:rsidR="00A22680" w:rsidRPr="00DA2128" w:rsidRDefault="00A22680" w:rsidP="00A937C6">
      <w:pPr>
        <w:spacing w:line="240" w:lineRule="auto"/>
        <w:rPr>
          <w:sz w:val="22"/>
          <w:szCs w:val="22"/>
        </w:rPr>
      </w:pPr>
      <w:r w:rsidRPr="00DA2128">
        <w:rPr>
          <w:sz w:val="22"/>
          <w:szCs w:val="22"/>
        </w:rPr>
        <w:t xml:space="preserve">The ULYSSEUS Alliance, for example, started a project called D2S@ULYSSEUS to strengthen the development and implementation of digital technologies in higher education (D2S@ULYSSEUS PROJECT, 2023, Ulysseus, 2021). The aim of the project was to promote inclusive, accessible, and innovative digital learning through shared platforms, tools, and pedagogical models across all partner universities in the alliance. The Erasmus+ funded project developed transversal skills that enabled students entering the labour market, enhanced digital skills among both students and staff, and enabled flexible and collaborative learning environments (D2S@ULYSSEUS PROJECT, 2023, Ulysseus, 2021). It can reasonably be assumed that student perspectives have, at least indirectly, informed the digital strategies of the ULYSSEUS alliance, given their participatory ethos. While direct involvement is uncertain, aligning with the principle that those most affected by exclusion should influence the systems intended to support them remains essential (Göttgens and Oertelt-Prigione, 2021). Thus, externally supported initiatives such as D2S@ULYSSEUS are better positioned to meaningfully integrate the principles of EDI in academia, as they allow universities to allocate dedicated time and resources to success. </w:t>
      </w:r>
    </w:p>
    <w:p w14:paraId="18B8B974" w14:textId="77777777" w:rsidR="00A22680" w:rsidRPr="00DA2128" w:rsidRDefault="00A22680" w:rsidP="00A937C6">
      <w:pPr>
        <w:spacing w:line="240" w:lineRule="auto"/>
        <w:rPr>
          <w:sz w:val="22"/>
          <w:szCs w:val="22"/>
        </w:rPr>
      </w:pPr>
      <w:r w:rsidRPr="00DA2128">
        <w:rPr>
          <w:sz w:val="22"/>
          <w:szCs w:val="22"/>
        </w:rPr>
        <w:t>While digital platforms enhance access, they may not automatically foster social integration or emotional connection, which puts a second layer of complexity around the concept of EDI and digitalisation. Blended learning must be intentionally designed to integrate digital tools with meaningful opportunities for human interaction and community-building in order to be effective. This principle remains highly relevant in today’s rapidly advancing era of digitalisation, where maintaining a sense of connection and engagement is essential for fostering inclusive and supportive learning environments (Garrison and Vaughan, 2008). This highlights the need for institutions to complement digital education with inclusive on-campus practices that ensure equitable learning opportunities for all students, with or without disabilities (Al-Sulaimani, 2023, Mullin et al., 2021).</w:t>
      </w:r>
    </w:p>
    <w:p w14:paraId="01AF4BBF" w14:textId="77777777" w:rsidR="00A22680" w:rsidRPr="00DA2128" w:rsidRDefault="00A22680" w:rsidP="00A937C6">
      <w:pPr>
        <w:spacing w:line="240" w:lineRule="auto"/>
        <w:rPr>
          <w:sz w:val="22"/>
          <w:szCs w:val="22"/>
        </w:rPr>
      </w:pPr>
      <w:r w:rsidRPr="00DA2128">
        <w:rPr>
          <w:sz w:val="22"/>
          <w:szCs w:val="22"/>
        </w:rPr>
        <w:t>A key insight is that aligning digitalisation with pedagogical frameworks such as Universal Design for Learning (UDL) holds significant potential for enhancing accessibility across diverse student populations. This potential is most fully realised when digital tools are intentionally designed to accommodate a wide range of learning needs and preferences. However, digital inclusion cannot be secured through pedagogical strategies alone. An equally important consideration is that digital initiatives must be grounded in an equity-driven approach, ensuring that all students, regardless of socioeconomic background, geographic location, or ability, have access to the necessary technological infrastructure and support to participate fully in higher education.</w:t>
      </w:r>
    </w:p>
    <w:p w14:paraId="3CF97F22" w14:textId="77777777" w:rsidR="00A22680" w:rsidRPr="00DA2128" w:rsidRDefault="00A22680" w:rsidP="00A937C6">
      <w:pPr>
        <w:spacing w:line="240" w:lineRule="auto"/>
        <w:rPr>
          <w:sz w:val="22"/>
          <w:szCs w:val="22"/>
        </w:rPr>
      </w:pPr>
      <w:r w:rsidRPr="00DA2128">
        <w:rPr>
          <w:sz w:val="22"/>
          <w:szCs w:val="22"/>
        </w:rPr>
        <w:t>In sum, digital innovation has emerged as a cornerstone of inclusive higher education reform. The Imagine/IDEATE student proposals demonstrate a sophisticated understanding of both the opportunities and the obligations associated with digital transformation. They emphasise that visibility, access, and flexibility, while important, are insufficient in isolation. Sustainable and meaningful inclusion requires structural alignment, proactive leadership, equity-oriented design, and pedagogical practices that are deliberately inclusive at their core.</w:t>
      </w:r>
    </w:p>
    <w:p w14:paraId="4A8EFD4A" w14:textId="77777777" w:rsidR="00A22680" w:rsidRPr="00DA2128" w:rsidRDefault="00A22680" w:rsidP="00A937C6">
      <w:pPr>
        <w:spacing w:line="240" w:lineRule="auto"/>
        <w:rPr>
          <w:sz w:val="22"/>
          <w:szCs w:val="22"/>
        </w:rPr>
      </w:pPr>
    </w:p>
    <w:p w14:paraId="6A97EABA" w14:textId="77777777" w:rsidR="00A22680" w:rsidRPr="00DA2128" w:rsidRDefault="00A22680" w:rsidP="00A937C6">
      <w:pPr>
        <w:spacing w:line="240" w:lineRule="auto"/>
        <w:rPr>
          <w:color w:val="595959" w:themeColor="text1" w:themeTint="A6"/>
          <w:sz w:val="28"/>
          <w:szCs w:val="28"/>
        </w:rPr>
      </w:pPr>
      <w:r w:rsidRPr="00DA2128">
        <w:rPr>
          <w:color w:val="595959" w:themeColor="text1" w:themeTint="A6"/>
          <w:sz w:val="28"/>
          <w:szCs w:val="28"/>
        </w:rPr>
        <w:t>Advancing EDI through Applied Design Thinking in Higher Education</w:t>
      </w:r>
    </w:p>
    <w:p w14:paraId="6114E285" w14:textId="77777777" w:rsidR="00A22680" w:rsidRPr="00DA2128" w:rsidRDefault="00A22680" w:rsidP="00A937C6">
      <w:pPr>
        <w:spacing w:line="240" w:lineRule="auto"/>
        <w:rPr>
          <w:sz w:val="22"/>
          <w:szCs w:val="22"/>
        </w:rPr>
      </w:pPr>
      <w:r w:rsidRPr="00DA2128">
        <w:rPr>
          <w:sz w:val="22"/>
          <w:szCs w:val="22"/>
        </w:rPr>
        <w:t>The European Commission has established a range of legal and strategic frameworks aimed at realising its vision of an inclusive society. As articulated by Commission President Ursula von der Leyen, this vision entails building a Europe “where you can be who you are, love who you want, and aim as high as you want” (European Commission).</w:t>
      </w:r>
    </w:p>
    <w:p w14:paraId="7942F94E" w14:textId="77777777" w:rsidR="00A22680" w:rsidRPr="00DA2128" w:rsidRDefault="00A22680" w:rsidP="00A937C6">
      <w:pPr>
        <w:spacing w:line="240" w:lineRule="auto"/>
        <w:rPr>
          <w:sz w:val="22"/>
          <w:szCs w:val="22"/>
        </w:rPr>
      </w:pPr>
      <w:r w:rsidRPr="00DA2128">
        <w:rPr>
          <w:sz w:val="22"/>
          <w:szCs w:val="22"/>
        </w:rPr>
        <w:t>To advance this vision, the European Commission introduced a series of strategic actions. In 2020 and 2021, it adopted five key strategies aimed at ensuring that everyone, regardless of gender, racial or ethnic origin, religion or belief, disability, age, or sexual orientation, has the conditions to live, thrive, and lead.</w:t>
      </w:r>
    </w:p>
    <w:p w14:paraId="1963223E" w14:textId="77777777" w:rsidR="00A22680" w:rsidRPr="00DA2128" w:rsidRDefault="00A22680" w:rsidP="00A937C6">
      <w:pPr>
        <w:spacing w:line="240" w:lineRule="auto"/>
        <w:rPr>
          <w:sz w:val="22"/>
          <w:szCs w:val="22"/>
        </w:rPr>
      </w:pPr>
      <w:r w:rsidRPr="00DA2128">
        <w:rPr>
          <w:sz w:val="22"/>
          <w:szCs w:val="22"/>
        </w:rPr>
        <w:t>However, policy alone is insufficient. As evidenced in research, meaningful inclusion must be actively enacted through everyday human interactions and embedded within the broader institutional culture (Tjernberg and Mattson, 2014). This underscores the importance of fostering inclusive values at the structural level as well as within the relational and cultural dimensions. Findings from the Imagine/IDEATE workshops reinforce this perspective. Students repeatedly expressed the expectation that universities should serve as both academic institutions and inclusive, socially responsive communities.</w:t>
      </w:r>
    </w:p>
    <w:p w14:paraId="0B257693" w14:textId="77777777" w:rsidR="00A22680" w:rsidRPr="00DA2128" w:rsidRDefault="00A22680" w:rsidP="00A937C6">
      <w:pPr>
        <w:spacing w:line="240" w:lineRule="auto"/>
        <w:rPr>
          <w:sz w:val="22"/>
          <w:szCs w:val="22"/>
        </w:rPr>
      </w:pPr>
      <w:r w:rsidRPr="00DA2128">
        <w:rPr>
          <w:sz w:val="22"/>
          <w:szCs w:val="22"/>
        </w:rPr>
        <w:t xml:space="preserve">In this context, Applied Design Thinking through the Imagine/IDEATE methodology offers a meaningful and practical way of embedding EDI into higher education curricula. Based on reflections from EDI Officers and facilitators, this methodology has been effective in raising participants’ awareness of EDI issues and in enabling them to recognise how equity, diversity, and inclusion directly shape and influence educational structures, institutional practices, and student experiences. It is established that Design Thinking promotes empathy, critical thinking, collaboration, and resilience, competencies that are essential for fostering inclusive and transformative learning environments (Alvarado, 2025). </w:t>
      </w:r>
    </w:p>
    <w:p w14:paraId="374294E8" w14:textId="77777777" w:rsidR="00A22680" w:rsidRPr="00DA2128" w:rsidRDefault="00A22680" w:rsidP="00A937C6">
      <w:pPr>
        <w:spacing w:line="240" w:lineRule="auto"/>
        <w:rPr>
          <w:sz w:val="22"/>
          <w:szCs w:val="22"/>
        </w:rPr>
      </w:pPr>
      <w:r w:rsidRPr="00DA2128">
        <w:rPr>
          <w:sz w:val="22"/>
          <w:szCs w:val="22"/>
        </w:rPr>
        <w:t xml:space="preserve">Student proposals from across the ten different universities demonstrate that, when learners are invited to take ownership of the process, Applied Design Thinking can catalyse both pedagogical and cultural transformation. Reflections from EDI Officers and facilitators confirm that this methodology redistributed power in the classroom, encouraging equitable participation and empowering students from diverse backgrounds to co-create new learning pathways. These findings consistently show that Design Thinking enhances learner motivation, creative confidence, and team performance in inclusive pedagogical environments (Yao et al., 2024, Liu et al., 2023, Shé et al., 2022). Moreover, design thinking complements the transition from traditional learning to Challenge-Based Learning, another key pedagogical pillar within the COLOURS Alliance. Both approaches, Design Thinking and Challenge-Based Learning, promote relevance, systemic problem-solving, and student agency. </w:t>
      </w:r>
    </w:p>
    <w:p w14:paraId="10576845" w14:textId="77777777" w:rsidR="00A22680" w:rsidRPr="00DA2128" w:rsidRDefault="00A22680" w:rsidP="00A937C6">
      <w:pPr>
        <w:spacing w:line="240" w:lineRule="auto"/>
        <w:rPr>
          <w:sz w:val="22"/>
          <w:szCs w:val="22"/>
        </w:rPr>
      </w:pPr>
      <w:r w:rsidRPr="00DA2128">
        <w:rPr>
          <w:sz w:val="22"/>
          <w:szCs w:val="22"/>
        </w:rPr>
        <w:t xml:space="preserve">For example, the Innovation Challenge Program at Universidad Católica de Santa María (UCSM) in Arequipa, Peru, offers a compelling sample of how experiential, challenge-based education can empower students as agents of social change (Villanueva-Paredes et al., 2024). Initiated by the university’s Vice-Rectorate of Research, the program engages undergraduate students from diverse disciplines in addressing real-world societal challenges through collaborative learning, Design Thinking, and mentorship from national and international experts. By working in interdisciplinary teams with community stakeholders, students develop social innovation proposals that link academic knowledge to urgent social needs. The initiative not only strengthens technical and interpersonal competencies but also fosters responsibility, creativity, and a commitment to sustainable community development. As such, it illustrates how higher education can move beyond traditional paradigms by embedding innovation and inclusion at the core of its educational mission (Villanueva-Paredes et al., 2024). </w:t>
      </w:r>
    </w:p>
    <w:p w14:paraId="0447C655" w14:textId="77777777" w:rsidR="00A22680" w:rsidRPr="00DA2128" w:rsidRDefault="00A22680" w:rsidP="00A937C6">
      <w:pPr>
        <w:spacing w:line="240" w:lineRule="auto"/>
        <w:rPr>
          <w:sz w:val="22"/>
          <w:szCs w:val="22"/>
        </w:rPr>
      </w:pPr>
      <w:r w:rsidRPr="00DA2128">
        <w:rPr>
          <w:sz w:val="22"/>
          <w:szCs w:val="22"/>
        </w:rPr>
        <w:t>The application of Applied Design Thinking within the Imagine/IDEATE framework illustrates its effectiveness as a transformative approach for embedding EDI into higher education curricula. Informed by the reflections of both students and facilitators, and supported by contemporary research, this methodology cultivates inclusive, participatory, and innovative learning environments. As European universities strive to address the multifaceted challenges of the present and advance a more inclusive vision of education, Applied Design Thinking emerges as a promising pathway for cultural and institutional renewal within academia.</w:t>
      </w:r>
    </w:p>
    <w:p w14:paraId="5090653F" w14:textId="77777777" w:rsidR="00A22680" w:rsidRPr="00DA2128" w:rsidRDefault="00A22680" w:rsidP="00A937C6">
      <w:pPr>
        <w:spacing w:line="240" w:lineRule="auto"/>
        <w:rPr>
          <w:color w:val="595959" w:themeColor="text1" w:themeTint="A6"/>
          <w:sz w:val="28"/>
          <w:szCs w:val="28"/>
        </w:rPr>
      </w:pPr>
      <w:r w:rsidRPr="00DA2128">
        <w:rPr>
          <w:color w:val="595959" w:themeColor="text1" w:themeTint="A6"/>
          <w:sz w:val="28"/>
          <w:szCs w:val="28"/>
        </w:rPr>
        <w:t>Conclusion</w:t>
      </w:r>
    </w:p>
    <w:p w14:paraId="4E890ED5" w14:textId="77777777" w:rsidR="00A22680" w:rsidRPr="00DA2128" w:rsidRDefault="00A22680" w:rsidP="00A937C6">
      <w:pPr>
        <w:spacing w:line="240" w:lineRule="auto"/>
        <w:rPr>
          <w:sz w:val="22"/>
          <w:szCs w:val="22"/>
        </w:rPr>
      </w:pPr>
      <w:r w:rsidRPr="00DA2128">
        <w:rPr>
          <w:sz w:val="22"/>
          <w:szCs w:val="22"/>
        </w:rPr>
        <w:t>The findings of this summary report, supported by current research and insights from the Imagine/IDEATE workshops, underscore that inclusive academic environments have a positive impact on student well-being and learning outcomes. Achieving meaningful and sustainable progress in Equity, Diversity, and Inclusion (EDI) within higher education requires a deliberate, institution-wide commitment to cultivating an inclusive academic culture. Innovative pedagogical frameworks—such as Universal Design for Learning and Applied Design Thinking—offer considerable potential for embedding inclusive principles into curricula and teaching practices. However, their effectiveness depends on the extent to which academic institutions embrace diversity as a valued asset and promote educational structures that reflect the diverse needs of their student populations. Inclusive learning environments are most successful when underpinned by strong leadership, strategic planning, institutional accountability, and dedicated resources.</w:t>
      </w:r>
    </w:p>
    <w:p w14:paraId="6B23FE08" w14:textId="5CA59502" w:rsidR="00A22680" w:rsidRPr="00DA2128" w:rsidRDefault="00A22680" w:rsidP="00A937C6">
      <w:pPr>
        <w:spacing w:line="240" w:lineRule="auto"/>
        <w:rPr>
          <w:sz w:val="22"/>
          <w:szCs w:val="22"/>
        </w:rPr>
      </w:pPr>
      <w:r w:rsidRPr="00DA2128">
        <w:rPr>
          <w:sz w:val="22"/>
          <w:szCs w:val="22"/>
        </w:rPr>
        <w:t>Student proposals generated through the Imagine/IDEATE initiative highlight several key priorities. The need for greater inclusivity and accessibility across higher education institutions was consistently emphasised, particularly in relation to the experiences of marginalised groups, including students with disabilities, international students, and those facing economic disadvantage. Suggestions included the development of tailored support services, inclusive events, and targeted educational resources. Many proposals also focused on empathy and experiential learning as vital tools for building awareness of EDI issues. Activities such as immersive cultural exchanges, disability simulations, and empathy-focused workshops were viewed as effective means of fostering deeper understanding among peers and faculty. Enhanced communication and visibility of EDI efforts were seen as critical to ongoing engagement, with students recommending mobile applications, poster campaigns, digital storytelling, and mandatory information sessions to increase institutional transparency and outreach. In addition, digital and technological tools were widely recognised for their capacity to support EDI goals, such as online peer mentoring platforms, multilingual digital materials, and real-time translation apps. Recognition and incentivisation of EDI engagement were also recurrent themes, with proposals advocating formal acknowledgement through academic credits, certificates, and visible public recognition.</w:t>
      </w:r>
    </w:p>
    <w:p w14:paraId="5ED559F0" w14:textId="77777777" w:rsidR="00A22680" w:rsidRPr="00DA2128" w:rsidRDefault="00A22680" w:rsidP="00A937C6">
      <w:pPr>
        <w:spacing w:line="240" w:lineRule="auto"/>
        <w:rPr>
          <w:sz w:val="22"/>
          <w:szCs w:val="22"/>
        </w:rPr>
      </w:pPr>
      <w:r w:rsidRPr="00DA2128">
        <w:rPr>
          <w:sz w:val="22"/>
          <w:szCs w:val="22"/>
        </w:rPr>
        <w:t>In this context, universities within the COLOURS Alliance, and the broader higher education sector, are encouraged to adopt Applied Design Thinking as a participatory framework for advancing EDI. Institutional commitment to the recommendations outlined in this report, particularly the educational activities proposed by students, can significantly enhance EDI practice. By adopting a student-informed and strategic approach and investing in ongoing EDI training, universities can foster genuinely inclusive and dynamic educational environments that reflect the realities and aspirations of all learners.</w:t>
      </w:r>
    </w:p>
    <w:p w14:paraId="39E82EB8" w14:textId="77777777" w:rsidR="00A22680" w:rsidRPr="00DA2128" w:rsidRDefault="00A22680" w:rsidP="00A937C6">
      <w:pPr>
        <w:spacing w:line="240" w:lineRule="auto"/>
        <w:rPr>
          <w:sz w:val="22"/>
          <w:szCs w:val="22"/>
        </w:rPr>
      </w:pPr>
    </w:p>
    <w:p w14:paraId="0F306CD4" w14:textId="77777777" w:rsidR="00524654" w:rsidRPr="00DA2128" w:rsidRDefault="00524654" w:rsidP="00A937C6">
      <w:pPr>
        <w:spacing w:line="240" w:lineRule="auto"/>
        <w:rPr>
          <w:sz w:val="22"/>
          <w:szCs w:val="22"/>
        </w:rPr>
      </w:pPr>
    </w:p>
    <w:p w14:paraId="1B551D37" w14:textId="77777777" w:rsidR="00A22680" w:rsidRPr="00DA2128" w:rsidRDefault="00A22680" w:rsidP="00A937C6">
      <w:pPr>
        <w:pStyle w:val="Sub-subheading"/>
        <w:spacing w:line="240" w:lineRule="auto"/>
        <w:rPr>
          <w:b/>
          <w:bCs/>
        </w:rPr>
      </w:pPr>
      <w:r w:rsidRPr="00DA2128">
        <w:rPr>
          <w:b/>
          <w:bCs/>
        </w:rPr>
        <w:t xml:space="preserve">References </w:t>
      </w:r>
    </w:p>
    <w:p w14:paraId="2B4E8EB0" w14:textId="77777777" w:rsidR="00A22680" w:rsidRPr="00DA2128" w:rsidRDefault="00A22680" w:rsidP="00A937C6">
      <w:pPr>
        <w:spacing w:line="240" w:lineRule="auto"/>
        <w:rPr>
          <w:sz w:val="22"/>
          <w:szCs w:val="22"/>
        </w:rPr>
      </w:pPr>
      <w:r w:rsidRPr="00DA2128">
        <w:rPr>
          <w:sz w:val="22"/>
          <w:szCs w:val="22"/>
        </w:rPr>
        <w:t>AL-SULAIMANI, R. Y. 2023. Accessibility of Blended Learning for Special Needs Students in Higher Education. The American University in Cairo (Egypt).</w:t>
      </w:r>
    </w:p>
    <w:p w14:paraId="7FC4C941" w14:textId="77777777" w:rsidR="00A22680" w:rsidRPr="00DA2128" w:rsidRDefault="00A22680" w:rsidP="00A937C6">
      <w:pPr>
        <w:spacing w:line="240" w:lineRule="auto"/>
        <w:rPr>
          <w:sz w:val="22"/>
          <w:szCs w:val="22"/>
        </w:rPr>
      </w:pPr>
      <w:r w:rsidRPr="00DA2128">
        <w:rPr>
          <w:sz w:val="22"/>
          <w:szCs w:val="22"/>
        </w:rPr>
        <w:t>ALVARADO, L. F. Design thinking as an active teaching methodology in higher education: a systematic review.  Frontiers in Education, 2025. Frontiers Media SA, 1462938.</w:t>
      </w:r>
    </w:p>
    <w:p w14:paraId="3B69C237" w14:textId="77777777" w:rsidR="00A22680" w:rsidRPr="00DA2128" w:rsidRDefault="00A22680" w:rsidP="00A937C6">
      <w:pPr>
        <w:spacing w:line="240" w:lineRule="auto"/>
        <w:rPr>
          <w:sz w:val="22"/>
          <w:szCs w:val="22"/>
        </w:rPr>
      </w:pPr>
      <w:r w:rsidRPr="00DA2128">
        <w:rPr>
          <w:sz w:val="22"/>
          <w:szCs w:val="22"/>
        </w:rPr>
        <w:t>ANTONINIS, M., APRIL, D., BARAKAT, B., BELLA, N., D’ADDIO, A. C., ECK, M., ENDRIZZI, F., JOSHI, P., KUBACKA, K. &amp; MCWILLIAM, A. 2020. All means all: An introduction to the 2020 Global Education Monitoring Report on inclusion. Prospects, 49, 103-109.</w:t>
      </w:r>
    </w:p>
    <w:p w14:paraId="634C9EB5" w14:textId="77777777" w:rsidR="00A22680" w:rsidRPr="00DA2128" w:rsidRDefault="00A22680" w:rsidP="00A937C6">
      <w:pPr>
        <w:spacing w:line="240" w:lineRule="auto"/>
        <w:rPr>
          <w:sz w:val="22"/>
          <w:szCs w:val="22"/>
        </w:rPr>
      </w:pPr>
      <w:r w:rsidRPr="00DA2128">
        <w:rPr>
          <w:sz w:val="22"/>
          <w:szCs w:val="22"/>
        </w:rPr>
        <w:t>ARGYRIS, C. 1977. Double loop learning in organizations. Harvard business review, 55, 115-125.</w:t>
      </w:r>
    </w:p>
    <w:p w14:paraId="0D7160B8" w14:textId="77777777" w:rsidR="00A22680" w:rsidRPr="00DA2128" w:rsidRDefault="00A22680" w:rsidP="00A937C6">
      <w:pPr>
        <w:spacing w:line="240" w:lineRule="auto"/>
        <w:rPr>
          <w:sz w:val="22"/>
          <w:szCs w:val="22"/>
        </w:rPr>
      </w:pPr>
      <w:r w:rsidRPr="00DA2128">
        <w:rPr>
          <w:sz w:val="22"/>
          <w:szCs w:val="22"/>
        </w:rPr>
        <w:t>BATES, T. 2019. How to mind map: 7 easy steps to master mind mapping techniques, note-taking, creative thinking &amp; brainstorming skills, Lulu. com.</w:t>
      </w:r>
    </w:p>
    <w:p w14:paraId="519839F3" w14:textId="77777777" w:rsidR="00A22680" w:rsidRPr="00DA2128" w:rsidRDefault="00A22680" w:rsidP="00A937C6">
      <w:pPr>
        <w:spacing w:line="240" w:lineRule="auto"/>
        <w:rPr>
          <w:sz w:val="22"/>
          <w:szCs w:val="22"/>
        </w:rPr>
      </w:pPr>
      <w:r w:rsidRPr="00DA2128">
        <w:rPr>
          <w:sz w:val="22"/>
          <w:szCs w:val="22"/>
        </w:rPr>
        <w:t>BAUER, G. R. 2014. Incorporating intersectionality theory into population health research methodology: challenges and the potential to advance health equity. Social science &amp; medicine, 110, 10-17.</w:t>
      </w:r>
    </w:p>
    <w:p w14:paraId="57F40794" w14:textId="77777777" w:rsidR="00A22680" w:rsidRPr="00DA2128" w:rsidRDefault="00A22680" w:rsidP="00A937C6">
      <w:pPr>
        <w:spacing w:line="240" w:lineRule="auto"/>
        <w:rPr>
          <w:sz w:val="22"/>
          <w:szCs w:val="22"/>
        </w:rPr>
      </w:pPr>
      <w:r w:rsidRPr="00DA2128">
        <w:rPr>
          <w:sz w:val="22"/>
          <w:szCs w:val="22"/>
        </w:rPr>
        <w:t>BENDER-SALAZAR, R. 2023. Design thinking as an effective method for problem-setting and needfinding for entrepreneurial teams addressing wicked problems. Journal of Innovation and Entrepreneurship, 12, 24.</w:t>
      </w:r>
    </w:p>
    <w:p w14:paraId="47D38C9C" w14:textId="77777777" w:rsidR="00A22680" w:rsidRPr="00DA2128" w:rsidRDefault="00A22680" w:rsidP="00A937C6">
      <w:pPr>
        <w:spacing w:line="240" w:lineRule="auto"/>
        <w:rPr>
          <w:sz w:val="22"/>
          <w:szCs w:val="22"/>
        </w:rPr>
      </w:pPr>
      <w:r w:rsidRPr="00DA2128">
        <w:rPr>
          <w:sz w:val="22"/>
          <w:szCs w:val="22"/>
        </w:rPr>
        <w:t>BRAUN, V. &amp; CLARKE, V. 2006. Using thematic analysis in psychology. Qualitative research in psychology, 3, 77-101.</w:t>
      </w:r>
    </w:p>
    <w:p w14:paraId="19C62054" w14:textId="77777777" w:rsidR="00A22680" w:rsidRPr="00DA2128" w:rsidRDefault="00A22680" w:rsidP="00A937C6">
      <w:pPr>
        <w:spacing w:line="240" w:lineRule="auto"/>
        <w:rPr>
          <w:sz w:val="22"/>
          <w:szCs w:val="22"/>
        </w:rPr>
      </w:pPr>
      <w:r w:rsidRPr="00DA2128">
        <w:rPr>
          <w:sz w:val="22"/>
          <w:szCs w:val="22"/>
        </w:rPr>
        <w:t>BROWN, T. 2008. Design thinking. Harvard business review, 86, 84.</w:t>
      </w:r>
    </w:p>
    <w:p w14:paraId="60D30051" w14:textId="77777777" w:rsidR="00A22680" w:rsidRPr="00DA2128" w:rsidRDefault="00A22680" w:rsidP="00A937C6">
      <w:pPr>
        <w:spacing w:line="240" w:lineRule="auto"/>
        <w:rPr>
          <w:sz w:val="22"/>
          <w:szCs w:val="22"/>
        </w:rPr>
      </w:pPr>
      <w:r w:rsidRPr="00DA2128">
        <w:rPr>
          <w:sz w:val="22"/>
          <w:szCs w:val="22"/>
        </w:rPr>
        <w:t>BROWN, T. 2009. Change by design: How design thinking creates new alternatives for business and society. Collins Business.</w:t>
      </w:r>
    </w:p>
    <w:p w14:paraId="19C02069" w14:textId="77777777" w:rsidR="00A22680" w:rsidRPr="00DA2128" w:rsidRDefault="00A22680" w:rsidP="00A937C6">
      <w:pPr>
        <w:spacing w:line="240" w:lineRule="auto"/>
        <w:rPr>
          <w:sz w:val="22"/>
          <w:szCs w:val="22"/>
        </w:rPr>
      </w:pPr>
      <w:r w:rsidRPr="00DA2128">
        <w:rPr>
          <w:sz w:val="22"/>
          <w:szCs w:val="22"/>
        </w:rPr>
        <w:t>BROWN, T. &amp; KATZ, B. 2011. Change by design. Journal of product innovation management, 28, 381-383.</w:t>
      </w:r>
    </w:p>
    <w:p w14:paraId="7AA80EB8" w14:textId="77777777" w:rsidR="00A22680" w:rsidRPr="00DA2128" w:rsidRDefault="00A22680" w:rsidP="00A937C6">
      <w:pPr>
        <w:spacing w:line="240" w:lineRule="auto"/>
        <w:rPr>
          <w:sz w:val="22"/>
          <w:szCs w:val="22"/>
        </w:rPr>
      </w:pPr>
      <w:r w:rsidRPr="00DA2128">
        <w:rPr>
          <w:sz w:val="22"/>
          <w:szCs w:val="22"/>
        </w:rPr>
        <w:t>BUITENDIJK, S., CURRY, S. &amp; MAES, K. 2019. Equality, diversity and inclusion at universities: the power of a systemic approach. LERU position paper.</w:t>
      </w:r>
    </w:p>
    <w:p w14:paraId="1C4999FD" w14:textId="77777777" w:rsidR="00A22680" w:rsidRPr="00DA2128" w:rsidRDefault="00A22680" w:rsidP="00A937C6">
      <w:pPr>
        <w:spacing w:line="240" w:lineRule="auto"/>
        <w:rPr>
          <w:sz w:val="22"/>
          <w:szCs w:val="22"/>
        </w:rPr>
      </w:pPr>
      <w:r w:rsidRPr="00DA2128">
        <w:rPr>
          <w:sz w:val="22"/>
          <w:szCs w:val="22"/>
        </w:rPr>
        <w:t>CAST 2018. Universal Design for Learning Guidelines, version 2.2. Wakefield, MA: CAST.</w:t>
      </w:r>
    </w:p>
    <w:p w14:paraId="4EA53D2D" w14:textId="77777777" w:rsidR="00A22680" w:rsidRPr="00DA2128" w:rsidRDefault="00A22680" w:rsidP="00A937C6">
      <w:pPr>
        <w:spacing w:line="240" w:lineRule="auto"/>
        <w:rPr>
          <w:sz w:val="22"/>
          <w:szCs w:val="22"/>
        </w:rPr>
      </w:pPr>
      <w:r w:rsidRPr="00DA2128">
        <w:rPr>
          <w:sz w:val="22"/>
          <w:szCs w:val="22"/>
        </w:rPr>
        <w:t>COMMUNIQUÉ ROME. 2020. Rome Ministerial Communiqué [Online]. https://ehea.info/Upload/Rome_Ministerial_Communique.pdf.  [Accessed 9 June 2025].</w:t>
      </w:r>
    </w:p>
    <w:p w14:paraId="3428BF04" w14:textId="77777777" w:rsidR="00A22680" w:rsidRPr="00DA2128" w:rsidRDefault="00A22680" w:rsidP="00A937C6">
      <w:pPr>
        <w:spacing w:line="240" w:lineRule="auto"/>
        <w:rPr>
          <w:sz w:val="22"/>
          <w:szCs w:val="22"/>
        </w:rPr>
      </w:pPr>
      <w:r w:rsidRPr="00DA2128">
        <w:rPr>
          <w:sz w:val="22"/>
          <w:szCs w:val="22"/>
        </w:rPr>
        <w:t>COYNE, P., PISHA, B., DALTON, B., ZEPH, L. A. &amp; SMITH, N. C. 2012. Literacy by design: A universal design for learning approach for students with significant intellectual disabilities. Remedial and Special Education, 33, 162-172.</w:t>
      </w:r>
    </w:p>
    <w:p w14:paraId="1A34C3DD" w14:textId="77777777" w:rsidR="00A22680" w:rsidRPr="00DA2128" w:rsidRDefault="00A22680" w:rsidP="00A937C6">
      <w:pPr>
        <w:spacing w:line="240" w:lineRule="auto"/>
        <w:rPr>
          <w:sz w:val="22"/>
          <w:szCs w:val="22"/>
        </w:rPr>
      </w:pPr>
      <w:r w:rsidRPr="00DA2128">
        <w:rPr>
          <w:sz w:val="22"/>
          <w:szCs w:val="22"/>
        </w:rPr>
        <w:t>CRENSHAW, K. 2022. Demarginalizing the intersection of race and sex: A black feminist critique of antidiscrimination doctrine, feminist theory and antiracist politics [1989]. Contemporary sociological theory, 1, 354.</w:t>
      </w:r>
    </w:p>
    <w:p w14:paraId="754AACBB" w14:textId="77777777" w:rsidR="00A22680" w:rsidRPr="00DA2128" w:rsidRDefault="00A22680" w:rsidP="00A937C6">
      <w:pPr>
        <w:spacing w:line="240" w:lineRule="auto"/>
        <w:rPr>
          <w:sz w:val="22"/>
          <w:szCs w:val="22"/>
        </w:rPr>
      </w:pPr>
      <w:r w:rsidRPr="00DA2128">
        <w:rPr>
          <w:sz w:val="22"/>
          <w:szCs w:val="22"/>
        </w:rPr>
        <w:t>CUMMING, T. M. &amp; ROSE, M. C. 2022. Exploring universal design for learning as an accessibility tool in higher education: A review of the current literature. The Australian Educational Researcher, 49, 1025-1043.</w:t>
      </w:r>
    </w:p>
    <w:p w14:paraId="4CD16BA8" w14:textId="77777777" w:rsidR="00A22680" w:rsidRPr="00DA2128" w:rsidRDefault="00A22680" w:rsidP="00A937C6">
      <w:pPr>
        <w:spacing w:line="240" w:lineRule="auto"/>
        <w:rPr>
          <w:sz w:val="22"/>
          <w:szCs w:val="22"/>
        </w:rPr>
      </w:pPr>
      <w:r w:rsidRPr="00DA2128">
        <w:rPr>
          <w:sz w:val="22"/>
          <w:szCs w:val="22"/>
        </w:rPr>
        <w:t>D2S@ULYSSEUS PROJECT. 2023. https://d2s.ulysseus.eu/outcomes/.  [Accessed 6 June 2025].</w:t>
      </w:r>
    </w:p>
    <w:p w14:paraId="191BF143" w14:textId="77777777" w:rsidR="00A22680" w:rsidRPr="00DA2128" w:rsidRDefault="00A22680" w:rsidP="00A937C6">
      <w:pPr>
        <w:spacing w:line="240" w:lineRule="auto"/>
        <w:rPr>
          <w:sz w:val="22"/>
          <w:szCs w:val="22"/>
        </w:rPr>
      </w:pPr>
      <w:r w:rsidRPr="00DA2128">
        <w:rPr>
          <w:sz w:val="22"/>
          <w:szCs w:val="22"/>
        </w:rPr>
        <w:t>DE MOOIJ, M. J. M., HODNY, R. L., O'NEIL, D. A., GARDNER, M. R., BEAVER, M., BROWN, A. T., BARRY, B. A., ROSS, L. M., JASIK, A. J. &amp; NESBITT, K. M. OB Nest: reimagining low-risk prenatal care.  Mayo Clinic Proceedings, 2018. Elsevier, 458-466.</w:t>
      </w:r>
    </w:p>
    <w:p w14:paraId="60035A06" w14:textId="77777777" w:rsidR="00A22680" w:rsidRPr="00DA2128" w:rsidRDefault="00A22680" w:rsidP="00A937C6">
      <w:pPr>
        <w:spacing w:line="240" w:lineRule="auto"/>
        <w:rPr>
          <w:sz w:val="22"/>
          <w:szCs w:val="22"/>
        </w:rPr>
      </w:pPr>
      <w:r w:rsidRPr="00DA2128">
        <w:rPr>
          <w:sz w:val="22"/>
          <w:szCs w:val="22"/>
        </w:rPr>
        <w:t>DOOLAN, K., BARADA, V., BURIC, I., KROLO, K. &amp; TONKOVIC, Ž. 2021. Student Life during the COVID-19 Pandemic Lockdown: Europe-Wide Insights. European Students' Union.</w:t>
      </w:r>
    </w:p>
    <w:p w14:paraId="7BA18B57" w14:textId="77777777" w:rsidR="00A22680" w:rsidRPr="00DA2128" w:rsidRDefault="00A22680" w:rsidP="00A937C6">
      <w:pPr>
        <w:spacing w:line="240" w:lineRule="auto"/>
        <w:rPr>
          <w:sz w:val="22"/>
          <w:szCs w:val="22"/>
        </w:rPr>
      </w:pPr>
      <w:r w:rsidRPr="00DA2128">
        <w:rPr>
          <w:sz w:val="22"/>
          <w:szCs w:val="22"/>
        </w:rPr>
        <w:t>DORST, K. 2011. The core of ‘design thinking’and its application. Design studies, 32, 521-532.</w:t>
      </w:r>
    </w:p>
    <w:p w14:paraId="7F6B8FC6" w14:textId="77777777" w:rsidR="00A22680" w:rsidRPr="00DA2128" w:rsidRDefault="00A22680" w:rsidP="00A937C6">
      <w:pPr>
        <w:spacing w:line="240" w:lineRule="auto"/>
        <w:rPr>
          <w:sz w:val="22"/>
          <w:szCs w:val="22"/>
        </w:rPr>
      </w:pPr>
      <w:r w:rsidRPr="00DA2128">
        <w:rPr>
          <w:sz w:val="22"/>
          <w:szCs w:val="22"/>
        </w:rPr>
        <w:t>DOW, S. P., GLASSCO, A., KASS, J., SCHWARZ, M., SCHWARTZ, D. L. &amp; KLEMMER, S. R. 2010. Parallel prototyping leads to better design results, more divergence, and increased self-efficacy. ACM Transactions on Computer-Human Interaction (TOCHI), 17, 1-24.</w:t>
      </w:r>
    </w:p>
    <w:p w14:paraId="5C7792D8" w14:textId="77777777" w:rsidR="00A22680" w:rsidRPr="00DA2128" w:rsidRDefault="00A22680" w:rsidP="00A937C6">
      <w:pPr>
        <w:spacing w:line="240" w:lineRule="auto"/>
        <w:rPr>
          <w:sz w:val="22"/>
          <w:szCs w:val="22"/>
        </w:rPr>
      </w:pPr>
      <w:r w:rsidRPr="00DA2128">
        <w:rPr>
          <w:sz w:val="22"/>
          <w:szCs w:val="22"/>
        </w:rPr>
        <w:t>ELGÁN, C., MÜLLERN-ASPEGREN, J., NILSEN, T. &amp; PERSSON, M. 2020. Health Innovation, Implementation and Impact - Theoretical Report Erasmus + project 2018-1-SE01-KA202-039066.</w:t>
      </w:r>
    </w:p>
    <w:p w14:paraId="7249424E" w14:textId="77777777" w:rsidR="00A22680" w:rsidRPr="00DA2128" w:rsidRDefault="00A22680" w:rsidP="00A937C6">
      <w:pPr>
        <w:spacing w:line="240" w:lineRule="auto"/>
        <w:rPr>
          <w:sz w:val="22"/>
          <w:szCs w:val="22"/>
        </w:rPr>
      </w:pPr>
      <w:r w:rsidRPr="00DA2128">
        <w:rPr>
          <w:sz w:val="22"/>
          <w:szCs w:val="22"/>
        </w:rPr>
        <w:t>EUROPEAN COMMISSION. Equality and inclusion  [Online]. https://commission.europa.eu/topics/justice-and-fundamental-rights/equality-and-inclusion_en.  [Accessed 6 June 2025].</w:t>
      </w:r>
    </w:p>
    <w:p w14:paraId="7F81A25E" w14:textId="77777777" w:rsidR="00A22680" w:rsidRPr="00DA2128" w:rsidRDefault="00A22680" w:rsidP="00A937C6">
      <w:pPr>
        <w:spacing w:line="240" w:lineRule="auto"/>
        <w:rPr>
          <w:sz w:val="22"/>
          <w:szCs w:val="22"/>
        </w:rPr>
      </w:pPr>
      <w:r w:rsidRPr="00DA2128">
        <w:rPr>
          <w:sz w:val="22"/>
          <w:szCs w:val="22"/>
        </w:rPr>
        <w:t>EUROPEAN COMMISSION. 2022. Digital Rights and Principles: Presidents of the Commission, the European Parliament and the Council sign European Declaration [Online]. https://ec.europa.eu/commission/presscorner/detail/en/ip_22_7683.  [Accessed 6 June 2025].</w:t>
      </w:r>
    </w:p>
    <w:p w14:paraId="2B3EF00D" w14:textId="77777777" w:rsidR="00A22680" w:rsidRPr="00DA2128" w:rsidRDefault="00A22680" w:rsidP="00A937C6">
      <w:pPr>
        <w:spacing w:line="240" w:lineRule="auto"/>
        <w:rPr>
          <w:sz w:val="22"/>
          <w:szCs w:val="22"/>
        </w:rPr>
      </w:pPr>
      <w:r w:rsidRPr="00DA2128">
        <w:rPr>
          <w:sz w:val="22"/>
          <w:szCs w:val="22"/>
        </w:rPr>
        <w:t>EUROPEAN COMMISSION. 2024. Report on the state of the Digital Decade 2024 [Online]. https://digital-strategy.ec.europa.eu/en/library/report-state-digital-decade-2024.  [Accessed 6 June 2025].</w:t>
      </w:r>
    </w:p>
    <w:p w14:paraId="288BFEF6" w14:textId="77777777" w:rsidR="00A22680" w:rsidRPr="00DA2128" w:rsidRDefault="00A22680" w:rsidP="00A937C6">
      <w:pPr>
        <w:spacing w:line="240" w:lineRule="auto"/>
        <w:rPr>
          <w:sz w:val="22"/>
          <w:szCs w:val="22"/>
        </w:rPr>
      </w:pPr>
      <w:r w:rsidRPr="00DA2128">
        <w:rPr>
          <w:sz w:val="22"/>
          <w:szCs w:val="22"/>
        </w:rPr>
        <w:t>EUROPEAN COMMISSION, DIRECTORATE-GENERAL FOR RESEARCH INNOVATION, ANDRIESCU, M., PÉPIN, A., MOUNGOU, A., BUCKINGHAM, S., GILLOZ, O., DUNN, K., SVÍČKOVÁ, K., COLLIER, N., BROUGHTON, A., TENGLEROVA, H., HOYA, C., NÁJERA, L., KELLY, G., SMĘTEK, J., GÓRNIAK, A., NICOSIA, D., MICHALCAKOVA, J., ANTANAVIČIUS, J. &amp; DAVIES, R. 2025. Impact of gender equality plans across the European research area – Report, Publications Office of the European Union.</w:t>
      </w:r>
    </w:p>
    <w:p w14:paraId="1DC0EDD9" w14:textId="77777777" w:rsidR="00A22680" w:rsidRPr="00DA2128" w:rsidRDefault="00A22680" w:rsidP="00A937C6">
      <w:pPr>
        <w:spacing w:line="240" w:lineRule="auto"/>
        <w:rPr>
          <w:sz w:val="22"/>
          <w:szCs w:val="22"/>
        </w:rPr>
      </w:pPr>
      <w:r w:rsidRPr="00DA2128">
        <w:rPr>
          <w:sz w:val="22"/>
          <w:szCs w:val="22"/>
        </w:rPr>
        <w:t>EUROPEAN COMMISSION EUROPEAN EDUCATION CULTURE EXECUTIVE AGENCY, CROSIER, D. &amp; SIGALAS, E. 2022. Towards equity and inclusion in higher education in Europe, Publications Office of the European Union.</w:t>
      </w:r>
    </w:p>
    <w:p w14:paraId="0D716671" w14:textId="77777777" w:rsidR="00A22680" w:rsidRPr="00DA2128" w:rsidRDefault="00A22680" w:rsidP="00A937C6">
      <w:pPr>
        <w:spacing w:line="240" w:lineRule="auto"/>
        <w:rPr>
          <w:sz w:val="22"/>
          <w:szCs w:val="22"/>
        </w:rPr>
      </w:pPr>
      <w:r w:rsidRPr="00DA2128">
        <w:rPr>
          <w:sz w:val="22"/>
          <w:szCs w:val="22"/>
        </w:rPr>
        <w:t>EUROPEAN HIGHER EDUCATION AREA. SOCIAL DIMENSION IN HIGHER EDUCATION [Online]. https://ehea.info/page-social-dimension.  [Accessed 9 June 2025].</w:t>
      </w:r>
    </w:p>
    <w:p w14:paraId="5273B0E6" w14:textId="77777777" w:rsidR="00A22680" w:rsidRPr="00DA2128" w:rsidRDefault="00A22680" w:rsidP="00A937C6">
      <w:pPr>
        <w:spacing w:line="240" w:lineRule="auto"/>
        <w:rPr>
          <w:sz w:val="22"/>
          <w:szCs w:val="22"/>
        </w:rPr>
      </w:pPr>
      <w:r w:rsidRPr="00DA2128">
        <w:rPr>
          <w:sz w:val="22"/>
          <w:szCs w:val="22"/>
        </w:rPr>
        <w:t>EUROPEAN HIGHER EDUCATION AREA 2024. Tirana EHEA Ministerial Conference, Tirana Communiqué. https://ehea.info/Immagini/Tirana-Communique1.pdf.</w:t>
      </w:r>
    </w:p>
    <w:p w14:paraId="3B565C12" w14:textId="77777777" w:rsidR="00A22680" w:rsidRPr="00DA2128" w:rsidRDefault="00A22680" w:rsidP="00A937C6">
      <w:pPr>
        <w:spacing w:line="240" w:lineRule="auto"/>
        <w:rPr>
          <w:sz w:val="22"/>
          <w:szCs w:val="22"/>
        </w:rPr>
      </w:pPr>
      <w:r w:rsidRPr="00DA2128">
        <w:rPr>
          <w:sz w:val="22"/>
          <w:szCs w:val="22"/>
        </w:rPr>
        <w:t xml:space="preserve">EUROPEAN UNION AGENCY FOR FUNDAMENTAL RIGHTS 2024. FUNDAMENTAL RIGHTS REPORT </w:t>
      </w:r>
      <w:r w:rsidRPr="00DA2128">
        <w:rPr>
          <w:rFonts w:ascii="Arial" w:hAnsi="Arial" w:cs="Arial"/>
          <w:sz w:val="22"/>
          <w:szCs w:val="22"/>
        </w:rPr>
        <w:t>―</w:t>
      </w:r>
      <w:r w:rsidRPr="00DA2128">
        <w:rPr>
          <w:sz w:val="22"/>
          <w:szCs w:val="22"/>
        </w:rPr>
        <w:t xml:space="preserve"> 2024. Luxembourg: Publications Office of the European Union,.</w:t>
      </w:r>
    </w:p>
    <w:p w14:paraId="7B16E352" w14:textId="77777777" w:rsidR="00A22680" w:rsidRPr="00DA2128" w:rsidRDefault="00A22680" w:rsidP="00A937C6">
      <w:pPr>
        <w:spacing w:line="240" w:lineRule="auto"/>
        <w:rPr>
          <w:sz w:val="22"/>
          <w:szCs w:val="22"/>
        </w:rPr>
      </w:pPr>
      <w:r w:rsidRPr="00DA2128">
        <w:rPr>
          <w:sz w:val="22"/>
          <w:szCs w:val="22"/>
        </w:rPr>
        <w:t>EUROPEAN UNIVERSITY ASSOCIATION. 2023. Needs and Wellbeing of Students and Staff. [Online]. https://www.eua.eu/downloads/publications/eua%20tpg%20report_needs%20and%20wellbeing%20of%20students%20and%20staff.pdf.  [Accessed 9 June 2025].</w:t>
      </w:r>
    </w:p>
    <w:p w14:paraId="381BB740" w14:textId="77777777" w:rsidR="00A22680" w:rsidRPr="00DA2128" w:rsidRDefault="00A22680" w:rsidP="00A937C6">
      <w:pPr>
        <w:spacing w:line="240" w:lineRule="auto"/>
        <w:rPr>
          <w:sz w:val="22"/>
          <w:szCs w:val="22"/>
        </w:rPr>
      </w:pPr>
      <w:r w:rsidRPr="00DA2128">
        <w:rPr>
          <w:sz w:val="22"/>
          <w:szCs w:val="22"/>
        </w:rPr>
        <w:t>FLORIAN, L. &amp; SPRATT, J. 2013. Enacting inclusion: A framework for interrogating inclusive practice. European journal of special needs education, 28, 119-135.</w:t>
      </w:r>
    </w:p>
    <w:p w14:paraId="1A51F2D6" w14:textId="77777777" w:rsidR="00A22680" w:rsidRPr="00DA2128" w:rsidRDefault="00A22680" w:rsidP="00A937C6">
      <w:pPr>
        <w:spacing w:line="240" w:lineRule="auto"/>
        <w:rPr>
          <w:sz w:val="22"/>
          <w:szCs w:val="22"/>
        </w:rPr>
      </w:pPr>
      <w:r w:rsidRPr="00DA2128">
        <w:rPr>
          <w:sz w:val="22"/>
          <w:szCs w:val="22"/>
        </w:rPr>
        <w:t>FONG, C. J., ADELUGBA, S. F., GARZA, M., PINTO, G. L., GONZALES, C., ZAREI, P. &amp; ROZEK, C. S. 2024. A scoping review of the associations between sense of belonging and academic outcomes in postsecondary education. Educational Psychology Review, 36, 1-44.</w:t>
      </w:r>
    </w:p>
    <w:p w14:paraId="54DDB463" w14:textId="77777777" w:rsidR="00A22680" w:rsidRPr="00DA2128" w:rsidRDefault="00A22680" w:rsidP="00A937C6">
      <w:pPr>
        <w:spacing w:line="240" w:lineRule="auto"/>
        <w:rPr>
          <w:sz w:val="22"/>
          <w:szCs w:val="22"/>
        </w:rPr>
      </w:pPr>
      <w:r w:rsidRPr="00DA2128">
        <w:rPr>
          <w:sz w:val="22"/>
          <w:szCs w:val="22"/>
        </w:rPr>
        <w:t>GARRISON, D. R. &amp; VAUGHAN, N. D. 2008. Blended learning in higher education: Framework, principles, and guidelines, John Wiley &amp; Sons.</w:t>
      </w:r>
    </w:p>
    <w:p w14:paraId="585E2017" w14:textId="77777777" w:rsidR="00A22680" w:rsidRPr="00DA2128" w:rsidRDefault="00A22680" w:rsidP="00A937C6">
      <w:pPr>
        <w:spacing w:line="240" w:lineRule="auto"/>
        <w:rPr>
          <w:sz w:val="22"/>
          <w:szCs w:val="22"/>
        </w:rPr>
      </w:pPr>
      <w:r w:rsidRPr="00DA2128">
        <w:rPr>
          <w:sz w:val="22"/>
          <w:szCs w:val="22"/>
        </w:rPr>
        <w:t>GASSON, S. 2003. Human-centered vs. user-centered approaches to information system design. Journal of Information Technology Theory and Application (JITTA), 5, 5.</w:t>
      </w:r>
    </w:p>
    <w:p w14:paraId="2E02024D" w14:textId="77777777" w:rsidR="00A22680" w:rsidRPr="00DA2128" w:rsidRDefault="00A22680" w:rsidP="00A937C6">
      <w:pPr>
        <w:spacing w:line="240" w:lineRule="auto"/>
        <w:rPr>
          <w:sz w:val="22"/>
          <w:szCs w:val="22"/>
        </w:rPr>
      </w:pPr>
      <w:r w:rsidRPr="00DA2128">
        <w:rPr>
          <w:sz w:val="22"/>
          <w:szCs w:val="22"/>
        </w:rPr>
        <w:t>GÖTTGENS, I. &amp; OERTELT-PRIGIONE, S. 2021. The Application of Human-Centered Design Approaches in Health Research and Innovation: A Narrative Review of Current Practices. JMIR Mhealth Uhealth, 9, e28102.</w:t>
      </w:r>
    </w:p>
    <w:p w14:paraId="1E1F05B0" w14:textId="77777777" w:rsidR="00A22680" w:rsidRPr="00DA2128" w:rsidRDefault="00A22680" w:rsidP="00A937C6">
      <w:pPr>
        <w:spacing w:line="240" w:lineRule="auto"/>
        <w:rPr>
          <w:sz w:val="22"/>
          <w:szCs w:val="22"/>
        </w:rPr>
      </w:pPr>
      <w:r w:rsidRPr="00DA2128">
        <w:rPr>
          <w:sz w:val="22"/>
          <w:szCs w:val="22"/>
        </w:rPr>
        <w:t>HAUSCHILDT, K., GWOSC, C., SCHIRMER, H., MANDL, S. &amp; MENZ, C. 2024. Social and economic conditions of student life in Europe: Eurostudent 8 synopsis of indicators 2021-2024, wbv Media GmbH &amp; Company KG.</w:t>
      </w:r>
    </w:p>
    <w:p w14:paraId="2729EFE1" w14:textId="77777777" w:rsidR="00A22680" w:rsidRPr="00DA2128" w:rsidRDefault="00A22680" w:rsidP="00A937C6">
      <w:pPr>
        <w:spacing w:line="240" w:lineRule="auto"/>
        <w:rPr>
          <w:sz w:val="22"/>
          <w:szCs w:val="22"/>
        </w:rPr>
      </w:pPr>
      <w:r w:rsidRPr="00DA2128">
        <w:rPr>
          <w:sz w:val="22"/>
          <w:szCs w:val="22"/>
        </w:rPr>
        <w:t>HAYES, A. M. &amp; BULAT, J. 2017. Disabilities inclusive education systems and policies guide for low-and middle-income countries.</w:t>
      </w:r>
    </w:p>
    <w:p w14:paraId="0EE45465" w14:textId="77777777" w:rsidR="00A22680" w:rsidRPr="00DA2128" w:rsidRDefault="00A22680" w:rsidP="00A937C6">
      <w:pPr>
        <w:spacing w:line="240" w:lineRule="auto"/>
        <w:rPr>
          <w:sz w:val="22"/>
          <w:szCs w:val="22"/>
        </w:rPr>
      </w:pPr>
      <w:r w:rsidRPr="00DA2128">
        <w:rPr>
          <w:sz w:val="22"/>
          <w:szCs w:val="22"/>
        </w:rPr>
        <w:t>HELLERSTEDT, K., UMAN, T., &amp; WENBERG, K. (2024). Fooled by diversity? When diversity initiatives exacerbate rather than mitigate bias and inequality. Academy of Management Perspectives, 38(1), 23-42.</w:t>
      </w:r>
    </w:p>
    <w:p w14:paraId="68866F5F" w14:textId="77777777" w:rsidR="00A22680" w:rsidRPr="00DA2128" w:rsidRDefault="00A22680" w:rsidP="00A937C6">
      <w:pPr>
        <w:spacing w:line="240" w:lineRule="auto"/>
        <w:rPr>
          <w:sz w:val="22"/>
          <w:szCs w:val="22"/>
        </w:rPr>
      </w:pPr>
      <w:r w:rsidRPr="00DA2128">
        <w:rPr>
          <w:sz w:val="22"/>
          <w:szCs w:val="22"/>
        </w:rPr>
        <w:t>JENSEN, D. D., CRIDER, K., WOOD, K. L. &amp; WOOD, J. J. Body-Storming, Super Heroes, and Sci-Tech Publications: Techniques to Enhance the Ideation Process.  2011 ASEE Annual Conference &amp; Exposition, 2011. 22.292. 1-22.292. 13.</w:t>
      </w:r>
    </w:p>
    <w:p w14:paraId="086B70B3" w14:textId="77777777" w:rsidR="00A22680" w:rsidRPr="00DA2128" w:rsidRDefault="00A22680" w:rsidP="00A937C6">
      <w:pPr>
        <w:spacing w:line="240" w:lineRule="auto"/>
        <w:rPr>
          <w:sz w:val="22"/>
          <w:szCs w:val="22"/>
        </w:rPr>
      </w:pPr>
      <w:r w:rsidRPr="00DA2128">
        <w:rPr>
          <w:sz w:val="22"/>
          <w:szCs w:val="22"/>
        </w:rPr>
        <w:t>KOLB, D. A. 2015. Experiential learning : experience as the source of learning and development, Upper Saddle River, New Jersey, Pearson Education, Inc.</w:t>
      </w:r>
    </w:p>
    <w:p w14:paraId="1CCF26B2" w14:textId="77777777" w:rsidR="00A22680" w:rsidRPr="00DA2128" w:rsidRDefault="00A22680" w:rsidP="00A937C6">
      <w:pPr>
        <w:spacing w:line="240" w:lineRule="auto"/>
        <w:rPr>
          <w:sz w:val="22"/>
          <w:szCs w:val="22"/>
        </w:rPr>
      </w:pPr>
      <w:r w:rsidRPr="00DA2128">
        <w:rPr>
          <w:sz w:val="22"/>
          <w:szCs w:val="22"/>
        </w:rPr>
        <w:t>KONSTANTINIDOU, D. T. 2025. The Evolution of European Higher Education Policy: From Bologna Declaration to Tirana Communique. International Journal of Latest Research in Humanities and Social Science,, 8, 65-72.</w:t>
      </w:r>
    </w:p>
    <w:p w14:paraId="520C3FD2" w14:textId="77777777" w:rsidR="00A22680" w:rsidRPr="00DA2128" w:rsidRDefault="00A22680" w:rsidP="00A937C6">
      <w:pPr>
        <w:spacing w:line="240" w:lineRule="auto"/>
        <w:rPr>
          <w:sz w:val="22"/>
          <w:szCs w:val="22"/>
        </w:rPr>
      </w:pPr>
      <w:r w:rsidRPr="00DA2128">
        <w:rPr>
          <w:sz w:val="22"/>
          <w:szCs w:val="22"/>
        </w:rPr>
        <w:t>LIEDTKA, J. 2015. Perspective: Linking design thinking with innovation outcomes through cognitive bias reduction. Journal of product innovation management, 32, 925-938.</w:t>
      </w:r>
    </w:p>
    <w:p w14:paraId="3AF94E3B" w14:textId="77777777" w:rsidR="00A22680" w:rsidRPr="00DA2128" w:rsidRDefault="00A22680" w:rsidP="00A937C6">
      <w:pPr>
        <w:spacing w:line="240" w:lineRule="auto"/>
        <w:rPr>
          <w:sz w:val="22"/>
          <w:szCs w:val="22"/>
        </w:rPr>
      </w:pPr>
      <w:r w:rsidRPr="00DA2128">
        <w:rPr>
          <w:sz w:val="22"/>
          <w:szCs w:val="22"/>
        </w:rPr>
        <w:t>LIEDTKA, J. 2018. Why design thinking works. Harvard Business Review, 96, 72-79.</w:t>
      </w:r>
    </w:p>
    <w:p w14:paraId="093AF957" w14:textId="77777777" w:rsidR="00A22680" w:rsidRPr="00DA2128" w:rsidRDefault="00A22680" w:rsidP="00A937C6">
      <w:pPr>
        <w:spacing w:line="240" w:lineRule="auto"/>
        <w:rPr>
          <w:sz w:val="22"/>
          <w:szCs w:val="22"/>
        </w:rPr>
      </w:pPr>
      <w:r w:rsidRPr="00DA2128">
        <w:rPr>
          <w:sz w:val="22"/>
          <w:szCs w:val="22"/>
        </w:rPr>
        <w:t>LIEDTKA, J. &amp; OGILVIE, T. 2011. Designing for growth: A design thinking tool kit for managers, Columbia University Press.</w:t>
      </w:r>
    </w:p>
    <w:p w14:paraId="367C3228" w14:textId="77777777" w:rsidR="00A22680" w:rsidRPr="00DA2128" w:rsidRDefault="00A22680" w:rsidP="00A937C6">
      <w:pPr>
        <w:spacing w:line="240" w:lineRule="auto"/>
        <w:rPr>
          <w:sz w:val="22"/>
          <w:szCs w:val="22"/>
        </w:rPr>
      </w:pPr>
      <w:r w:rsidRPr="0035189B">
        <w:rPr>
          <w:sz w:val="22"/>
          <w:szCs w:val="22"/>
          <w:lang w:val="sv-SE"/>
        </w:rPr>
        <w:t xml:space="preserve">LIU, Y.-L. E., LEE, T.-P. &amp; HUANG, Y.-M. 2023. </w:t>
      </w:r>
      <w:r w:rsidRPr="00DA2128">
        <w:rPr>
          <w:sz w:val="22"/>
          <w:szCs w:val="22"/>
        </w:rPr>
        <w:t>Enhancing university students' creative confidence, learning motivation, and team creative performance in design thinking using a digital visual collaborative environment. Thinking Skills and Creativity, 50, 101388.</w:t>
      </w:r>
    </w:p>
    <w:p w14:paraId="559D012C" w14:textId="77777777" w:rsidR="00A22680" w:rsidRPr="00DA2128" w:rsidRDefault="00A22680" w:rsidP="00A937C6">
      <w:pPr>
        <w:spacing w:line="240" w:lineRule="auto"/>
        <w:rPr>
          <w:sz w:val="22"/>
          <w:szCs w:val="22"/>
        </w:rPr>
      </w:pPr>
      <w:r w:rsidRPr="00DA2128">
        <w:rPr>
          <w:sz w:val="22"/>
          <w:szCs w:val="22"/>
        </w:rPr>
        <w:t>MEINEL, C., LEIFER, L. &amp; PLATTNER, H. 2011. Design thinking: Understand-improve-apply, Springer.</w:t>
      </w:r>
    </w:p>
    <w:p w14:paraId="0342CA42" w14:textId="77777777" w:rsidR="00A22680" w:rsidRPr="00DA2128" w:rsidRDefault="00A22680" w:rsidP="00A937C6">
      <w:pPr>
        <w:spacing w:line="240" w:lineRule="auto"/>
        <w:rPr>
          <w:sz w:val="22"/>
          <w:szCs w:val="22"/>
        </w:rPr>
      </w:pPr>
      <w:r w:rsidRPr="00DA2128">
        <w:rPr>
          <w:sz w:val="22"/>
          <w:szCs w:val="22"/>
        </w:rPr>
        <w:t>MEYER, A., ROSE, D. H. &amp; GORDON, D. 2014. Universal design for learning: Theory and practice.</w:t>
      </w:r>
    </w:p>
    <w:p w14:paraId="3455EE37" w14:textId="77777777" w:rsidR="00A22680" w:rsidRPr="00DA2128" w:rsidRDefault="00A22680" w:rsidP="00A937C6">
      <w:pPr>
        <w:spacing w:line="240" w:lineRule="auto"/>
        <w:rPr>
          <w:sz w:val="22"/>
          <w:szCs w:val="22"/>
        </w:rPr>
      </w:pPr>
      <w:r w:rsidRPr="00DA2128">
        <w:rPr>
          <w:sz w:val="22"/>
          <w:szCs w:val="22"/>
        </w:rPr>
        <w:t>MULLIN, C., GOULD, R. &amp; HARRIS, S. P. 2021. Digital Access for Students in Higher Education and the ADA. Chicago, IL: ADA National Network Knowledge Translation Center.</w:t>
      </w:r>
    </w:p>
    <w:p w14:paraId="5FA07C36" w14:textId="77777777" w:rsidR="00A22680" w:rsidRPr="00DA2128" w:rsidRDefault="00A22680" w:rsidP="00A937C6">
      <w:pPr>
        <w:spacing w:line="240" w:lineRule="auto"/>
        <w:rPr>
          <w:sz w:val="22"/>
          <w:szCs w:val="22"/>
        </w:rPr>
      </w:pPr>
      <w:r w:rsidRPr="00DA2128">
        <w:rPr>
          <w:sz w:val="22"/>
          <w:szCs w:val="22"/>
        </w:rPr>
        <w:t>O'REILLY, K. 2012. Ethnographic methods, Routledge.</w:t>
      </w:r>
    </w:p>
    <w:p w14:paraId="2ACA185B" w14:textId="77777777" w:rsidR="00A22680" w:rsidRPr="00DA2128" w:rsidRDefault="00A22680" w:rsidP="00A937C6">
      <w:pPr>
        <w:spacing w:line="240" w:lineRule="auto"/>
        <w:rPr>
          <w:sz w:val="22"/>
          <w:szCs w:val="22"/>
        </w:rPr>
      </w:pPr>
      <w:r w:rsidRPr="00DA2128">
        <w:rPr>
          <w:sz w:val="22"/>
          <w:szCs w:val="22"/>
        </w:rPr>
        <w:t>PAULUS, P. B. &amp; YANG, H.-C. 2000. Idea generation in groups: A basis for creativity in organizations. Organizational behavior and human decision processes, 82, 76-87.</w:t>
      </w:r>
    </w:p>
    <w:p w14:paraId="261534C0" w14:textId="77777777" w:rsidR="00A22680" w:rsidRPr="00DA2128" w:rsidRDefault="00A22680" w:rsidP="00A937C6">
      <w:pPr>
        <w:spacing w:line="240" w:lineRule="auto"/>
        <w:rPr>
          <w:sz w:val="22"/>
          <w:szCs w:val="22"/>
        </w:rPr>
      </w:pPr>
      <w:r w:rsidRPr="00DA2128">
        <w:rPr>
          <w:sz w:val="22"/>
          <w:szCs w:val="22"/>
        </w:rPr>
        <w:t>PERSSON, M. 2025. Human Centered Innovation –</w:t>
      </w:r>
    </w:p>
    <w:p w14:paraId="16956D7D" w14:textId="77777777" w:rsidR="00A22680" w:rsidRPr="00DA2128" w:rsidRDefault="00A22680" w:rsidP="00A937C6">
      <w:pPr>
        <w:spacing w:line="240" w:lineRule="auto"/>
        <w:rPr>
          <w:sz w:val="22"/>
          <w:szCs w:val="22"/>
        </w:rPr>
      </w:pPr>
      <w:r w:rsidRPr="00DA2128">
        <w:rPr>
          <w:sz w:val="22"/>
          <w:szCs w:val="22"/>
        </w:rPr>
        <w:t xml:space="preserve">The art of combining empathy and creativity (Recorded lecture ). Erasmus + project Reference number: 2023-1-SE01-KA220-HED-000161031. Kristianstad University </w:t>
      </w:r>
    </w:p>
    <w:p w14:paraId="7D960FAD" w14:textId="77777777" w:rsidR="00A22680" w:rsidRPr="00DA2128" w:rsidRDefault="00A22680" w:rsidP="00A937C6">
      <w:pPr>
        <w:spacing w:line="240" w:lineRule="auto"/>
        <w:rPr>
          <w:sz w:val="22"/>
          <w:szCs w:val="22"/>
        </w:rPr>
      </w:pPr>
      <w:r w:rsidRPr="00DA2128">
        <w:rPr>
          <w:sz w:val="22"/>
          <w:szCs w:val="22"/>
        </w:rPr>
        <w:t>PRATT, B. 2021. Sharing power in global health research: an ethical toolkit for designing priority-setting processes that meaningfully include communities. International Journal for Equity in Health, 20, 127.</w:t>
      </w:r>
    </w:p>
    <w:p w14:paraId="00E453B1" w14:textId="77777777" w:rsidR="00A22680" w:rsidRPr="00DA2128" w:rsidRDefault="00A22680" w:rsidP="00A937C6">
      <w:pPr>
        <w:spacing w:line="240" w:lineRule="auto"/>
        <w:rPr>
          <w:sz w:val="22"/>
          <w:szCs w:val="22"/>
        </w:rPr>
      </w:pPr>
      <w:r w:rsidRPr="00DA2128">
        <w:rPr>
          <w:sz w:val="22"/>
          <w:szCs w:val="22"/>
        </w:rPr>
        <w:t>ROSE, D. H. &amp; MEYER, A. 2002. Teaching every student in the digital age: Universal design for learning, ERIC.</w:t>
      </w:r>
    </w:p>
    <w:p w14:paraId="526B59E2" w14:textId="77777777" w:rsidR="00A22680" w:rsidRPr="00DA2128" w:rsidRDefault="00A22680" w:rsidP="00A937C6">
      <w:pPr>
        <w:spacing w:line="240" w:lineRule="auto"/>
        <w:rPr>
          <w:sz w:val="22"/>
          <w:szCs w:val="22"/>
        </w:rPr>
      </w:pPr>
      <w:r w:rsidRPr="00DA2128">
        <w:rPr>
          <w:sz w:val="22"/>
          <w:szCs w:val="22"/>
        </w:rPr>
        <w:t>SALMON, M., SALMON, C., BISSINGER, A., MULLER, M. M., GEBREYESUS, A., GEREMEW, H., WENDELL, S., AZAZA, A., SALUMU, M. &amp; BENFIELD, N. 2015. Alternative ultrasound gel for a sustainable ultrasound program: application of human centered design. PloS one, 10, e0134332.</w:t>
      </w:r>
    </w:p>
    <w:p w14:paraId="7B640FDC" w14:textId="77777777" w:rsidR="00A22680" w:rsidRPr="00DA2128" w:rsidRDefault="00A22680" w:rsidP="00A937C6">
      <w:pPr>
        <w:spacing w:line="240" w:lineRule="auto"/>
        <w:rPr>
          <w:sz w:val="22"/>
          <w:szCs w:val="22"/>
        </w:rPr>
      </w:pPr>
      <w:r w:rsidRPr="00DA2128">
        <w:rPr>
          <w:sz w:val="22"/>
          <w:szCs w:val="22"/>
        </w:rPr>
        <w:t>SCUKANEC SCHMIDT, N. &amp; ONITA, H. 2024. BFUG Working Group on Social Dimension 2021-2024: Final Report for the Period 2021-2024. Tirana: Bologna Follow-up Group.</w:t>
      </w:r>
    </w:p>
    <w:p w14:paraId="48C171A5" w14:textId="77777777" w:rsidR="00A22680" w:rsidRPr="00DA2128" w:rsidRDefault="00A22680" w:rsidP="00A937C6">
      <w:pPr>
        <w:spacing w:line="240" w:lineRule="auto"/>
        <w:rPr>
          <w:sz w:val="22"/>
          <w:szCs w:val="22"/>
        </w:rPr>
      </w:pPr>
      <w:r w:rsidRPr="00DA2128">
        <w:rPr>
          <w:sz w:val="22"/>
          <w:szCs w:val="22"/>
        </w:rPr>
        <w:t>SHÉ, C. N., FARRELL, O., BRUNTON, J. &amp; COSTELLO, E. 2022. Integrating design thinking into instructional design: The# OpenTeach case study. Australasian Journal of Educational Technology, 38, 33-52.</w:t>
      </w:r>
    </w:p>
    <w:p w14:paraId="40319132" w14:textId="77777777" w:rsidR="00A22680" w:rsidRPr="00DA2128" w:rsidRDefault="00A22680" w:rsidP="00A937C6">
      <w:pPr>
        <w:spacing w:line="240" w:lineRule="auto"/>
        <w:rPr>
          <w:sz w:val="22"/>
          <w:szCs w:val="22"/>
        </w:rPr>
      </w:pPr>
      <w:r w:rsidRPr="00DA2128">
        <w:rPr>
          <w:sz w:val="22"/>
          <w:szCs w:val="22"/>
        </w:rPr>
        <w:t>TJERNBERG, C. &amp; MATTSON, E. H. 2014. Inclusion in practice: a matter of school culture. European Journal of Special Needs Education, 29, 247-256.</w:t>
      </w:r>
    </w:p>
    <w:p w14:paraId="489C053A" w14:textId="77777777" w:rsidR="00A22680" w:rsidRPr="00DA2128" w:rsidRDefault="00A22680" w:rsidP="00A937C6">
      <w:pPr>
        <w:spacing w:line="240" w:lineRule="auto"/>
        <w:rPr>
          <w:sz w:val="22"/>
          <w:szCs w:val="22"/>
        </w:rPr>
      </w:pPr>
      <w:r w:rsidRPr="00DA2128">
        <w:rPr>
          <w:sz w:val="22"/>
          <w:szCs w:val="22"/>
        </w:rPr>
        <w:t>TSCHIMMEL, K. Design Thinking as an effective Toolkit for Innovation.  ISPIM conference proceedings, 2012. The International Society for Professional Innovation Management (ISPIM), 1.</w:t>
      </w:r>
    </w:p>
    <w:p w14:paraId="248168A6" w14:textId="77777777" w:rsidR="00A22680" w:rsidRPr="00DA2128" w:rsidRDefault="00A22680" w:rsidP="00A937C6">
      <w:pPr>
        <w:spacing w:line="240" w:lineRule="auto"/>
        <w:rPr>
          <w:sz w:val="22"/>
          <w:szCs w:val="22"/>
        </w:rPr>
      </w:pPr>
      <w:r w:rsidRPr="0035189B">
        <w:rPr>
          <w:sz w:val="22"/>
          <w:szCs w:val="22"/>
          <w:lang w:val="sv-SE"/>
        </w:rPr>
        <w:t xml:space="preserve">ULYSSEUS. 2021. https://ulysseus.eu/news/erasmus-funding-awarded-to-ulysseus-to-foster-digital-technologies-for-learning/.  </w:t>
      </w:r>
      <w:r w:rsidRPr="00DA2128">
        <w:rPr>
          <w:sz w:val="22"/>
          <w:szCs w:val="22"/>
        </w:rPr>
        <w:t>[Accessed 56 June 2025].</w:t>
      </w:r>
    </w:p>
    <w:p w14:paraId="13987556" w14:textId="77777777" w:rsidR="00A22680" w:rsidRPr="00DA2128" w:rsidRDefault="00A22680" w:rsidP="00A937C6">
      <w:pPr>
        <w:spacing w:line="240" w:lineRule="auto"/>
        <w:rPr>
          <w:sz w:val="22"/>
          <w:szCs w:val="22"/>
        </w:rPr>
      </w:pPr>
      <w:r w:rsidRPr="00DA2128">
        <w:rPr>
          <w:sz w:val="22"/>
          <w:szCs w:val="22"/>
        </w:rPr>
        <w:t>UNESCO 2020. Global education monitoring report: Inclusion and education. ‘All means all’.</w:t>
      </w:r>
    </w:p>
    <w:p w14:paraId="5ADA0D3A" w14:textId="77777777" w:rsidR="00A22680" w:rsidRPr="00DA2128" w:rsidRDefault="00A22680" w:rsidP="00A937C6">
      <w:pPr>
        <w:spacing w:line="240" w:lineRule="auto"/>
        <w:rPr>
          <w:sz w:val="22"/>
          <w:szCs w:val="22"/>
        </w:rPr>
      </w:pPr>
      <w:r w:rsidRPr="00DA2128">
        <w:rPr>
          <w:sz w:val="22"/>
          <w:szCs w:val="22"/>
        </w:rPr>
        <w:t>UNITED NATIONS. 2015. Ensure inclusive and equitable quality education and promote lifelong learning opportunities for all [Online]. https://sdgs.un.org/goals/goal4#overview.  [Accessed 9 June 2025].</w:t>
      </w:r>
    </w:p>
    <w:p w14:paraId="7A3A519E" w14:textId="77777777" w:rsidR="00A22680" w:rsidRPr="00DA2128" w:rsidRDefault="00A22680" w:rsidP="00A937C6">
      <w:pPr>
        <w:spacing w:line="240" w:lineRule="auto"/>
        <w:rPr>
          <w:sz w:val="22"/>
          <w:szCs w:val="22"/>
        </w:rPr>
      </w:pPr>
      <w:r w:rsidRPr="00DA2128">
        <w:rPr>
          <w:sz w:val="22"/>
          <w:szCs w:val="22"/>
        </w:rPr>
        <w:t>UNIVERSITY OF ABERDEEN. 2020. Aberdeen 2040: Our Commitments to Inclusive, Interdisciplinary, International and Sustainable Education [Online]. https://www.abdn.ac.uk/2040/.  [Accessed 9 June 2025].</w:t>
      </w:r>
    </w:p>
    <w:p w14:paraId="2A5A1BA7" w14:textId="77777777" w:rsidR="00A22680" w:rsidRPr="00DA2128" w:rsidRDefault="00A22680" w:rsidP="00A937C6">
      <w:pPr>
        <w:spacing w:line="240" w:lineRule="auto"/>
        <w:rPr>
          <w:sz w:val="22"/>
          <w:szCs w:val="22"/>
        </w:rPr>
      </w:pPr>
      <w:r w:rsidRPr="00DA2128">
        <w:rPr>
          <w:sz w:val="22"/>
          <w:szCs w:val="22"/>
        </w:rPr>
        <w:t>UNIVERSITY OF ANTWERP. 2024. Support for working students [Online]. https://www.uantwerpen.be/en/centres/centre-expertise-higher-education/didactic-information/teaching-tips/supervision--support/working-students/.  [Accessed 9 June 2025].</w:t>
      </w:r>
    </w:p>
    <w:p w14:paraId="5DE395E1" w14:textId="77777777" w:rsidR="00A22680" w:rsidRPr="00DA2128" w:rsidRDefault="00A22680" w:rsidP="00A937C6">
      <w:pPr>
        <w:spacing w:line="240" w:lineRule="auto"/>
        <w:rPr>
          <w:sz w:val="22"/>
          <w:szCs w:val="22"/>
        </w:rPr>
      </w:pPr>
      <w:r w:rsidRPr="00DA2128">
        <w:rPr>
          <w:sz w:val="22"/>
          <w:szCs w:val="22"/>
        </w:rPr>
        <w:t>VAN KESSEL, G., RYAN, C., PARAS, L., JOHNSON, N., ZARIFF, R. Z. &amp; STALLMAN, H. M. 2025. Relationship between university belonging and student outcomes: A systematic review and meta-analysis. The Australian Educational Researcher, 1-24.</w:t>
      </w:r>
    </w:p>
    <w:p w14:paraId="7EF9CC20" w14:textId="77777777" w:rsidR="00A22680" w:rsidRPr="00DA2128" w:rsidRDefault="00A22680" w:rsidP="00A937C6">
      <w:pPr>
        <w:spacing w:line="240" w:lineRule="auto"/>
        <w:rPr>
          <w:sz w:val="22"/>
          <w:szCs w:val="22"/>
        </w:rPr>
      </w:pPr>
      <w:r w:rsidRPr="00DA2128">
        <w:rPr>
          <w:sz w:val="22"/>
          <w:szCs w:val="22"/>
        </w:rPr>
        <w:t>VEYTIA BUCHELI, M. G., GÓMEZ-GALÁN, J., CÁCERES MESA, M. L. &amp; LÓPEZ CATALÁN, L. 2024. Digital technologies as enablers of universal design for learning: higher education students' perceptions in the context of SDG4. Discover Sustainability, 5, 1-29.</w:t>
      </w:r>
    </w:p>
    <w:p w14:paraId="5018DD56" w14:textId="77777777" w:rsidR="00A22680" w:rsidRPr="00DA2128" w:rsidRDefault="00A22680" w:rsidP="00A937C6">
      <w:pPr>
        <w:spacing w:line="240" w:lineRule="auto"/>
        <w:rPr>
          <w:sz w:val="22"/>
          <w:szCs w:val="22"/>
        </w:rPr>
      </w:pPr>
      <w:r w:rsidRPr="00DA2128">
        <w:rPr>
          <w:sz w:val="22"/>
          <w:szCs w:val="22"/>
        </w:rPr>
        <w:t>VILLANUEVA-PAREDES, G. X., JUAREZ-ALVAREZ, C. R., CUYA-ZEVALLOS, C., MAMANI-MACHACA, E. S. &amp; ESQUICHA-TEJADA, J. D. 2024. Enhancing Social Innovation Through Design Thinking, Challenge-Based Learning, and Collaboration in University Students. Sustainability, 16, 10471.</w:t>
      </w:r>
    </w:p>
    <w:p w14:paraId="64F013DE" w14:textId="77777777" w:rsidR="00A22680" w:rsidRPr="00DA2128" w:rsidRDefault="00A22680" w:rsidP="00A937C6">
      <w:pPr>
        <w:spacing w:line="240" w:lineRule="auto"/>
        <w:rPr>
          <w:sz w:val="22"/>
          <w:szCs w:val="22"/>
        </w:rPr>
      </w:pPr>
      <w:r w:rsidRPr="00DA2128">
        <w:rPr>
          <w:sz w:val="22"/>
          <w:szCs w:val="22"/>
        </w:rPr>
        <w:t>WATSON, H. R., WISDOM, H., MICHAEL, C., MARSHALL, N. &amp; NEVE, H. 2023. Equality pledges: A novel approach to embedding EDI and promoting positive culture change in a UK university. Equity in Education &amp; Society, 2, 110-122.</w:t>
      </w:r>
    </w:p>
    <w:p w14:paraId="69370D81" w14:textId="77777777" w:rsidR="00A22680" w:rsidRPr="00DA2128" w:rsidRDefault="00A22680" w:rsidP="00A937C6">
      <w:pPr>
        <w:spacing w:line="240" w:lineRule="auto"/>
        <w:rPr>
          <w:sz w:val="22"/>
          <w:szCs w:val="22"/>
        </w:rPr>
      </w:pPr>
      <w:r w:rsidRPr="00DA2128">
        <w:rPr>
          <w:sz w:val="22"/>
          <w:szCs w:val="22"/>
        </w:rPr>
        <w:t>YAO, Y., LONG, A., TSENG, Y. S., CHIANG, C.-Y. &amp; SUN, F.-K. 2024. Undergraduate nursing students’ learning experiences using design thinking on a human development course: A phenomenological study. Nurse Education in Practice, 75, 103886.</w:t>
      </w:r>
    </w:p>
    <w:p w14:paraId="000DF040" w14:textId="77777777" w:rsidR="00A22680" w:rsidRPr="00DA2128" w:rsidRDefault="00A22680" w:rsidP="00A937C6">
      <w:pPr>
        <w:spacing w:line="240" w:lineRule="auto"/>
        <w:rPr>
          <w:sz w:val="22"/>
          <w:szCs w:val="22"/>
        </w:rPr>
      </w:pPr>
      <w:r w:rsidRPr="00DA2128">
        <w:rPr>
          <w:sz w:val="22"/>
          <w:szCs w:val="22"/>
        </w:rPr>
        <w:t>ZUBER, C. D. &amp; MOODY, L. 2018. Creativity and innovation in health care: tapping into organizational enablers through human-centered design. Nursing Administration Quarterly, 42, 62-75.</w:t>
      </w:r>
    </w:p>
    <w:p w14:paraId="31C66752" w14:textId="77777777" w:rsidR="00A22680" w:rsidRPr="00DA2128" w:rsidRDefault="00A22680" w:rsidP="00A937C6">
      <w:pPr>
        <w:spacing w:line="240" w:lineRule="auto"/>
        <w:rPr>
          <w:sz w:val="22"/>
          <w:szCs w:val="22"/>
        </w:rPr>
      </w:pPr>
      <w:r w:rsidRPr="00DA2128">
        <w:rPr>
          <w:sz w:val="22"/>
          <w:szCs w:val="22"/>
        </w:rPr>
        <w:t>ZULAIKHA, E., ANDANSARI, D. &amp; SUSANDARI, H. Empathy-Driven Innovation: Analysis of Five User-Centered Design Thinking Case Studies.  Proceedings of the Asian HCI Symposium 2023, 2023. 1-6.</w:t>
      </w:r>
    </w:p>
    <w:p w14:paraId="533FE9CF" w14:textId="77777777" w:rsidR="00A75883" w:rsidRPr="00DA2128" w:rsidRDefault="00A75883" w:rsidP="00A937C6">
      <w:pPr>
        <w:spacing w:line="240" w:lineRule="auto"/>
        <w:rPr>
          <w:sz w:val="22"/>
          <w:szCs w:val="22"/>
        </w:rPr>
      </w:pPr>
    </w:p>
    <w:p w14:paraId="6BA33E58" w14:textId="35DBFD31" w:rsidR="003C7969" w:rsidRPr="00DA2128" w:rsidRDefault="00AF51C1" w:rsidP="00A937C6">
      <w:pPr>
        <w:pStyle w:val="Heading1"/>
        <w:spacing w:line="240" w:lineRule="auto"/>
      </w:pPr>
      <w:bookmarkStart w:id="13" w:name="_Toc211351791"/>
      <w:r w:rsidRPr="00DA2128">
        <w:t>Task number 5.4: Develop EDI I</w:t>
      </w:r>
      <w:r w:rsidR="000E30BB" w:rsidRPr="00DA2128">
        <w:t>ndicators</w:t>
      </w:r>
      <w:bookmarkEnd w:id="13"/>
      <w:r w:rsidR="000E30BB" w:rsidRPr="00DA2128">
        <w:t xml:space="preserve"> </w:t>
      </w:r>
    </w:p>
    <w:p w14:paraId="25CA641C" w14:textId="77777777" w:rsidR="00AA15A5" w:rsidRPr="00DA2128" w:rsidRDefault="00AA15A5" w:rsidP="00A937C6">
      <w:pPr>
        <w:pStyle w:val="Sub-subheading"/>
        <w:spacing w:line="240" w:lineRule="auto"/>
      </w:pPr>
      <w:r w:rsidRPr="00DA2128">
        <w:t>Monitoring Equity, Diversity, and Inclusion: Key indicators report</w:t>
      </w:r>
    </w:p>
    <w:p w14:paraId="6FF1AADA" w14:textId="77777777" w:rsidR="00AA15A5" w:rsidRPr="00DA2128" w:rsidRDefault="00AA15A5" w:rsidP="00A937C6">
      <w:pPr>
        <w:spacing w:line="240" w:lineRule="auto"/>
        <w:rPr>
          <w:sz w:val="22"/>
          <w:szCs w:val="22"/>
        </w:rPr>
      </w:pPr>
      <w:r w:rsidRPr="00DA2128">
        <w:rPr>
          <w:sz w:val="22"/>
          <w:szCs w:val="22"/>
        </w:rPr>
        <w:t>The COLOURS Alliance is committed to driving deep and systemic transformation across multiple domains, with a focus on green, social, and techno-digital development. The nine academic institutions listed above have joined forces within the Alliance to co-create an innovative, values-based, and sustainable European University.</w:t>
      </w:r>
    </w:p>
    <w:p w14:paraId="25345DBD" w14:textId="77777777" w:rsidR="00AA15A5" w:rsidRPr="00DA2128" w:rsidRDefault="00AA15A5" w:rsidP="00A937C6">
      <w:pPr>
        <w:spacing w:line="240" w:lineRule="auto"/>
        <w:rPr>
          <w:sz w:val="22"/>
          <w:szCs w:val="22"/>
        </w:rPr>
      </w:pPr>
      <w:r w:rsidRPr="00DA2128">
        <w:rPr>
          <w:sz w:val="22"/>
          <w:szCs w:val="22"/>
        </w:rPr>
        <w:t>At the core of the Alliance’s governance lies a strong commitment to Equity, Diversity, and Inclusion (EDI). EDI is understood here as a triptych: diversity refers to the presence of difference; inclusion to the active integration and valuing of that difference; and equity to fair treatment, access and outcomes irrespective of identity markers (Karakhan, Gambatese, Simmons &amp; Al Bayati, 2021). These principles are not only embedded in its values but are also operationalized through a dedicated Work Package 5 (WP5). Within this framework, all nine partner universities will work collaboratively to foster fair, inclusive, and supportive environments. This shared mission is formally anchored by a jointly signed charter, underscoring the partners’ unified dedication to advancing EDI.</w:t>
      </w:r>
    </w:p>
    <w:p w14:paraId="64FCEEE7" w14:textId="77777777" w:rsidR="00AA15A5" w:rsidRPr="00DA2128" w:rsidRDefault="00AA15A5" w:rsidP="00A937C6">
      <w:pPr>
        <w:spacing w:line="240" w:lineRule="auto"/>
        <w:rPr>
          <w:sz w:val="22"/>
          <w:szCs w:val="22"/>
        </w:rPr>
      </w:pPr>
      <w:r w:rsidRPr="00DA2128">
        <w:rPr>
          <w:sz w:val="22"/>
          <w:szCs w:val="22"/>
        </w:rPr>
        <w:t xml:space="preserve">The Alliance includes the following universities: </w:t>
      </w:r>
    </w:p>
    <w:p w14:paraId="56660C8D" w14:textId="77777777" w:rsidR="00AA15A5" w:rsidRPr="00DA2128" w:rsidRDefault="00AA15A5" w:rsidP="00A937C6">
      <w:pPr>
        <w:spacing w:line="240" w:lineRule="auto"/>
        <w:rPr>
          <w:sz w:val="22"/>
          <w:szCs w:val="22"/>
        </w:rPr>
      </w:pPr>
    </w:p>
    <w:p w14:paraId="23FC67FF" w14:textId="6BB596C9" w:rsidR="00AA15A5" w:rsidRPr="00DA2128" w:rsidRDefault="00AA15A5" w:rsidP="00A937C6">
      <w:pPr>
        <w:spacing w:line="240" w:lineRule="auto"/>
        <w:rPr>
          <w:sz w:val="22"/>
          <w:szCs w:val="22"/>
        </w:rPr>
      </w:pPr>
      <w:r w:rsidRPr="00DA2128">
        <w:rPr>
          <w:sz w:val="22"/>
          <w:szCs w:val="22"/>
        </w:rPr>
        <w:t>•</w:t>
      </w:r>
      <w:r w:rsidR="0035189B">
        <w:rPr>
          <w:sz w:val="22"/>
          <w:szCs w:val="22"/>
        </w:rPr>
        <w:t xml:space="preserve"> </w:t>
      </w:r>
      <w:r w:rsidRPr="00DA2128">
        <w:rPr>
          <w:sz w:val="22"/>
          <w:szCs w:val="22"/>
        </w:rPr>
        <w:t xml:space="preserve">Paderborn University (UPB), Germany (coordinator) </w:t>
      </w:r>
    </w:p>
    <w:p w14:paraId="252E7542" w14:textId="682F4D8B" w:rsidR="00AA15A5" w:rsidRPr="00DA2128" w:rsidRDefault="00AA15A5" w:rsidP="00A937C6">
      <w:pPr>
        <w:spacing w:line="240" w:lineRule="auto"/>
        <w:rPr>
          <w:sz w:val="22"/>
          <w:szCs w:val="22"/>
        </w:rPr>
      </w:pPr>
      <w:r w:rsidRPr="00DA2128">
        <w:rPr>
          <w:sz w:val="22"/>
          <w:szCs w:val="22"/>
        </w:rPr>
        <w:t>•</w:t>
      </w:r>
      <w:r w:rsidR="0035189B">
        <w:rPr>
          <w:sz w:val="22"/>
          <w:szCs w:val="22"/>
        </w:rPr>
        <w:t xml:space="preserve"> </w:t>
      </w:r>
      <w:r w:rsidRPr="00DA2128">
        <w:rPr>
          <w:sz w:val="22"/>
          <w:szCs w:val="22"/>
        </w:rPr>
        <w:t>Kristianstad University (HKR), Sweden (WP5 lead)</w:t>
      </w:r>
    </w:p>
    <w:p w14:paraId="025533BB" w14:textId="24DB20C0" w:rsidR="00AA15A5" w:rsidRPr="00DA2128" w:rsidRDefault="00AA15A5" w:rsidP="00A937C6">
      <w:pPr>
        <w:spacing w:line="240" w:lineRule="auto"/>
        <w:rPr>
          <w:sz w:val="22"/>
          <w:szCs w:val="22"/>
        </w:rPr>
      </w:pPr>
      <w:r w:rsidRPr="00DA2128">
        <w:rPr>
          <w:sz w:val="22"/>
          <w:szCs w:val="22"/>
        </w:rPr>
        <w:t>•</w:t>
      </w:r>
      <w:r w:rsidR="0035189B">
        <w:rPr>
          <w:sz w:val="22"/>
          <w:szCs w:val="22"/>
        </w:rPr>
        <w:t xml:space="preserve"> </w:t>
      </w:r>
      <w:r w:rsidRPr="00DA2128">
        <w:rPr>
          <w:sz w:val="22"/>
          <w:szCs w:val="22"/>
        </w:rPr>
        <w:t>Le Mans University (LMU), France (WP5 co-lead)</w:t>
      </w:r>
    </w:p>
    <w:p w14:paraId="19AE3CBE" w14:textId="385E1105" w:rsidR="00AA15A5" w:rsidRPr="00DA2128" w:rsidRDefault="00AA15A5" w:rsidP="00A937C6">
      <w:pPr>
        <w:spacing w:line="240" w:lineRule="auto"/>
        <w:rPr>
          <w:sz w:val="22"/>
          <w:szCs w:val="22"/>
        </w:rPr>
      </w:pPr>
      <w:r w:rsidRPr="00DA2128">
        <w:rPr>
          <w:sz w:val="22"/>
          <w:szCs w:val="22"/>
        </w:rPr>
        <w:t>•</w:t>
      </w:r>
      <w:r w:rsidR="0035189B">
        <w:rPr>
          <w:sz w:val="22"/>
          <w:szCs w:val="22"/>
        </w:rPr>
        <w:t xml:space="preserve"> </w:t>
      </w:r>
      <w:r w:rsidRPr="00DA2128">
        <w:rPr>
          <w:sz w:val="22"/>
          <w:szCs w:val="22"/>
        </w:rPr>
        <w:t xml:space="preserve">University of Ferrara (UNIFE), Italy </w:t>
      </w:r>
    </w:p>
    <w:p w14:paraId="4C5CF428" w14:textId="53C55447" w:rsidR="00AA15A5" w:rsidRPr="00DA2128" w:rsidRDefault="00AA15A5" w:rsidP="00A937C6">
      <w:pPr>
        <w:spacing w:line="240" w:lineRule="auto"/>
        <w:rPr>
          <w:sz w:val="22"/>
          <w:szCs w:val="22"/>
        </w:rPr>
      </w:pPr>
      <w:r w:rsidRPr="00DA2128">
        <w:rPr>
          <w:sz w:val="22"/>
          <w:szCs w:val="22"/>
        </w:rPr>
        <w:t>•</w:t>
      </w:r>
      <w:r w:rsidR="0035189B">
        <w:rPr>
          <w:sz w:val="22"/>
          <w:szCs w:val="22"/>
        </w:rPr>
        <w:t xml:space="preserve"> </w:t>
      </w:r>
      <w:r w:rsidRPr="00DA2128">
        <w:rPr>
          <w:sz w:val="22"/>
          <w:szCs w:val="22"/>
        </w:rPr>
        <w:t xml:space="preserve">Josip Juraj Strossmayer University of Osijek (UNIOS), Croatia </w:t>
      </w:r>
    </w:p>
    <w:p w14:paraId="250F76AD" w14:textId="0F5F7ED7" w:rsidR="00AA15A5" w:rsidRPr="0035189B" w:rsidRDefault="00AA15A5" w:rsidP="00A937C6">
      <w:pPr>
        <w:spacing w:line="240" w:lineRule="auto"/>
        <w:rPr>
          <w:sz w:val="22"/>
          <w:szCs w:val="22"/>
          <w:lang w:val="pl-PL"/>
        </w:rPr>
      </w:pPr>
      <w:r w:rsidRPr="0035189B">
        <w:rPr>
          <w:sz w:val="22"/>
          <w:szCs w:val="22"/>
          <w:lang w:val="pl-PL"/>
        </w:rPr>
        <w:t>•</w:t>
      </w:r>
      <w:r w:rsidR="0035189B">
        <w:rPr>
          <w:sz w:val="22"/>
          <w:szCs w:val="22"/>
          <w:lang w:val="pl-PL"/>
        </w:rPr>
        <w:t xml:space="preserve"> </w:t>
      </w:r>
      <w:r w:rsidRPr="0035189B">
        <w:rPr>
          <w:sz w:val="22"/>
          <w:szCs w:val="22"/>
          <w:lang w:val="pl-PL"/>
        </w:rPr>
        <w:t xml:space="preserve">Jan Długosz University in Częstochowa (JDU), Poland </w:t>
      </w:r>
    </w:p>
    <w:p w14:paraId="5D48A403" w14:textId="37BE452A" w:rsidR="00AA15A5" w:rsidRPr="00DA2128" w:rsidRDefault="00AA15A5" w:rsidP="00A937C6">
      <w:pPr>
        <w:spacing w:line="240" w:lineRule="auto"/>
        <w:rPr>
          <w:sz w:val="22"/>
          <w:szCs w:val="22"/>
        </w:rPr>
      </w:pPr>
      <w:r w:rsidRPr="00DA2128">
        <w:rPr>
          <w:sz w:val="22"/>
          <w:szCs w:val="22"/>
        </w:rPr>
        <w:t>•</w:t>
      </w:r>
      <w:r w:rsidR="0035189B">
        <w:rPr>
          <w:sz w:val="22"/>
          <w:szCs w:val="22"/>
        </w:rPr>
        <w:t xml:space="preserve"> </w:t>
      </w:r>
      <w:r w:rsidRPr="00DA2128">
        <w:rPr>
          <w:sz w:val="22"/>
          <w:szCs w:val="22"/>
        </w:rPr>
        <w:t xml:space="preserve">University of Castilla-La Mancha (UCLM), Spain </w:t>
      </w:r>
    </w:p>
    <w:p w14:paraId="46C8E6C6" w14:textId="5181967E" w:rsidR="00AA15A5" w:rsidRPr="00DA2128" w:rsidRDefault="00AA15A5" w:rsidP="00A937C6">
      <w:pPr>
        <w:spacing w:line="240" w:lineRule="auto"/>
        <w:rPr>
          <w:sz w:val="22"/>
          <w:szCs w:val="22"/>
        </w:rPr>
      </w:pPr>
      <w:r w:rsidRPr="00DA2128">
        <w:rPr>
          <w:sz w:val="22"/>
          <w:szCs w:val="22"/>
        </w:rPr>
        <w:t>•</w:t>
      </w:r>
      <w:r w:rsidR="00027F5B">
        <w:rPr>
          <w:sz w:val="22"/>
          <w:szCs w:val="22"/>
        </w:rPr>
        <w:t xml:space="preserve"> </w:t>
      </w:r>
      <w:r w:rsidRPr="00DA2128">
        <w:rPr>
          <w:sz w:val="22"/>
          <w:szCs w:val="22"/>
        </w:rPr>
        <w:t xml:space="preserve">University St. Kliment Ohridski – Bitola (UKLO), North Macedonia </w:t>
      </w:r>
    </w:p>
    <w:p w14:paraId="244A120C" w14:textId="422613F9" w:rsidR="00AA15A5" w:rsidRPr="00DA2128" w:rsidRDefault="00AA15A5" w:rsidP="00A937C6">
      <w:pPr>
        <w:spacing w:line="240" w:lineRule="auto"/>
        <w:rPr>
          <w:sz w:val="22"/>
          <w:szCs w:val="22"/>
        </w:rPr>
      </w:pPr>
      <w:r w:rsidRPr="00DA2128">
        <w:rPr>
          <w:sz w:val="22"/>
          <w:szCs w:val="22"/>
        </w:rPr>
        <w:t>•</w:t>
      </w:r>
      <w:r w:rsidR="00027F5B">
        <w:rPr>
          <w:sz w:val="22"/>
          <w:szCs w:val="22"/>
        </w:rPr>
        <w:t xml:space="preserve"> </w:t>
      </w:r>
      <w:r w:rsidRPr="00DA2128">
        <w:rPr>
          <w:sz w:val="22"/>
          <w:szCs w:val="22"/>
        </w:rPr>
        <w:t>Ventspils University of Applied Sciences (VUAS), Latvia</w:t>
      </w:r>
    </w:p>
    <w:p w14:paraId="48A32136" w14:textId="77777777" w:rsidR="00AA15A5" w:rsidRPr="00DA2128" w:rsidRDefault="00AA15A5" w:rsidP="00A937C6">
      <w:pPr>
        <w:spacing w:line="240" w:lineRule="auto"/>
        <w:rPr>
          <w:sz w:val="22"/>
          <w:szCs w:val="22"/>
        </w:rPr>
      </w:pPr>
    </w:p>
    <w:p w14:paraId="353E0011" w14:textId="77777777" w:rsidR="00AA15A5" w:rsidRPr="00DA2128" w:rsidRDefault="00AA15A5" w:rsidP="00A937C6">
      <w:pPr>
        <w:spacing w:line="240" w:lineRule="auto"/>
        <w:rPr>
          <w:sz w:val="22"/>
          <w:szCs w:val="22"/>
        </w:rPr>
      </w:pPr>
      <w:r w:rsidRPr="00DA2128">
        <w:rPr>
          <w:sz w:val="22"/>
          <w:szCs w:val="22"/>
        </w:rPr>
        <w:t>This report will refer to each university by its abbreviation if needed.</w:t>
      </w:r>
    </w:p>
    <w:p w14:paraId="269551C9" w14:textId="77777777" w:rsidR="00AA15A5" w:rsidRPr="00DA2128" w:rsidRDefault="00AA15A5" w:rsidP="00A937C6">
      <w:pPr>
        <w:spacing w:line="240" w:lineRule="auto"/>
        <w:rPr>
          <w:sz w:val="22"/>
          <w:szCs w:val="22"/>
        </w:rPr>
      </w:pPr>
    </w:p>
    <w:p w14:paraId="502AEB89" w14:textId="1C30E007" w:rsidR="00AA15A5" w:rsidRPr="00DA2128" w:rsidRDefault="00AA15A5" w:rsidP="00027F5B">
      <w:pPr>
        <w:pStyle w:val="Sub-subheading"/>
        <w:numPr>
          <w:ilvl w:val="0"/>
          <w:numId w:val="3"/>
        </w:numPr>
        <w:spacing w:line="240" w:lineRule="auto"/>
      </w:pPr>
      <w:r w:rsidRPr="00DA2128">
        <w:t>Context</w:t>
      </w:r>
    </w:p>
    <w:p w14:paraId="199AC2EF" w14:textId="77777777" w:rsidR="00AA15A5" w:rsidRPr="00DA2128" w:rsidRDefault="00AA15A5" w:rsidP="00A937C6">
      <w:pPr>
        <w:spacing w:line="240" w:lineRule="auto"/>
        <w:rPr>
          <w:sz w:val="22"/>
          <w:szCs w:val="22"/>
        </w:rPr>
      </w:pPr>
      <w:r w:rsidRPr="00DA2128">
        <w:rPr>
          <w:sz w:val="22"/>
          <w:szCs w:val="22"/>
        </w:rPr>
        <w:t>In recent years, European University Alliances have emerged as innovative and transformative models of cross-border higher education collaboration, supporting the broader goals of the European Higher Education Area (European Higher Education Area, 2020a). Their mission is fundamentally driven by a deep dedication to fostering academic communities that are inclusive, equitable, and diverse (Council of the European Union, 2018; European Higher Education Area, 2020b). This report focuses on Equity, Diversity, and Inclusion (EDI) indicators, which serve as essential tools for monitoring progress, identifying challenges, and driving meaningful change across partner institutions (Karakhan, Gambatese, Simmons, &amp; Al Bayati, 2021; Chtena et al., 2025).</w:t>
      </w:r>
    </w:p>
    <w:p w14:paraId="61350E55" w14:textId="77777777" w:rsidR="00AA15A5" w:rsidRPr="00DA2128" w:rsidRDefault="00AA15A5" w:rsidP="00A937C6">
      <w:pPr>
        <w:spacing w:line="240" w:lineRule="auto"/>
        <w:rPr>
          <w:sz w:val="22"/>
          <w:szCs w:val="22"/>
        </w:rPr>
      </w:pPr>
      <w:r w:rsidRPr="00DA2128">
        <w:rPr>
          <w:sz w:val="22"/>
          <w:szCs w:val="22"/>
        </w:rPr>
        <w:t>EDI indicators are measurable data points that help assess how universities perform in creating environments that are fair, representative, and inclusive for all members, students, staff, and faculty alike (Karakhan, Gambatese, Simmons, &amp; Al Bayati, 2021; Chtena et al., 2025). These indicators often cover areas such as gender balance, representation of under-represented groups, accessibility, participation in decision-making, and perceptions of belonging and fairness (European Commission, European Education and Culture Executive Agency, Crosier, &amp; Sigalas, 2022; Inclusive Mobility, 2025).</w:t>
      </w:r>
    </w:p>
    <w:p w14:paraId="4B73C5F8" w14:textId="0F783991" w:rsidR="00AA15A5" w:rsidRPr="00DA2128" w:rsidRDefault="00AA15A5" w:rsidP="00A937C6">
      <w:pPr>
        <w:spacing w:line="240" w:lineRule="auto"/>
        <w:rPr>
          <w:sz w:val="22"/>
          <w:szCs w:val="22"/>
        </w:rPr>
      </w:pPr>
      <w:r w:rsidRPr="00DA2128">
        <w:rPr>
          <w:sz w:val="22"/>
          <w:szCs w:val="22"/>
        </w:rPr>
        <w:t xml:space="preserve">EDI indicators are important because what gets measured tends to get managed (Karakhan, Gambatese, Simmons, &amp; Al Bayati, 2021). Indicators translate values into operational commitments, making progress observable and comparable across time and institutions (Kincaid &amp; Smith, 2021). They make it possible to objectively assess situations of inequality, thereby making them visible so that they can be remedied. This allows what is sometimes considered an opinion to be transformed into an objective fact, and prevents philosophical debates (Coron, 2018). By systematically collecting and </w:t>
      </w:r>
      <w:r w:rsidR="00DA2128" w:rsidRPr="00DA2128">
        <w:rPr>
          <w:sz w:val="22"/>
          <w:szCs w:val="22"/>
        </w:rPr>
        <w:t>analysing</w:t>
      </w:r>
      <w:r w:rsidRPr="00DA2128">
        <w:rPr>
          <w:sz w:val="22"/>
          <w:szCs w:val="22"/>
        </w:rPr>
        <w:t xml:space="preserve"> EDI data, alliances can make informed decisions, design targeted interventions, and evaluate the impact of their actions over time. These indicators also foster transparency and accountability, ensuring that EDI is not merely a stated value, but a lived reality across campuses. The fact that indicators are being transformed over time and new ones are added demonstrates a need to objectify inequalities (Coron, 2018).</w:t>
      </w:r>
    </w:p>
    <w:p w14:paraId="337E94EF" w14:textId="77777777" w:rsidR="00AA15A5" w:rsidRPr="00DA2128" w:rsidRDefault="00AA15A5" w:rsidP="00A937C6">
      <w:pPr>
        <w:spacing w:line="240" w:lineRule="auto"/>
        <w:rPr>
          <w:sz w:val="22"/>
          <w:szCs w:val="22"/>
        </w:rPr>
      </w:pPr>
    </w:p>
    <w:p w14:paraId="017CEF88" w14:textId="2EDFA54C" w:rsidR="00AA15A5" w:rsidRPr="00DA2128" w:rsidRDefault="00AA15A5" w:rsidP="00A937C6">
      <w:pPr>
        <w:pStyle w:val="Sub-subheading"/>
        <w:spacing w:line="240" w:lineRule="auto"/>
      </w:pPr>
      <w:r w:rsidRPr="00DA2128">
        <w:t>b. Measuring and promoting the inclusion of marginalised groups in the university and beyond</w:t>
      </w:r>
    </w:p>
    <w:p w14:paraId="30FDDC45" w14:textId="77777777" w:rsidR="00AA15A5" w:rsidRPr="00DA2128" w:rsidRDefault="00AA15A5" w:rsidP="00A937C6">
      <w:pPr>
        <w:spacing w:line="240" w:lineRule="auto"/>
        <w:rPr>
          <w:sz w:val="22"/>
          <w:szCs w:val="22"/>
        </w:rPr>
      </w:pPr>
      <w:r w:rsidRPr="00DA2128">
        <w:rPr>
          <w:sz w:val="22"/>
          <w:szCs w:val="22"/>
        </w:rPr>
        <w:t xml:space="preserve">EDI indicators are especially crucial because not all social groups have equal access to higher education. The European Commission’s Eurydice report (2022) highlights the fact that certain populations continue to face systemic disadvantages. For instance, students with a migrant background are twice as likely to have a low level of education compared to native-born students, and they are also twice as likely to leave school early. They are significantly less likely to access higher education in the first place. Refugees are particularly underrepresented, with only 5% having access to higher education, compared to an average of 39% in the non-refugee population. Students with disabilities are more likely to attain lower levels of education than their peers without disabilities. Gender disparities also persist: women remain underrepresented in STEM fields, limiting their academic and career opportunities. Furthermore, the COVID-19 pandemic exacerbated existing inequalities, particularly for students from economically disadvantaged backgrounds, who faced greater barriers to online learning. These students remain more vulnerable in the event of future crises. </w:t>
      </w:r>
    </w:p>
    <w:p w14:paraId="15F80ED3" w14:textId="77777777" w:rsidR="00AA15A5" w:rsidRPr="00DA2128" w:rsidRDefault="00AA15A5" w:rsidP="00A937C6">
      <w:pPr>
        <w:spacing w:line="240" w:lineRule="auto"/>
        <w:rPr>
          <w:sz w:val="22"/>
          <w:szCs w:val="22"/>
        </w:rPr>
      </w:pPr>
      <w:r w:rsidRPr="00DA2128">
        <w:rPr>
          <w:sz w:val="22"/>
          <w:szCs w:val="22"/>
        </w:rPr>
        <w:t>Inclusion makes student be more engaged in their studies and consequently, they have better academic results (Kayyali, 2022). Plus, disparities in access to and success within higher education extend far beyond the academic context. The affected groups are more likely to attain lower levels of qualification, which directly impacts their ability to access stable and well-paid employment. As a result, they are at greater risk of experiencing economic insecurity and social marginalization. This not only hinders individual development and well-being but also negatively affects national and European economic productivity and social cohesion (Riva, Lister, &amp; Jeglinska, 2024).</w:t>
      </w:r>
    </w:p>
    <w:p w14:paraId="685D65C4" w14:textId="77777777" w:rsidR="00AA15A5" w:rsidRPr="00DA2128" w:rsidRDefault="00AA15A5" w:rsidP="00A937C6">
      <w:pPr>
        <w:spacing w:line="240" w:lineRule="auto"/>
        <w:rPr>
          <w:sz w:val="22"/>
          <w:szCs w:val="22"/>
        </w:rPr>
      </w:pPr>
      <w:r w:rsidRPr="00DA2128">
        <w:rPr>
          <w:sz w:val="22"/>
          <w:szCs w:val="22"/>
        </w:rPr>
        <w:t>Promoting increased participation of vulnerable, disadvantaged, and underrepresented groups in higher education generates far-reaching benefits. It contributes to reduced reliance on social welfare systems, better health outcomes, and stronger community engagement. Taken together, these broader impacts help build cohesive, democratic societies grounded in social justice, collective well-being, public responsibility, and upward social mobility (Riva, Lister, &amp; Jeglinska, 2024). Moreover, EDI initiatives that take place at the university also prepare students for the workforce which is more and more diverse. It teaches them how to work with various profiles of people, which is an important skill in today's society (Kayyali, 2022).</w:t>
      </w:r>
    </w:p>
    <w:p w14:paraId="6215FFBB" w14:textId="77777777" w:rsidR="00AA15A5" w:rsidRPr="00DA2128" w:rsidRDefault="00AA15A5" w:rsidP="00A937C6">
      <w:pPr>
        <w:spacing w:line="240" w:lineRule="auto"/>
        <w:rPr>
          <w:sz w:val="22"/>
          <w:szCs w:val="22"/>
        </w:rPr>
      </w:pPr>
    </w:p>
    <w:p w14:paraId="10AA9DCC" w14:textId="5B10658A" w:rsidR="00AA15A5" w:rsidRPr="00DA2128" w:rsidRDefault="00AA15A5" w:rsidP="00A937C6">
      <w:pPr>
        <w:pStyle w:val="Sub-subheading"/>
        <w:spacing w:line="240" w:lineRule="auto"/>
      </w:pPr>
      <w:r w:rsidRPr="00DA2128">
        <w:t>c. Prioritizing equity over equality</w:t>
      </w:r>
    </w:p>
    <w:p w14:paraId="7C744D76" w14:textId="77777777" w:rsidR="00AA15A5" w:rsidRPr="00DA2128" w:rsidRDefault="00AA15A5" w:rsidP="00A937C6">
      <w:pPr>
        <w:spacing w:line="240" w:lineRule="auto"/>
        <w:rPr>
          <w:sz w:val="22"/>
          <w:szCs w:val="22"/>
        </w:rPr>
      </w:pPr>
      <w:r w:rsidRPr="00DA2128">
        <w:rPr>
          <w:sz w:val="22"/>
          <w:szCs w:val="22"/>
        </w:rPr>
        <w:t>Addressing disparities in higher education requires more than simply offering scholarships, removing tuition fees, or guaranteeing equal rights on paper. While these measures are important, they do not fully account for the unequal starting points shaped by individuals’ social backgrounds (European Higher Education Area, 2020c; Council of the European Union, 2018). From an early age, children from lower socio-economic backgrounds often face structural disadvantages that affect their academic trajectories: they tend to experience more difficulties at school, receive less educational support at home, and are less likely to develop an interest in long academic paths compared to their peers from more privileged backgrounds (European Commission, EACEA, &amp; Eurydice, 2020). Similar patterns are observed with regard to gender, where girls, due to societal norms and stereotypes, are often dissuaded from pursuing studies in STEM fields (Chtena et al., 2025; Crenshaw, 1989). As a result, inequalities that originate before higher education are further reproduced and amplified once students reach, or fail to reach, the university level (European Higher Education Area, 2020b).</w:t>
      </w:r>
    </w:p>
    <w:p w14:paraId="14CC8F9C" w14:textId="77777777" w:rsidR="00AA15A5" w:rsidRPr="00DA2128" w:rsidRDefault="00AA15A5" w:rsidP="00A937C6">
      <w:pPr>
        <w:spacing w:line="240" w:lineRule="auto"/>
        <w:rPr>
          <w:sz w:val="22"/>
          <w:szCs w:val="22"/>
        </w:rPr>
      </w:pPr>
      <w:r w:rsidRPr="00DA2128">
        <w:rPr>
          <w:sz w:val="22"/>
          <w:szCs w:val="22"/>
        </w:rPr>
        <w:t>Moreover, public investment in education disproportionately benefits young people from more affluent socio-economic backgrounds. Research shows that these students are more likely to stay longer in the education system and enroll in high-cost, prestigious programs such as medicine, engineering, or law, which often require additional resources like tutoring, preparatory courses, or social capital to access (European Commission, EACEA, &amp; Eurydice, 2023). For example, despite increased funding for higher education, participation rates remain significantly lower among students from disadvantaged backgrounds, who face barriers including lack of financial support, limited access to academic guidance, and fewer role models in these fields (Council of the European Union, 2018).</w:t>
      </w:r>
    </w:p>
    <w:p w14:paraId="06AE068D" w14:textId="77777777" w:rsidR="00AA15A5" w:rsidRPr="00DA2128" w:rsidRDefault="00AA15A5" w:rsidP="00A937C6">
      <w:pPr>
        <w:spacing w:line="240" w:lineRule="auto"/>
        <w:rPr>
          <w:sz w:val="22"/>
          <w:szCs w:val="22"/>
        </w:rPr>
      </w:pPr>
      <w:r w:rsidRPr="00DA2128">
        <w:rPr>
          <w:sz w:val="22"/>
          <w:szCs w:val="22"/>
        </w:rPr>
        <w:t>Therefore, the notion of unconditional or purely formal equality, treating all students the same regardless of their differing starting points, fails to address the structural inequalities embedded within the education system (European Higher Education Area, 2020c). Without targeted measures such as bridging programs, mentorship schemes, or financial aid tailored to specific needs, such policies risk perpetuating and even exacerbating existing disparities (Chtena et al., 2025). In this way, achieving substantive equality requires recognizing and addressing the complex socio-economic factors that influence educational trajectories from early childhood onward.</w:t>
      </w:r>
    </w:p>
    <w:p w14:paraId="5D3E0F82" w14:textId="77777777" w:rsidR="00AA15A5" w:rsidRPr="00DA2128" w:rsidRDefault="00AA15A5" w:rsidP="00A937C6">
      <w:pPr>
        <w:spacing w:line="240" w:lineRule="auto"/>
        <w:rPr>
          <w:sz w:val="22"/>
          <w:szCs w:val="22"/>
        </w:rPr>
      </w:pPr>
      <w:r w:rsidRPr="00DA2128">
        <w:rPr>
          <w:sz w:val="22"/>
          <w:szCs w:val="22"/>
        </w:rPr>
        <w:t>To ensure that access to, progress within, and completion of higher education are truly independent of students’ socio-economic status, gender, disability, sexual orientation, or migration background, it is essential to distinguish between nominal equality and actual equity. While formal equality guarantees the same rights for all, equity acknowledges that treating unequal situations equally often reinforces injustice (European Higher Education Area, 2020c; Crenshaw, 1989). Equity places the needs and well-being of disadvantaged, vulnerable, and underrepresented groups at the center. It calls for the identification and removal of visible and invisible barriers to participation, and for differentiated treatment that actively works to redress historical or systemic inequalities (Chtena et al., 2025; ENHANCE Diversity Office &amp; Work Package Diversity, Impact and Dissemination, 2024).</w:t>
      </w:r>
    </w:p>
    <w:p w14:paraId="30E5E896" w14:textId="77777777" w:rsidR="00AA15A5" w:rsidRPr="00DA2128" w:rsidRDefault="00AA15A5" w:rsidP="00A937C6">
      <w:pPr>
        <w:spacing w:line="240" w:lineRule="auto"/>
        <w:rPr>
          <w:sz w:val="22"/>
          <w:szCs w:val="22"/>
        </w:rPr>
      </w:pPr>
    </w:p>
    <w:p w14:paraId="6C01B3C4" w14:textId="2117D0FF" w:rsidR="00AA15A5" w:rsidRPr="00DA2128" w:rsidRDefault="00AA15A5" w:rsidP="00A937C6">
      <w:pPr>
        <w:pStyle w:val="Sub-subheading"/>
        <w:spacing w:line="240" w:lineRule="auto"/>
      </w:pPr>
      <w:r w:rsidRPr="00DA2128">
        <w:t>d. Adopting an intersectional approach</w:t>
      </w:r>
    </w:p>
    <w:p w14:paraId="185A6403" w14:textId="6AF602CC" w:rsidR="00AA15A5" w:rsidRPr="00DA2128" w:rsidRDefault="00AA15A5" w:rsidP="00A937C6">
      <w:pPr>
        <w:spacing w:line="240" w:lineRule="auto"/>
        <w:rPr>
          <w:sz w:val="22"/>
          <w:szCs w:val="22"/>
        </w:rPr>
      </w:pPr>
      <w:r w:rsidRPr="00DA2128">
        <w:rPr>
          <w:sz w:val="22"/>
          <w:szCs w:val="22"/>
        </w:rPr>
        <w:t xml:space="preserve">The EDI indicators used in this report adopt an intersectional approach, </w:t>
      </w:r>
      <w:r w:rsidR="00DA2128">
        <w:rPr>
          <w:sz w:val="22"/>
          <w:szCs w:val="22"/>
        </w:rPr>
        <w:t>recognising</w:t>
      </w:r>
      <w:r w:rsidRPr="00DA2128">
        <w:rPr>
          <w:sz w:val="22"/>
          <w:szCs w:val="22"/>
        </w:rPr>
        <w:t xml:space="preserve"> that individuals do not experience discrimination or disadvantage based on a single identity factor, but rather at the intersection of multiple identities, such as gender, race, socio-economic background, disability, sexual orientation, and migration status. Coined by Kimberlé Crenshaw (1989), the concept of intersectionality highlights how various forms of inequality often overlap and interact, creating specific and compounded experiences of exclusion or </w:t>
      </w:r>
      <w:r w:rsidR="00DA2128">
        <w:rPr>
          <w:sz w:val="22"/>
          <w:szCs w:val="22"/>
        </w:rPr>
        <w:t>marginalisation</w:t>
      </w:r>
      <w:r w:rsidRPr="00DA2128">
        <w:rPr>
          <w:sz w:val="22"/>
          <w:szCs w:val="22"/>
        </w:rPr>
        <w:t>. For example, the barriers faced by a migrant woman with a disability in higher education may differ significantly from those faced by a man with the same migration background or a woman without a disability.</w:t>
      </w:r>
    </w:p>
    <w:p w14:paraId="5EBB79AA" w14:textId="50CCDFD0" w:rsidR="00AA15A5" w:rsidRPr="00DA2128" w:rsidRDefault="00AA15A5" w:rsidP="00A937C6">
      <w:pPr>
        <w:spacing w:line="240" w:lineRule="auto"/>
        <w:rPr>
          <w:sz w:val="22"/>
          <w:szCs w:val="22"/>
        </w:rPr>
      </w:pPr>
      <w:r w:rsidRPr="00DA2128">
        <w:rPr>
          <w:sz w:val="22"/>
          <w:szCs w:val="22"/>
        </w:rPr>
        <w:t xml:space="preserve">Applying an intersectional lens to EDI indicators allows for a more nuanced understanding of inequalities. It helps reveal hidden patterns that might be overlooked when focusing on single identity dimensions in isolation (Crenshaw, 1989). As </w:t>
      </w:r>
      <w:r w:rsidR="00DA2128">
        <w:rPr>
          <w:sz w:val="22"/>
          <w:szCs w:val="22"/>
        </w:rPr>
        <w:t>emphasised</w:t>
      </w:r>
      <w:r w:rsidRPr="00DA2128">
        <w:rPr>
          <w:sz w:val="22"/>
          <w:szCs w:val="22"/>
        </w:rPr>
        <w:t xml:space="preserve"> by the European Institute for Gender Equality (EIGE), intersectionality is essential for designing policies and actions that are truly inclusive and effective in reaching those most at risk of exclusion (European Commission, 2022). By embedding this approach, the COLOURS Alliance aims to ensure that its efforts toward equality, diversity, and inclusion are responsive to the complex realities of all its community members (ENHANCE Diversity Office &amp; Work Package Diversity, Impact and Dissemination, 2024). </w:t>
      </w:r>
    </w:p>
    <w:p w14:paraId="59375FE6" w14:textId="3EBB41BB" w:rsidR="00AA15A5" w:rsidRPr="00DA2128" w:rsidRDefault="00AA15A5" w:rsidP="00A937C6">
      <w:pPr>
        <w:spacing w:line="240" w:lineRule="auto"/>
        <w:rPr>
          <w:sz w:val="22"/>
          <w:szCs w:val="22"/>
        </w:rPr>
      </w:pPr>
      <w:r w:rsidRPr="00DA2128">
        <w:rPr>
          <w:sz w:val="22"/>
          <w:szCs w:val="22"/>
        </w:rPr>
        <w:t xml:space="preserve">Moreover, universities frequently under-account for disability within EDI (Wolbring &amp; Lillywhite, 2021), while patterns of underrepresentation persist in STEM and in leadership. Despite being a protected ground under anti-discrimination legislation in many countries, disability is often sidelined in institutional EDI strategies, which tend to prioritize more visible or widely-discussed categories such as gender or ethnicity. As Wolbring and Lillywhite (2021) argue, the </w:t>
      </w:r>
      <w:r w:rsidR="00DA2128">
        <w:rPr>
          <w:sz w:val="22"/>
          <w:szCs w:val="22"/>
        </w:rPr>
        <w:t>marginalisation of disability within EDI discourse reflects a broader societal tendency to view disability through a medicalised or deficit-based lens, rather than recognising</w:t>
      </w:r>
      <w:r w:rsidRPr="00DA2128">
        <w:rPr>
          <w:sz w:val="22"/>
          <w:szCs w:val="22"/>
        </w:rPr>
        <w:t xml:space="preserve"> it as a social and political category shaped by barriers in the environment and in attitudes.</w:t>
      </w:r>
    </w:p>
    <w:p w14:paraId="3C66DF09" w14:textId="77777777" w:rsidR="00AA15A5" w:rsidRPr="00DA2128" w:rsidRDefault="00AA15A5" w:rsidP="00A937C6">
      <w:pPr>
        <w:spacing w:line="240" w:lineRule="auto"/>
        <w:rPr>
          <w:sz w:val="22"/>
          <w:szCs w:val="22"/>
        </w:rPr>
      </w:pPr>
      <w:r w:rsidRPr="00DA2128">
        <w:rPr>
          <w:sz w:val="22"/>
          <w:szCs w:val="22"/>
        </w:rPr>
        <w:t>This oversight has concrete implications: students and staff with disabilities continue to face structural disadvantages in higher education, including inadequate accessibility measures, limited availability of assistive technologies, lack of inclusive pedagogical practices, and underrepresentation in governance and decision-making spaces. These challenges are further exacerbated when disability intersects with other identity factors. For instance, a student who is both disabled and from a low-income background may encounter not only physical or digital inaccessibility, but also financial constraints that limit access to necessary accommodations or support services. Similarly, an academic who is both disabled and a racialized minority may experience compounded discrimination that affects recruitment, promotion, and retention.</w:t>
      </w:r>
    </w:p>
    <w:p w14:paraId="51872600" w14:textId="77777777" w:rsidR="00AA15A5" w:rsidRDefault="00AA15A5" w:rsidP="00A937C6">
      <w:pPr>
        <w:spacing w:line="240" w:lineRule="auto"/>
        <w:rPr>
          <w:sz w:val="22"/>
          <w:szCs w:val="22"/>
        </w:rPr>
      </w:pPr>
      <w:r w:rsidRPr="00DA2128">
        <w:rPr>
          <w:sz w:val="22"/>
          <w:szCs w:val="22"/>
        </w:rPr>
        <w:t>In this context, the intersectional approach becomes essential to avoid homogenizing experiences of disability. It pushes institutions to move beyond simplistic inclusion metrics and toward a deeper engagement with the lived realities of disabled individuals, taking into account the diversity within disability itself, be it visible or invisible, cognitive or physical, congenital or acquired. By embedding disability more meaningfully into our EDI indicators and strategies, we acknowledge not only the importance of accessibility, but also the value of diverse ways of thinking, working, and engaging in academic life. This aligns with a broader commitment to equity, where inclusion is not a matter of accommodating difference as an afterthought, but of fundamentally reshaping systems to enable full participation by all.</w:t>
      </w:r>
    </w:p>
    <w:p w14:paraId="03DB9B40" w14:textId="77777777" w:rsidR="00DA2128" w:rsidRPr="00DA2128" w:rsidRDefault="00DA2128" w:rsidP="00A937C6">
      <w:pPr>
        <w:spacing w:line="240" w:lineRule="auto"/>
        <w:rPr>
          <w:sz w:val="22"/>
          <w:szCs w:val="22"/>
        </w:rPr>
      </w:pPr>
    </w:p>
    <w:p w14:paraId="79B1C65D" w14:textId="1674961A" w:rsidR="00AA15A5" w:rsidRPr="00DA2128" w:rsidRDefault="00AA15A5" w:rsidP="00A937C6">
      <w:pPr>
        <w:pStyle w:val="Sub-subheading"/>
        <w:spacing w:line="240" w:lineRule="auto"/>
      </w:pPr>
      <w:r w:rsidRPr="00DA2128">
        <w:t>e. Methodology</w:t>
      </w:r>
    </w:p>
    <w:p w14:paraId="3413CE8E" w14:textId="77777777" w:rsidR="00AA15A5" w:rsidRPr="00DA2128" w:rsidRDefault="00AA15A5" w:rsidP="00A937C6">
      <w:pPr>
        <w:spacing w:line="240" w:lineRule="auto"/>
        <w:rPr>
          <w:sz w:val="22"/>
          <w:szCs w:val="22"/>
        </w:rPr>
      </w:pPr>
      <w:r w:rsidRPr="00DA2128">
        <w:rPr>
          <w:sz w:val="22"/>
          <w:szCs w:val="22"/>
        </w:rPr>
        <w:t>The development of the EDI indicators was led by LMU, and has gone through several iterative stages. Initially, the indicators were designed based on an extensive literature review, drawing from existing models developed by other universities and institutions. The original scope was relatively broad, including indicators applicable not only to universities but also to the labor market and society at large. However, it soon became clear that some of these elements were not directly transferable to the specific realities of the higher education and research sectors, especially within the European university landscape.</w:t>
      </w:r>
    </w:p>
    <w:p w14:paraId="76E7DF4C" w14:textId="77777777" w:rsidR="00AA15A5" w:rsidRPr="00DA2128" w:rsidRDefault="00AA15A5" w:rsidP="00A937C6">
      <w:pPr>
        <w:spacing w:line="240" w:lineRule="auto"/>
        <w:rPr>
          <w:sz w:val="22"/>
          <w:szCs w:val="22"/>
        </w:rPr>
      </w:pPr>
      <w:r w:rsidRPr="00DA2128">
        <w:rPr>
          <w:sz w:val="22"/>
          <w:szCs w:val="22"/>
        </w:rPr>
        <w:t>The indicator set was gradually refined to reflect the operational field of the COLOURS Alliance. Input from European Commission reports, as well as national frameworks, such as LMU's disability master plan, provided additional guidance. Several rounds of revision were carried out in collaboration with the other partner universities. Throughout this process, particular attention was given to ensuring that the indicators were not overly specific to the French context. When necessary, they were adjusted to suit the diversity of national contexts within the Alliance and to align with the shared objectives of building a cohesive and inclusive European higher education area.</w:t>
      </w:r>
    </w:p>
    <w:p w14:paraId="386E4BEA" w14:textId="77777777" w:rsidR="00AA15A5" w:rsidRPr="00DA2128" w:rsidRDefault="00AA15A5" w:rsidP="00A937C6">
      <w:pPr>
        <w:spacing w:line="240" w:lineRule="auto"/>
        <w:rPr>
          <w:sz w:val="22"/>
          <w:szCs w:val="22"/>
        </w:rPr>
      </w:pPr>
      <w:r w:rsidRPr="00DA2128">
        <w:rPr>
          <w:sz w:val="22"/>
          <w:szCs w:val="22"/>
        </w:rPr>
        <w:t>Finally, this report carefully integrates the findings from two participatory processes conducted with both students and staff in all nine participating universities. By doing so, we ensure that the perspectives of all partner universities were adequately represented and involved at multiple stages of the process.</w:t>
      </w:r>
    </w:p>
    <w:p w14:paraId="7A6319A9" w14:textId="77777777" w:rsidR="00AA15A5" w:rsidRPr="00DA2128" w:rsidRDefault="00AA15A5" w:rsidP="00A937C6">
      <w:pPr>
        <w:spacing w:line="240" w:lineRule="auto"/>
        <w:rPr>
          <w:sz w:val="22"/>
          <w:szCs w:val="22"/>
        </w:rPr>
      </w:pPr>
      <w:r w:rsidRPr="00DA2128">
        <w:rPr>
          <w:sz w:val="22"/>
          <w:szCs w:val="22"/>
        </w:rPr>
        <w:t>The first one is the Group Concept Mapping (GCM) method (Rosas, 2017), using the web-based platform Concept System® groupwisdom™ for both data collection and analysis.</w:t>
      </w:r>
    </w:p>
    <w:p w14:paraId="46DC5770" w14:textId="77777777" w:rsidR="00AA15A5" w:rsidRPr="00DA2128" w:rsidRDefault="00AA15A5" w:rsidP="00A937C6">
      <w:pPr>
        <w:spacing w:line="240" w:lineRule="auto"/>
        <w:rPr>
          <w:sz w:val="22"/>
          <w:szCs w:val="22"/>
        </w:rPr>
      </w:pPr>
      <w:r w:rsidRPr="00DA2128">
        <w:rPr>
          <w:sz w:val="22"/>
          <w:szCs w:val="22"/>
        </w:rPr>
        <w:t>GCM aligns with an exploratory sequential research design, wherein the quantitative phase is informed by and builds upon the preceding qualitative phase (Creswell &amp; Creswell, 2017; Hanson et al., 2005). This structured methodology comprises several key stages:</w:t>
      </w:r>
    </w:p>
    <w:p w14:paraId="0E134506" w14:textId="0A2A0A8C" w:rsidR="00AA15A5" w:rsidRPr="00DA2128" w:rsidRDefault="00AA15A5" w:rsidP="00A937C6">
      <w:pPr>
        <w:spacing w:line="240" w:lineRule="auto"/>
        <w:rPr>
          <w:sz w:val="22"/>
          <w:szCs w:val="22"/>
        </w:rPr>
      </w:pPr>
      <w:r w:rsidRPr="00DA2128">
        <w:rPr>
          <w:sz w:val="22"/>
          <w:szCs w:val="22"/>
        </w:rPr>
        <w:t>•</w:t>
      </w:r>
      <w:r w:rsidR="00DA2128">
        <w:rPr>
          <w:sz w:val="22"/>
          <w:szCs w:val="22"/>
        </w:rPr>
        <w:t xml:space="preserve"> </w:t>
      </w:r>
      <w:r w:rsidRPr="00DA2128">
        <w:rPr>
          <w:sz w:val="22"/>
          <w:szCs w:val="22"/>
        </w:rPr>
        <w:t>Initial planning phase, during which the focus prompt is developed and participant inclusion criteria are established (“One important thing to improve Equity, Diversity, and Inclusion (EDI) at my university is to…”);</w:t>
      </w:r>
    </w:p>
    <w:p w14:paraId="144BA8C9" w14:textId="5BE9B087" w:rsidR="00AA15A5" w:rsidRPr="00DA2128" w:rsidRDefault="00AA15A5" w:rsidP="00A937C6">
      <w:pPr>
        <w:spacing w:line="240" w:lineRule="auto"/>
        <w:rPr>
          <w:sz w:val="22"/>
          <w:szCs w:val="22"/>
        </w:rPr>
      </w:pPr>
      <w:r w:rsidRPr="00DA2128">
        <w:rPr>
          <w:sz w:val="22"/>
          <w:szCs w:val="22"/>
        </w:rPr>
        <w:t>•</w:t>
      </w:r>
      <w:r w:rsidR="00DA2128">
        <w:rPr>
          <w:sz w:val="22"/>
          <w:szCs w:val="22"/>
        </w:rPr>
        <w:t xml:space="preserve"> </w:t>
      </w:r>
      <w:r w:rsidRPr="00DA2128">
        <w:rPr>
          <w:sz w:val="22"/>
          <w:szCs w:val="22"/>
        </w:rPr>
        <w:t xml:space="preserve">Brainstorming phase, where participants generate statements in response to the focus prompt (qualitative data collection, 329 statements were generated and then reviewed and </w:t>
      </w:r>
      <w:r w:rsidR="00DA2128">
        <w:rPr>
          <w:sz w:val="22"/>
          <w:szCs w:val="22"/>
        </w:rPr>
        <w:t>synthesised</w:t>
      </w:r>
      <w:r w:rsidRPr="00DA2128">
        <w:rPr>
          <w:sz w:val="22"/>
          <w:szCs w:val="22"/>
        </w:rPr>
        <w:t xml:space="preserve"> in 79 statements);</w:t>
      </w:r>
    </w:p>
    <w:p w14:paraId="3596E3F0" w14:textId="40346370" w:rsidR="00AA15A5" w:rsidRPr="00DA2128" w:rsidRDefault="00AA15A5" w:rsidP="00A937C6">
      <w:pPr>
        <w:spacing w:line="240" w:lineRule="auto"/>
        <w:rPr>
          <w:sz w:val="22"/>
          <w:szCs w:val="22"/>
        </w:rPr>
      </w:pPr>
      <w:r w:rsidRPr="00DA2128">
        <w:rPr>
          <w:sz w:val="22"/>
          <w:szCs w:val="22"/>
        </w:rPr>
        <w:t>•</w:t>
      </w:r>
      <w:r w:rsidR="00DA2128">
        <w:rPr>
          <w:sz w:val="22"/>
          <w:szCs w:val="22"/>
        </w:rPr>
        <w:t xml:space="preserve"> </w:t>
      </w:r>
      <w:r w:rsidRPr="00DA2128">
        <w:rPr>
          <w:sz w:val="22"/>
          <w:szCs w:val="22"/>
        </w:rPr>
        <w:t>Second planning phase, in which the collected statements are synthesized, and rating criteria are defined;</w:t>
      </w:r>
    </w:p>
    <w:p w14:paraId="78B33B83" w14:textId="4B3E97FE" w:rsidR="00AA15A5" w:rsidRPr="00DA2128" w:rsidRDefault="00AA15A5" w:rsidP="00A937C6">
      <w:pPr>
        <w:spacing w:line="240" w:lineRule="auto"/>
        <w:rPr>
          <w:sz w:val="22"/>
          <w:szCs w:val="22"/>
        </w:rPr>
      </w:pPr>
      <w:r w:rsidRPr="00DA2128">
        <w:rPr>
          <w:sz w:val="22"/>
          <w:szCs w:val="22"/>
        </w:rPr>
        <w:t>•</w:t>
      </w:r>
      <w:r w:rsidR="00DA2128">
        <w:rPr>
          <w:sz w:val="22"/>
          <w:szCs w:val="22"/>
        </w:rPr>
        <w:t xml:space="preserve"> Organising</w:t>
      </w:r>
      <w:r w:rsidRPr="00DA2128">
        <w:rPr>
          <w:sz w:val="22"/>
          <w:szCs w:val="22"/>
        </w:rPr>
        <w:t xml:space="preserve"> phase, where participants sort the statements into thematic groups based on perceived similarities and differences;</w:t>
      </w:r>
    </w:p>
    <w:p w14:paraId="0EFEFBD1" w14:textId="1623B9BA" w:rsidR="00AA15A5" w:rsidRPr="00DA2128" w:rsidRDefault="00AA15A5" w:rsidP="00A937C6">
      <w:pPr>
        <w:spacing w:line="240" w:lineRule="auto"/>
        <w:rPr>
          <w:sz w:val="22"/>
          <w:szCs w:val="22"/>
        </w:rPr>
      </w:pPr>
      <w:r w:rsidRPr="00DA2128">
        <w:rPr>
          <w:sz w:val="22"/>
          <w:szCs w:val="22"/>
        </w:rPr>
        <w:t>•</w:t>
      </w:r>
      <w:r w:rsidR="00DA2128">
        <w:rPr>
          <w:sz w:val="22"/>
          <w:szCs w:val="22"/>
        </w:rPr>
        <w:t xml:space="preserve"> </w:t>
      </w:r>
      <w:r w:rsidRPr="00DA2128">
        <w:rPr>
          <w:sz w:val="22"/>
          <w:szCs w:val="22"/>
        </w:rPr>
        <w:t>Rating phase, during which participants (348) evaluate each statement, typically in terms of importance and feasibility.</w:t>
      </w:r>
    </w:p>
    <w:p w14:paraId="670F31B4" w14:textId="77777777" w:rsidR="00AA15A5" w:rsidRPr="00DA2128" w:rsidRDefault="00AA15A5" w:rsidP="00A937C6">
      <w:pPr>
        <w:spacing w:line="240" w:lineRule="auto"/>
        <w:rPr>
          <w:sz w:val="22"/>
          <w:szCs w:val="22"/>
        </w:rPr>
      </w:pPr>
      <w:r w:rsidRPr="00DA2128">
        <w:rPr>
          <w:sz w:val="22"/>
          <w:szCs w:val="22"/>
        </w:rPr>
        <w:t>Finally, quantitative analyses are performed on the sorting and rating data, followed by an interpretation and utilization phase, where findings are shared with relevant stakeholders and can inform future actions or interventions.</w:t>
      </w:r>
    </w:p>
    <w:p w14:paraId="4CF2A9BF" w14:textId="77777777" w:rsidR="00AA15A5" w:rsidRPr="00DA2128" w:rsidRDefault="00AA15A5" w:rsidP="00A937C6">
      <w:pPr>
        <w:spacing w:line="240" w:lineRule="auto"/>
        <w:rPr>
          <w:sz w:val="22"/>
          <w:szCs w:val="22"/>
        </w:rPr>
      </w:pPr>
      <w:r w:rsidRPr="00DA2128">
        <w:rPr>
          <w:sz w:val="22"/>
          <w:szCs w:val="22"/>
        </w:rPr>
        <w:t>The GCM exercise conducted in COLOURS revealed conceptual areas of importance for improving EDI within the alliance’s universities, referred to as clusters:</w:t>
      </w:r>
    </w:p>
    <w:p w14:paraId="1466D8AF" w14:textId="77777777" w:rsidR="00AA15A5" w:rsidRPr="00DA2128" w:rsidRDefault="00AA15A5" w:rsidP="00A937C6">
      <w:pPr>
        <w:spacing w:line="240" w:lineRule="auto"/>
        <w:rPr>
          <w:sz w:val="22"/>
          <w:szCs w:val="22"/>
        </w:rPr>
      </w:pPr>
      <w:r w:rsidRPr="00DA2128">
        <w:rPr>
          <w:sz w:val="22"/>
          <w:szCs w:val="22"/>
        </w:rPr>
        <w:t>Cluster 1: Providing training and education;</w:t>
      </w:r>
    </w:p>
    <w:p w14:paraId="48937250" w14:textId="77777777" w:rsidR="00AA15A5" w:rsidRPr="00DA2128" w:rsidRDefault="00AA15A5" w:rsidP="00A937C6">
      <w:pPr>
        <w:spacing w:line="240" w:lineRule="auto"/>
        <w:rPr>
          <w:sz w:val="22"/>
          <w:szCs w:val="22"/>
        </w:rPr>
      </w:pPr>
      <w:r w:rsidRPr="00DA2128">
        <w:rPr>
          <w:sz w:val="22"/>
          <w:szCs w:val="22"/>
        </w:rPr>
        <w:t>Cluster 2: Facilitating events, activities and community engagement;</w:t>
      </w:r>
    </w:p>
    <w:p w14:paraId="5B953E81" w14:textId="77777777" w:rsidR="00AA15A5" w:rsidRPr="00DA2128" w:rsidRDefault="00AA15A5" w:rsidP="00A937C6">
      <w:pPr>
        <w:spacing w:line="240" w:lineRule="auto"/>
        <w:rPr>
          <w:sz w:val="22"/>
          <w:szCs w:val="22"/>
        </w:rPr>
      </w:pPr>
      <w:r w:rsidRPr="00DA2128">
        <w:rPr>
          <w:sz w:val="22"/>
          <w:szCs w:val="22"/>
        </w:rPr>
        <w:t>Cluster 3: Promoting inclusive collaboration;</w:t>
      </w:r>
    </w:p>
    <w:p w14:paraId="078BB3BB" w14:textId="77777777" w:rsidR="00AA15A5" w:rsidRPr="00DA2128" w:rsidRDefault="00AA15A5" w:rsidP="00A937C6">
      <w:pPr>
        <w:spacing w:line="240" w:lineRule="auto"/>
        <w:rPr>
          <w:sz w:val="22"/>
          <w:szCs w:val="22"/>
        </w:rPr>
      </w:pPr>
      <w:r w:rsidRPr="00DA2128">
        <w:rPr>
          <w:sz w:val="22"/>
          <w:szCs w:val="22"/>
        </w:rPr>
        <w:t>Cluster 4: Fostering a supportive and inclusive environment and culture;</w:t>
      </w:r>
    </w:p>
    <w:p w14:paraId="157AD0BF" w14:textId="77777777" w:rsidR="00AA15A5" w:rsidRPr="00DA2128" w:rsidRDefault="00AA15A5" w:rsidP="00A937C6">
      <w:pPr>
        <w:spacing w:line="240" w:lineRule="auto"/>
        <w:rPr>
          <w:sz w:val="22"/>
          <w:szCs w:val="22"/>
        </w:rPr>
      </w:pPr>
      <w:r w:rsidRPr="00DA2128">
        <w:rPr>
          <w:sz w:val="22"/>
          <w:szCs w:val="22"/>
        </w:rPr>
        <w:t>Cluster 5: Ensuring equity in leadership and decision-making processes in academia;</w:t>
      </w:r>
    </w:p>
    <w:p w14:paraId="23A6F1A0" w14:textId="77777777" w:rsidR="00AA15A5" w:rsidRPr="00DA2128" w:rsidRDefault="00AA15A5" w:rsidP="00A937C6">
      <w:pPr>
        <w:spacing w:line="240" w:lineRule="auto"/>
        <w:rPr>
          <w:sz w:val="22"/>
          <w:szCs w:val="22"/>
        </w:rPr>
      </w:pPr>
      <w:r w:rsidRPr="00DA2128">
        <w:rPr>
          <w:sz w:val="22"/>
          <w:szCs w:val="22"/>
        </w:rPr>
        <w:t>Cluster 6: Advancing policy, implementation and evaluation.</w:t>
      </w:r>
    </w:p>
    <w:p w14:paraId="5690507B" w14:textId="71B95320" w:rsidR="00AA15A5" w:rsidRPr="00DA2128" w:rsidRDefault="00AA15A5" w:rsidP="00A937C6">
      <w:pPr>
        <w:spacing w:line="240" w:lineRule="auto"/>
        <w:rPr>
          <w:sz w:val="22"/>
          <w:szCs w:val="22"/>
        </w:rPr>
      </w:pPr>
      <w:r w:rsidRPr="00DA2128">
        <w:rPr>
          <w:sz w:val="22"/>
          <w:szCs w:val="22"/>
        </w:rPr>
        <w:t>The second one is the Imagine/IDEATE workshops for students, a methodology of applied design-thinking customi</w:t>
      </w:r>
      <w:r w:rsidR="00EF6164">
        <w:rPr>
          <w:sz w:val="22"/>
          <w:szCs w:val="22"/>
        </w:rPr>
        <w:t>s</w:t>
      </w:r>
      <w:r w:rsidRPr="00DA2128">
        <w:rPr>
          <w:sz w:val="22"/>
          <w:szCs w:val="22"/>
        </w:rPr>
        <w:t xml:space="preserve">ed by Högskolan Kristianstad. Students advanced through multiple stages, beginning with building empathy by drawing on inspiration and insights, followed by identifying key problem statements, collaboratively brainstorming ideas, and ultimately presenting their proposed solutions to a public. This process allowed them to meaningfully engage with systemic barriers affecting themselves or their peers and to develop practical, experience-based solutions related to equity, diversity, and inclusion. </w:t>
      </w:r>
    </w:p>
    <w:p w14:paraId="796C51DA" w14:textId="77777777" w:rsidR="00AA15A5" w:rsidRPr="00DA2128" w:rsidRDefault="00AA15A5" w:rsidP="00A937C6">
      <w:pPr>
        <w:spacing w:line="240" w:lineRule="auto"/>
        <w:rPr>
          <w:sz w:val="22"/>
          <w:szCs w:val="22"/>
        </w:rPr>
      </w:pPr>
      <w:r w:rsidRPr="00DA2128">
        <w:rPr>
          <w:sz w:val="22"/>
          <w:szCs w:val="22"/>
        </w:rPr>
        <w:t>Simultaneously, these workshops reinforced the pedagogical emphasis on challenge-based learning, a central component of Work Package 3 (WP3) within the COLOURS alliance. This educational approach aligns closely with the alliance’s broader mission and supports the objectives of the European Higher Education Area (EHEA) to foster inclusive, participatory, and socially responsive academic environments (European Higher Education Area, 2020a).</w:t>
      </w:r>
    </w:p>
    <w:p w14:paraId="4B8D09DC" w14:textId="77777777" w:rsidR="00AA15A5" w:rsidRPr="00DA2128" w:rsidRDefault="00AA15A5" w:rsidP="00A937C6">
      <w:pPr>
        <w:spacing w:line="240" w:lineRule="auto"/>
        <w:rPr>
          <w:sz w:val="22"/>
          <w:szCs w:val="22"/>
        </w:rPr>
      </w:pPr>
      <w:r w:rsidRPr="00DA2128">
        <w:rPr>
          <w:sz w:val="22"/>
          <w:szCs w:val="22"/>
        </w:rPr>
        <w:t xml:space="preserve">The findings and methodologies employed in both the GCM and Imagine/IDEATE workshops share meaningful similarities with the Alphi process, a participatory framework developed to assess and promote EDI within organizational contexts (Karakhan, Gambatese, Simmons, &amp; Al Bayati, 2021). Like GCM, the Alphi process incorporates structured data collection and stakeholder engagement to generate actionable insights, while also relying on iterative phases of feedback and refinement. Similarly, it resonates with the design-thinking foundation of the Imagine/IDEATE workshops, particularly in its emphasis on co-creation, empathy-building, and solution-oriented thinking. Together, these methodologies underscore a shared commitment to integrating diverse perspectives in addressing structural challenges and advancing institutional change around EDI. </w:t>
      </w:r>
    </w:p>
    <w:p w14:paraId="7CC02BE3" w14:textId="77777777" w:rsidR="00AA15A5" w:rsidRPr="00DA2128" w:rsidRDefault="00AA15A5" w:rsidP="00A937C6">
      <w:pPr>
        <w:spacing w:line="240" w:lineRule="auto"/>
        <w:rPr>
          <w:sz w:val="22"/>
          <w:szCs w:val="22"/>
        </w:rPr>
      </w:pPr>
      <w:r w:rsidRPr="00DA2128">
        <w:rPr>
          <w:sz w:val="22"/>
          <w:szCs w:val="22"/>
        </w:rPr>
        <w:t>We also observe similarities between the indicators proposed by experts in the Alphi process in the Karakhan et al. article (2021) and the suggestions made by participants in the GCM process within COLOURS universities to improve EDI. These include measures such as a zero-tolerance policy on harassment, closing pay gaps, and increasing transparency in decision-making and recruitment processes. These are therefore universal EDI concerns that emerge across different professional contexts. While they are likely to be among the most impactful measures, they are not necessarily the easiest to implement.</w:t>
      </w:r>
    </w:p>
    <w:p w14:paraId="7360A40A" w14:textId="422FE40B" w:rsidR="00AA15A5" w:rsidRPr="00DA2128" w:rsidRDefault="00AA15A5" w:rsidP="00A937C6">
      <w:pPr>
        <w:spacing w:line="240" w:lineRule="auto"/>
        <w:rPr>
          <w:sz w:val="22"/>
          <w:szCs w:val="22"/>
        </w:rPr>
      </w:pPr>
      <w:r w:rsidRPr="00DA2128">
        <w:rPr>
          <w:sz w:val="22"/>
          <w:szCs w:val="22"/>
        </w:rPr>
        <w:t xml:space="preserve">It is also worth noting that indicators related to ethnic diversity were proposed in the study by Karakhan et al. (2021). However, such indicators raise legal challenges regarding data collection and therefore cannot be easily replicated across our universities. In the context of European data protection frameworks, particularly the GDPR, the direct collection of sensitive data such as ethnic or racial origin is heavily restricted or outright prohibited. For instance, the French CNIL highlights that classifications referencing "race" or “racial origin” are constitutionally banned, even in </w:t>
      </w:r>
      <w:r w:rsidR="00EF6164">
        <w:rPr>
          <w:sz w:val="22"/>
          <w:szCs w:val="22"/>
        </w:rPr>
        <w:t>anonymised</w:t>
      </w:r>
      <w:r w:rsidRPr="00DA2128">
        <w:rPr>
          <w:sz w:val="22"/>
          <w:szCs w:val="22"/>
        </w:rPr>
        <w:t xml:space="preserve"> surveys, regardless of the intended purpose. Beyond data proxies, institutions can foster representation through actions and events that celebrate cultural diversity without collecting sensitive data. For example, </w:t>
      </w:r>
      <w:r w:rsidR="00EF6164">
        <w:rPr>
          <w:sz w:val="22"/>
          <w:szCs w:val="22"/>
        </w:rPr>
        <w:t>organising diversity days, cultural festivals, heritage months, storytelling sessions, panel discussions, or exhibitions</w:t>
      </w:r>
      <w:r w:rsidRPr="00DA2128">
        <w:rPr>
          <w:sz w:val="22"/>
          <w:szCs w:val="22"/>
        </w:rPr>
        <w:t xml:space="preserve"> allows individuals to share their backgrounds and experiences voluntarily. These initiatives not only create visibility for underrepresented groups, but also cultivate a sense of belonging and mutual understanding.</w:t>
      </w:r>
    </w:p>
    <w:p w14:paraId="5D820825" w14:textId="77777777" w:rsidR="00AA15A5" w:rsidRPr="00DA2128" w:rsidRDefault="00AA15A5" w:rsidP="00A937C6">
      <w:pPr>
        <w:spacing w:line="240" w:lineRule="auto"/>
        <w:rPr>
          <w:sz w:val="22"/>
          <w:szCs w:val="22"/>
        </w:rPr>
      </w:pPr>
    </w:p>
    <w:p w14:paraId="607F5EAA" w14:textId="0FC318A6" w:rsidR="00AA15A5" w:rsidRPr="00DA2128" w:rsidRDefault="00AA15A5" w:rsidP="00A937C6">
      <w:pPr>
        <w:spacing w:line="240" w:lineRule="auto"/>
        <w:rPr>
          <w:sz w:val="22"/>
          <w:szCs w:val="22"/>
        </w:rPr>
      </w:pPr>
      <w:r w:rsidRPr="00DA2128">
        <w:rPr>
          <w:sz w:val="22"/>
          <w:szCs w:val="22"/>
        </w:rPr>
        <w:t xml:space="preserve">The COLOURS indicator set is </w:t>
      </w:r>
      <w:r w:rsidR="00EF6164">
        <w:rPr>
          <w:sz w:val="22"/>
          <w:szCs w:val="22"/>
        </w:rPr>
        <w:t>organised</w:t>
      </w:r>
      <w:r w:rsidRPr="00DA2128">
        <w:rPr>
          <w:sz w:val="22"/>
          <w:szCs w:val="22"/>
        </w:rPr>
        <w:t xml:space="preserve"> into eight thematic domains: Health &amp; Well</w:t>
      </w:r>
      <w:r w:rsidRPr="00DA2128">
        <w:rPr>
          <w:rFonts w:ascii="Cambria Math" w:hAnsi="Cambria Math" w:cs="Cambria Math"/>
          <w:sz w:val="22"/>
          <w:szCs w:val="22"/>
        </w:rPr>
        <w:t>‑</w:t>
      </w:r>
      <w:r w:rsidRPr="00DA2128">
        <w:rPr>
          <w:sz w:val="22"/>
          <w:szCs w:val="22"/>
        </w:rPr>
        <w:t>being; Training and Courses; Life</w:t>
      </w:r>
      <w:r w:rsidRPr="00DA2128">
        <w:rPr>
          <w:rFonts w:ascii="Cambria Math" w:hAnsi="Cambria Math" w:cs="Cambria Math"/>
          <w:sz w:val="22"/>
          <w:szCs w:val="22"/>
        </w:rPr>
        <w:t>‑</w:t>
      </w:r>
      <w:r w:rsidRPr="00DA2128">
        <w:rPr>
          <w:sz w:val="22"/>
          <w:szCs w:val="22"/>
        </w:rPr>
        <w:t>long Learning; Reliable Data; Inclusive International Mobility; Social Dialogue; Inclusive Communication; and Strategic Commitment. Within each domain, we specify candidate indicators and definitions. To sharpen focus, two cross</w:t>
      </w:r>
      <w:r w:rsidRPr="00DA2128">
        <w:rPr>
          <w:rFonts w:ascii="Cambria Math" w:hAnsi="Cambria Math" w:cs="Cambria Math"/>
          <w:sz w:val="22"/>
          <w:szCs w:val="22"/>
        </w:rPr>
        <w:t>‑</w:t>
      </w:r>
      <w:r w:rsidRPr="00DA2128">
        <w:rPr>
          <w:sz w:val="22"/>
          <w:szCs w:val="22"/>
        </w:rPr>
        <w:t>cutting monitor indicators are elevated ahead of the conclusion as primary levers of change.</w:t>
      </w:r>
    </w:p>
    <w:p w14:paraId="115F76D4" w14:textId="77777777" w:rsidR="00AA15A5" w:rsidRPr="00DA2128" w:rsidRDefault="00AA15A5" w:rsidP="00A937C6">
      <w:pPr>
        <w:spacing w:line="240" w:lineRule="auto"/>
        <w:rPr>
          <w:sz w:val="22"/>
          <w:szCs w:val="22"/>
        </w:rPr>
      </w:pPr>
    </w:p>
    <w:p w14:paraId="165E590B" w14:textId="77777777" w:rsidR="00AA15A5" w:rsidRPr="00DA2128" w:rsidRDefault="00AA15A5" w:rsidP="00A937C6">
      <w:pPr>
        <w:pStyle w:val="Sub-subheading"/>
        <w:spacing w:line="240" w:lineRule="auto"/>
      </w:pPr>
      <w:r w:rsidRPr="00DA2128">
        <w:t>1.</w:t>
      </w:r>
      <w:r w:rsidRPr="00DA2128">
        <w:tab/>
        <w:t>Health and Well-being</w:t>
      </w:r>
    </w:p>
    <w:p w14:paraId="3C8AAD0C" w14:textId="77777777" w:rsidR="00AA15A5" w:rsidRPr="00DA2128" w:rsidRDefault="00AA15A5" w:rsidP="00A937C6">
      <w:pPr>
        <w:spacing w:line="240" w:lineRule="auto"/>
        <w:rPr>
          <w:sz w:val="22"/>
          <w:szCs w:val="22"/>
        </w:rPr>
      </w:pPr>
    </w:p>
    <w:p w14:paraId="2F1D8C16" w14:textId="77777777" w:rsidR="00AA15A5" w:rsidRPr="00DA2128" w:rsidRDefault="00AA15A5" w:rsidP="00A937C6">
      <w:pPr>
        <w:spacing w:line="240" w:lineRule="auto"/>
        <w:rPr>
          <w:sz w:val="22"/>
          <w:szCs w:val="22"/>
        </w:rPr>
      </w:pPr>
      <w:r w:rsidRPr="00DA2128">
        <w:rPr>
          <w:sz w:val="22"/>
          <w:szCs w:val="22"/>
        </w:rPr>
        <w:t>Health and well-being are increasingly recognized as fundamental components of inclusive and equitable higher education environments. They are preconditions for equitable participation.  This is one of COLOURS's areas of specialization. In the context of the European University Alliance, promoting physical, mental, and social well-being for all members, students, academic and administrative staff, forms a crucial dimension of institutional EDI strategies. The term “well-being” designates “an individual’s ability to fully exercise their cognitive, emotional, physical and social powers” as defined in the Analytical report on student and staff well-being in European higher education institutions (2024) by the international advisory network NESET. The definition can be extended to consider well-being as a multidimensional concept that refers to happiness in general, prosperity, quality of life and life satisfaction. The current focus of the European Commission is to make this concept sustainable and inclusive, with ecological considerations.</w:t>
      </w:r>
    </w:p>
    <w:p w14:paraId="1B9402F5" w14:textId="77777777" w:rsidR="00AA15A5" w:rsidRPr="00DA2128" w:rsidRDefault="00AA15A5" w:rsidP="00A937C6">
      <w:pPr>
        <w:spacing w:line="240" w:lineRule="auto"/>
        <w:rPr>
          <w:sz w:val="22"/>
          <w:szCs w:val="22"/>
        </w:rPr>
      </w:pPr>
      <w:r w:rsidRPr="00DA2128">
        <w:rPr>
          <w:sz w:val="22"/>
          <w:szCs w:val="22"/>
        </w:rPr>
        <w:t>While higher education institutions have traditionally focused on academic success and employability, recent research underscores the essential role of well-being as both an enabler and a reflection of inclusive educational settings. Staff and Students well-being issues need to be considered mutually, with a holistic approach, to be more effective since they are part of the same ecosystem (Riva, Lister, and Jeglinska, 2024). Workload, scheduling, and organizational culture affect both populations within a shared ecosystem. Policies that improve one group’s conditions often spill over positively to the other.</w:t>
      </w:r>
    </w:p>
    <w:p w14:paraId="1842381D" w14:textId="77777777" w:rsidR="00AA15A5" w:rsidRPr="00DA2128" w:rsidRDefault="00AA15A5" w:rsidP="00A937C6">
      <w:pPr>
        <w:spacing w:line="240" w:lineRule="auto"/>
        <w:rPr>
          <w:sz w:val="22"/>
          <w:szCs w:val="22"/>
        </w:rPr>
      </w:pPr>
      <w:r w:rsidRPr="00DA2128">
        <w:rPr>
          <w:sz w:val="22"/>
          <w:szCs w:val="22"/>
        </w:rPr>
        <w:t>A critical gap across higher education is the systematic inclusion of disability in well</w:t>
      </w:r>
      <w:r w:rsidRPr="00DA2128">
        <w:rPr>
          <w:rFonts w:ascii="Cambria Math" w:hAnsi="Cambria Math" w:cs="Cambria Math"/>
          <w:sz w:val="22"/>
          <w:szCs w:val="22"/>
        </w:rPr>
        <w:t>‑</w:t>
      </w:r>
      <w:r w:rsidRPr="00DA2128">
        <w:rPr>
          <w:sz w:val="22"/>
          <w:szCs w:val="22"/>
        </w:rPr>
        <w:t>being strategies. Wolbring &amp; Lillywhite (2021) document how disabled people are frequently overlooked in EDI planning, from inaccessible events to digital content that fails accessibility standards. An alliance</w:t>
      </w:r>
      <w:r w:rsidRPr="00DA2128">
        <w:rPr>
          <w:rFonts w:ascii="Cambria Math" w:hAnsi="Cambria Math" w:cs="Cambria Math"/>
          <w:sz w:val="22"/>
          <w:szCs w:val="22"/>
        </w:rPr>
        <w:t>‑</w:t>
      </w:r>
      <w:r w:rsidRPr="00DA2128">
        <w:rPr>
          <w:sz w:val="22"/>
          <w:szCs w:val="22"/>
        </w:rPr>
        <w:t>wide approach must therefore embed universal design principles in facilities, teaching, services and communications, moving beyond ad</w:t>
      </w:r>
      <w:r w:rsidRPr="00DA2128">
        <w:rPr>
          <w:rFonts w:ascii="Cambria Math" w:hAnsi="Cambria Math" w:cs="Cambria Math"/>
          <w:sz w:val="22"/>
          <w:szCs w:val="22"/>
        </w:rPr>
        <w:t>‑</w:t>
      </w:r>
      <w:r w:rsidRPr="00DA2128">
        <w:rPr>
          <w:sz w:val="22"/>
          <w:szCs w:val="22"/>
        </w:rPr>
        <w:t>hoc accommodations toward anticipatory inclusion.</w:t>
      </w:r>
    </w:p>
    <w:p w14:paraId="3F6F7279" w14:textId="77777777" w:rsidR="00AA15A5" w:rsidRPr="00DA2128" w:rsidRDefault="00AA15A5" w:rsidP="00A937C6">
      <w:pPr>
        <w:spacing w:line="240" w:lineRule="auto"/>
        <w:rPr>
          <w:sz w:val="22"/>
          <w:szCs w:val="22"/>
        </w:rPr>
      </w:pPr>
      <w:r w:rsidRPr="00DA2128">
        <w:rPr>
          <w:sz w:val="22"/>
          <w:szCs w:val="22"/>
        </w:rPr>
        <w:t xml:space="preserve"> As such, systematic efforts to monitor and promote health and well-being are not only necessary but also aligned with the European Pillar of Social Rights and the Sustainable Development Goals.</w:t>
      </w:r>
    </w:p>
    <w:p w14:paraId="31875FCE" w14:textId="28F394CE" w:rsidR="00AA15A5" w:rsidRPr="00DA2128" w:rsidRDefault="00AA15A5" w:rsidP="00A937C6">
      <w:pPr>
        <w:spacing w:line="240" w:lineRule="auto"/>
        <w:rPr>
          <w:sz w:val="22"/>
          <w:szCs w:val="22"/>
        </w:rPr>
      </w:pPr>
      <w:r w:rsidRPr="00DA2128">
        <w:rPr>
          <w:sz w:val="22"/>
          <w:szCs w:val="22"/>
        </w:rPr>
        <w:t>In the GCM process, cluster 2 "Facilitating events, activities and community engagement" aligns most closely with this theme. Indeed, the anchor statement is "</w:t>
      </w:r>
      <w:r w:rsidR="00EF6164">
        <w:rPr>
          <w:sz w:val="22"/>
          <w:szCs w:val="22"/>
        </w:rPr>
        <w:t>Organise accessible EDI-related events by offering hybrid formats, suitable timings and translations,</w:t>
      </w:r>
      <w:r w:rsidRPr="00DA2128">
        <w:rPr>
          <w:sz w:val="22"/>
          <w:szCs w:val="22"/>
        </w:rPr>
        <w:t xml:space="preserve"> ensuring inclusivity for all participants". The cluster underscores the importance of </w:t>
      </w:r>
      <w:r w:rsidR="00132E97">
        <w:rPr>
          <w:sz w:val="22"/>
          <w:szCs w:val="22"/>
        </w:rPr>
        <w:t>organising</w:t>
      </w:r>
      <w:r w:rsidRPr="00DA2128">
        <w:rPr>
          <w:sz w:val="22"/>
          <w:szCs w:val="22"/>
        </w:rPr>
        <w:t xml:space="preserve"> events, activities, and initiatives that place equity, diversity, and inclusion at the forefront of university life. These efforts aim to deepen engagement with EDI principles and promote broad, inclusive participation both within and beyond the university community. Examples include awareness forums, inspirational lectures, personal testimonials, and dedicated initiatives such as EDI Week or Diversity Month. A broader perspective on engagement is encouraged by extending outreach beyond the university, involving students, staff, and the wider community. This includes fostering dialogue between departments, promoting international collaboration, and offering activities and training for local municipalities and other external stakeholders.</w:t>
      </w:r>
    </w:p>
    <w:p w14:paraId="31731F21" w14:textId="77777777" w:rsidR="00AA15A5" w:rsidRPr="00DA2128" w:rsidRDefault="00AA15A5" w:rsidP="00A937C6">
      <w:pPr>
        <w:spacing w:line="240" w:lineRule="auto"/>
        <w:rPr>
          <w:sz w:val="22"/>
          <w:szCs w:val="22"/>
        </w:rPr>
      </w:pPr>
      <w:r w:rsidRPr="00DA2128">
        <w:rPr>
          <w:sz w:val="22"/>
          <w:szCs w:val="22"/>
        </w:rPr>
        <w:t>To support COLOURS's universities in integrating health and well-being within their EDI frameworks, the following indicators are proposed:</w:t>
      </w:r>
    </w:p>
    <w:p w14:paraId="287DFECB" w14:textId="77777777" w:rsidR="00AA15A5" w:rsidRPr="00132E97" w:rsidRDefault="00AA15A5" w:rsidP="00A937C6">
      <w:pPr>
        <w:spacing w:line="240" w:lineRule="auto"/>
        <w:rPr>
          <w:b/>
          <w:bCs/>
          <w:sz w:val="22"/>
          <w:szCs w:val="22"/>
        </w:rPr>
      </w:pPr>
      <w:r w:rsidRPr="00132E97">
        <w:rPr>
          <w:b/>
          <w:bCs/>
          <w:sz w:val="22"/>
          <w:szCs w:val="22"/>
        </w:rPr>
        <w:t>Indicator 1: Number of awareness-raising events organized per academic year on health and well-being</w:t>
      </w:r>
    </w:p>
    <w:p w14:paraId="04A4885E" w14:textId="2C87EC8F" w:rsidR="00AA15A5" w:rsidRPr="00DA2128" w:rsidRDefault="00AA15A5" w:rsidP="00A937C6">
      <w:pPr>
        <w:spacing w:line="240" w:lineRule="auto"/>
        <w:rPr>
          <w:sz w:val="22"/>
          <w:szCs w:val="22"/>
        </w:rPr>
      </w:pPr>
      <w:r w:rsidRPr="00DA2128">
        <w:rPr>
          <w:sz w:val="22"/>
          <w:szCs w:val="22"/>
        </w:rPr>
        <w:t xml:space="preserve">This indicator captures institutional commitment to fostering a supportive environment through education, communication, and collective engagement. Events, for staff and students, may address a range of topics including mental health awareness, disability and accessibility, fight against sexual harassment, substance abuse prevention, and work-life balance. The frequency and diversity of such events provide insight into institutional priorities and the degree to which well-being is integrated into campus life. These events must be </w:t>
      </w:r>
      <w:r w:rsidR="00EF6164">
        <w:rPr>
          <w:sz w:val="22"/>
          <w:szCs w:val="22"/>
        </w:rPr>
        <w:t>organised in conjunction with various university departments and external stakeholders (local associations,</w:t>
      </w:r>
      <w:r w:rsidRPr="00DA2128">
        <w:rPr>
          <w:sz w:val="22"/>
          <w:szCs w:val="22"/>
        </w:rPr>
        <w:t xml:space="preserve"> for example). This could be part of the program of EDI events developed in COLOURS in WP10 from 2026 onwards. </w:t>
      </w:r>
    </w:p>
    <w:p w14:paraId="371030BA" w14:textId="63CC5408" w:rsidR="00AA15A5" w:rsidRPr="00DA2128" w:rsidRDefault="00AA15A5" w:rsidP="00A937C6">
      <w:pPr>
        <w:spacing w:line="240" w:lineRule="auto"/>
        <w:rPr>
          <w:sz w:val="22"/>
          <w:szCs w:val="22"/>
        </w:rPr>
      </w:pPr>
      <w:r w:rsidRPr="00DA2128">
        <w:rPr>
          <w:sz w:val="22"/>
          <w:szCs w:val="22"/>
        </w:rPr>
        <w:t xml:space="preserve">We can note that various ideas proposed by the COLOURS universities students during the Imagine/IDEATE workshops could fit in the events developed under that indicator. Many of these ideas can be </w:t>
      </w:r>
      <w:r w:rsidR="00EF6164">
        <w:rPr>
          <w:sz w:val="22"/>
          <w:szCs w:val="22"/>
        </w:rPr>
        <w:t>categorised under the methodology of empathy and experiential learning, whose</w:t>
      </w:r>
      <w:r w:rsidRPr="00DA2128">
        <w:rPr>
          <w:sz w:val="22"/>
          <w:szCs w:val="22"/>
        </w:rPr>
        <w:t xml:space="preserve"> aim is to cultivate empathy through direct, emotional, and participatory experiences. For example, the project to spend a day in the life of a person in a wheelchair (LMU) or peer-led interventions based on storytelling and collective reflection to discuss consequences and solutions regarding bullying (UKLO). We also find actions that fit in the category "Improving EDI with actions" with, for example, the "EDI Awareness week" developed by an UNIOS team with the idea of promoting awareness with events, including panel discussions and workshops.</w:t>
      </w:r>
    </w:p>
    <w:p w14:paraId="032A1A5A" w14:textId="77777777" w:rsidR="00AA15A5" w:rsidRPr="00132E97" w:rsidRDefault="00AA15A5" w:rsidP="00A937C6">
      <w:pPr>
        <w:spacing w:line="240" w:lineRule="auto"/>
        <w:rPr>
          <w:b/>
          <w:bCs/>
          <w:sz w:val="22"/>
          <w:szCs w:val="22"/>
        </w:rPr>
      </w:pPr>
      <w:r w:rsidRPr="00132E97">
        <w:rPr>
          <w:b/>
          <w:bCs/>
          <w:sz w:val="22"/>
          <w:szCs w:val="22"/>
        </w:rPr>
        <w:t>Indicator 2: Existence of a "Time Charter" or institutional policy on working and study time management</w:t>
      </w:r>
    </w:p>
    <w:p w14:paraId="0141ACD1" w14:textId="77777777" w:rsidR="00AA15A5" w:rsidRPr="00DA2128" w:rsidRDefault="00AA15A5" w:rsidP="00A937C6">
      <w:pPr>
        <w:spacing w:line="240" w:lineRule="auto"/>
        <w:rPr>
          <w:sz w:val="22"/>
          <w:szCs w:val="22"/>
        </w:rPr>
      </w:pPr>
      <w:r w:rsidRPr="00DA2128">
        <w:rPr>
          <w:sz w:val="22"/>
          <w:szCs w:val="22"/>
        </w:rPr>
        <w:t>The presence of a "time charter" or equivalent policy reflects institutional awareness of the impact of workload, working hours, and time autonomy on well-being. Such charters often include commitments to avoid meetings outside of agreed working hours, promote flexibility, and respect the boundaries between work/study and personal life. This indicator evaluates whether time management is governed by shared values and formal guidelines rather than individual discretion alone. This also resonates with Cluster 4 identified in the GCM process, titled “Fostering a supportive and inclusive environment and culture,” as achieving a good work-life balance helps provide equal opportunities for everyone, particularly for mothers who often sacrifice their careers to care for their children. Academic mothers, in particular, face significant challenges balancing professional demands and family responsibilities, which can affect their career progression and well-being (Kelling, Bartsch, Walther, Lucas, &amp; Santiago-Vázquez, 2024).</w:t>
      </w:r>
    </w:p>
    <w:p w14:paraId="4F8F714B" w14:textId="77777777" w:rsidR="00AA15A5" w:rsidRPr="00DA2128" w:rsidRDefault="00AA15A5" w:rsidP="00A937C6">
      <w:pPr>
        <w:spacing w:line="240" w:lineRule="auto"/>
        <w:rPr>
          <w:sz w:val="22"/>
          <w:szCs w:val="22"/>
        </w:rPr>
      </w:pPr>
      <w:r w:rsidRPr="00DA2128">
        <w:rPr>
          <w:sz w:val="22"/>
          <w:szCs w:val="22"/>
        </w:rPr>
        <w:t>A model time charter could be shared within the alliance, based on that of universities that already have one. This document would then be available to all alliance universities, which could adapt it to their local context.</w:t>
      </w:r>
    </w:p>
    <w:p w14:paraId="4CFA30E4" w14:textId="77777777" w:rsidR="00AA15A5" w:rsidRPr="00132E97" w:rsidRDefault="00AA15A5" w:rsidP="00A937C6">
      <w:pPr>
        <w:spacing w:line="240" w:lineRule="auto"/>
        <w:rPr>
          <w:b/>
          <w:bCs/>
          <w:sz w:val="22"/>
          <w:szCs w:val="22"/>
        </w:rPr>
      </w:pPr>
      <w:r w:rsidRPr="00132E97">
        <w:rPr>
          <w:b/>
          <w:bCs/>
          <w:sz w:val="22"/>
          <w:szCs w:val="22"/>
        </w:rPr>
        <w:t>Indicator 3: Effective and inclusive communication on the various services and facilities available at the University on the theme of health and well-being</w:t>
      </w:r>
    </w:p>
    <w:p w14:paraId="35328215" w14:textId="77777777" w:rsidR="00AA15A5" w:rsidRPr="00DA2128" w:rsidRDefault="00AA15A5" w:rsidP="00A937C6">
      <w:pPr>
        <w:spacing w:line="240" w:lineRule="auto"/>
        <w:rPr>
          <w:sz w:val="22"/>
          <w:szCs w:val="22"/>
        </w:rPr>
      </w:pPr>
      <w:r w:rsidRPr="00DA2128">
        <w:rPr>
          <w:sz w:val="22"/>
          <w:szCs w:val="22"/>
        </w:rPr>
        <w:t xml:space="preserve">To ensure that everything that exists on the theme of “health and well-being” is known and used by the university community, there's a need to promote it through effective, accessible and permanent communication on the websites of each university in the alliance. To this end, alliance universities could exchange best practices and draw up clear guidelines. In the reports on the EDI policies of the alliance's universities, it emerged that all had a web page dedicated to the subject. For greater inclusivity, we need to ensure that these pages are available in several languages and accessible to visually impaired and blind people. Some universities, notably UNIFE, had put forward the creation of an interactive map to identify the degree of accessibility of each building on campus, and to indicate accessible entrances, toilets and parking spaces. This type of support could be deployed at other universities. </w:t>
      </w:r>
    </w:p>
    <w:p w14:paraId="6DB51EA4" w14:textId="77777777" w:rsidR="00AA15A5" w:rsidRPr="00132E97" w:rsidRDefault="00AA15A5" w:rsidP="00A937C6">
      <w:pPr>
        <w:spacing w:line="240" w:lineRule="auto"/>
        <w:rPr>
          <w:b/>
          <w:bCs/>
          <w:sz w:val="22"/>
          <w:szCs w:val="22"/>
        </w:rPr>
      </w:pPr>
      <w:r w:rsidRPr="00132E97">
        <w:rPr>
          <w:b/>
          <w:bCs/>
          <w:sz w:val="22"/>
          <w:szCs w:val="22"/>
        </w:rPr>
        <w:t>Indicator 4: Accessibility of every event for people with disabilities</w:t>
      </w:r>
    </w:p>
    <w:p w14:paraId="58657090" w14:textId="5D906399" w:rsidR="00AA15A5" w:rsidRPr="00DA2128" w:rsidRDefault="00AA15A5" w:rsidP="00A937C6">
      <w:pPr>
        <w:spacing w:line="240" w:lineRule="auto"/>
        <w:rPr>
          <w:sz w:val="22"/>
          <w:szCs w:val="22"/>
        </w:rPr>
      </w:pPr>
      <w:r w:rsidRPr="00DA2128">
        <w:rPr>
          <w:sz w:val="22"/>
          <w:szCs w:val="22"/>
        </w:rPr>
        <w:t xml:space="preserve">To ensure greater inclusiveness, it is important to ensure that all interested parties can attend the events </w:t>
      </w:r>
      <w:r w:rsidR="00132E97">
        <w:rPr>
          <w:sz w:val="22"/>
          <w:szCs w:val="22"/>
        </w:rPr>
        <w:t>organised</w:t>
      </w:r>
      <w:r w:rsidRPr="00DA2128">
        <w:rPr>
          <w:sz w:val="22"/>
          <w:szCs w:val="22"/>
        </w:rPr>
        <w:t xml:space="preserve">. This means adapting the event in a number of ways (using professionals, interpreters, subtitles, loaning equipment, using an adapted and large enough font…) to make it accessible to people with disabilities and those who don't speak the language of the event. If the event is subject to registration, requirements can be collected at that time. If not, it must meet the maximum number of inclusivity criteria. This also means making sure that the venue is accessible, especially for people with reduced mobility. If the event involves serving food, it should be suitable for everyone, with several options if possible (taking diets and allergies into account). If the event is being held as a videoconference or hybrid, the sound and video quality must be optimal. Tests can be planned in advance. </w:t>
      </w:r>
    </w:p>
    <w:p w14:paraId="469C2F3C" w14:textId="77777777" w:rsidR="00AA15A5" w:rsidRPr="00DA2128" w:rsidRDefault="00AA15A5" w:rsidP="00A937C6">
      <w:pPr>
        <w:spacing w:line="240" w:lineRule="auto"/>
        <w:rPr>
          <w:sz w:val="22"/>
          <w:szCs w:val="22"/>
        </w:rPr>
      </w:pPr>
      <w:r w:rsidRPr="00DA2128">
        <w:rPr>
          <w:sz w:val="22"/>
          <w:szCs w:val="22"/>
        </w:rPr>
        <w:t>Collectively, these indicators aim to offer a balanced overview of both preventive measures and response mechanisms related to health and well-being within higher education settings. It is important to take in consideration health and well-being of both students and staff as their experiences are interconnected. Institutions are encouraged to contextualize the data collected, taking into account cultural and national specificities, as well as differences in legal reporting obligations. The alliance can facilitate convergence by sharing model policies (e.g., a Time Charter template), an accessibility checklist, and a central repository of inclusive event practices. Short micro</w:t>
      </w:r>
      <w:r w:rsidRPr="00DA2128">
        <w:rPr>
          <w:rFonts w:ascii="Cambria Math" w:hAnsi="Cambria Math" w:cs="Cambria Math"/>
          <w:sz w:val="22"/>
          <w:szCs w:val="22"/>
        </w:rPr>
        <w:t>‑</w:t>
      </w:r>
      <w:r w:rsidRPr="00DA2128">
        <w:rPr>
          <w:sz w:val="22"/>
          <w:szCs w:val="22"/>
        </w:rPr>
        <w:t>trainings for event organizers and unit managers should be made available alliance</w:t>
      </w:r>
      <w:r w:rsidRPr="00DA2128">
        <w:rPr>
          <w:rFonts w:ascii="Cambria Math" w:hAnsi="Cambria Math" w:cs="Cambria Math"/>
          <w:sz w:val="22"/>
          <w:szCs w:val="22"/>
        </w:rPr>
        <w:t>‑</w:t>
      </w:r>
      <w:r w:rsidRPr="00DA2128">
        <w:rPr>
          <w:sz w:val="22"/>
          <w:szCs w:val="22"/>
        </w:rPr>
        <w:t>wide. Where legal or infrastructural constraints differ between countries, indicators remain comparable via standardized definitions and auditors’ notes explaining contextual deviations.</w:t>
      </w:r>
    </w:p>
    <w:p w14:paraId="70CCF25A" w14:textId="77777777" w:rsidR="00AA15A5" w:rsidRPr="00DA2128" w:rsidRDefault="00AA15A5" w:rsidP="00A937C6">
      <w:pPr>
        <w:spacing w:line="240" w:lineRule="auto"/>
        <w:rPr>
          <w:sz w:val="22"/>
          <w:szCs w:val="22"/>
        </w:rPr>
      </w:pPr>
    </w:p>
    <w:p w14:paraId="017A5392" w14:textId="77777777" w:rsidR="00AA15A5" w:rsidRPr="00DA2128" w:rsidRDefault="00AA15A5" w:rsidP="00A937C6">
      <w:pPr>
        <w:pStyle w:val="Sub-subheading"/>
        <w:spacing w:line="240" w:lineRule="auto"/>
      </w:pPr>
      <w:r w:rsidRPr="00DA2128">
        <w:t>2.</w:t>
      </w:r>
      <w:r w:rsidRPr="00DA2128">
        <w:tab/>
        <w:t>Trainings and courses about EDI</w:t>
      </w:r>
    </w:p>
    <w:p w14:paraId="4CE4B8AB" w14:textId="77777777" w:rsidR="00AA15A5" w:rsidRPr="00DA2128" w:rsidRDefault="00AA15A5" w:rsidP="00A937C6">
      <w:pPr>
        <w:spacing w:line="240" w:lineRule="auto"/>
        <w:rPr>
          <w:sz w:val="22"/>
          <w:szCs w:val="22"/>
        </w:rPr>
      </w:pPr>
    </w:p>
    <w:p w14:paraId="7D8D4D89" w14:textId="2E51408B" w:rsidR="00AA15A5" w:rsidRPr="00DA2128" w:rsidRDefault="00AA15A5" w:rsidP="00A937C6">
      <w:pPr>
        <w:spacing w:line="240" w:lineRule="auto"/>
        <w:rPr>
          <w:sz w:val="22"/>
          <w:szCs w:val="22"/>
        </w:rPr>
      </w:pPr>
      <w:r w:rsidRPr="00DA2128">
        <w:rPr>
          <w:sz w:val="22"/>
          <w:szCs w:val="22"/>
        </w:rPr>
        <w:t xml:space="preserve">Building inclusive and equitable universities requires not only strong policies but also sustained efforts to develop the knowledge, awareness, and capacities of the university community. Training initiatives are essential tools for fostering institutional cultures that value equity, diversity, and inclusion. They support the transformation of individual </w:t>
      </w:r>
      <w:r w:rsidR="00132E97">
        <w:rPr>
          <w:sz w:val="22"/>
          <w:szCs w:val="22"/>
        </w:rPr>
        <w:t>behaviours</w:t>
      </w:r>
      <w:r w:rsidRPr="00DA2128">
        <w:rPr>
          <w:sz w:val="22"/>
          <w:szCs w:val="22"/>
        </w:rPr>
        <w:t>, teaching practices, and institutional environments. Training is one of the most powerful institutional levers for culture change. It equips people with shared concepts, language, and practical tools to redesign everyday practices. At the same time, EDI training demonstrates visible leadership commitment and provides a structure for accountability (Kayyali, 2022). For the Alliance, training is not an optional add</w:t>
      </w:r>
      <w:r w:rsidRPr="00DA2128">
        <w:rPr>
          <w:rFonts w:ascii="Cambria Math" w:hAnsi="Cambria Math" w:cs="Cambria Math"/>
          <w:sz w:val="22"/>
          <w:szCs w:val="22"/>
        </w:rPr>
        <w:t>‑</w:t>
      </w:r>
      <w:r w:rsidRPr="00DA2128">
        <w:rPr>
          <w:sz w:val="22"/>
          <w:szCs w:val="22"/>
        </w:rPr>
        <w:t>on but a strategic investment that underpins recruitment, teaching, research, student services, and governance.</w:t>
      </w:r>
    </w:p>
    <w:p w14:paraId="30E48F22" w14:textId="49FC11CB" w:rsidR="00AA15A5" w:rsidRPr="00DA2128" w:rsidRDefault="00AA15A5" w:rsidP="00A937C6">
      <w:pPr>
        <w:spacing w:line="240" w:lineRule="auto"/>
        <w:rPr>
          <w:sz w:val="22"/>
          <w:szCs w:val="22"/>
        </w:rPr>
      </w:pPr>
      <w:r w:rsidRPr="00DA2128">
        <w:rPr>
          <w:sz w:val="22"/>
          <w:szCs w:val="22"/>
        </w:rPr>
        <w:t>In line with the recommendations of the European Commission’s Eurydice report (2022), training and capacity-building activities must be targeted, continuous, and embedded across all levels of the university. While some training programs are designed for all community members, others focus on specific audiences (teaching staff, administrative staff, or students)</w:t>
      </w:r>
      <w:r w:rsidR="00132E97">
        <w:rPr>
          <w:sz w:val="22"/>
          <w:szCs w:val="22"/>
        </w:rPr>
        <w:t>, recognising</w:t>
      </w:r>
      <w:r w:rsidRPr="00DA2128">
        <w:rPr>
          <w:sz w:val="22"/>
          <w:szCs w:val="22"/>
        </w:rPr>
        <w:t xml:space="preserve"> their distinct roles in creating inclusive spaces.</w:t>
      </w:r>
    </w:p>
    <w:p w14:paraId="4B53E9B0" w14:textId="642769F4" w:rsidR="00AA15A5" w:rsidRPr="00DA2128" w:rsidRDefault="00AA15A5" w:rsidP="00A937C6">
      <w:pPr>
        <w:spacing w:line="240" w:lineRule="auto"/>
        <w:rPr>
          <w:sz w:val="22"/>
          <w:szCs w:val="22"/>
        </w:rPr>
      </w:pPr>
      <w:r w:rsidRPr="00DA2128">
        <w:rPr>
          <w:sz w:val="22"/>
          <w:szCs w:val="22"/>
        </w:rPr>
        <w:t xml:space="preserve">Moreover, this need emerged as a strong and homogeneous cluster in the GCM process under the title "Providing training and education." (cluster 1). It highlights the importance of increasing awareness and understanding of EDI through comprehensive training and education initiatives aimed at advancing equity, diversity, and inclusion within universities. It </w:t>
      </w:r>
      <w:r w:rsidR="00132E97">
        <w:rPr>
          <w:sz w:val="22"/>
          <w:szCs w:val="22"/>
        </w:rPr>
        <w:t>emphasises</w:t>
      </w:r>
      <w:r w:rsidRPr="00DA2128">
        <w:rPr>
          <w:sz w:val="22"/>
          <w:szCs w:val="22"/>
        </w:rPr>
        <w:t xml:space="preserve"> the need to target students, teachers, and institutional leaders, and proposes various approaches, including the integration of EDI principles into curricula and teaching methods, the development of micro-credential courses on EDI, workshops, training sessions, and a train-the-trainer model. In other words, foundational EDI training should reach everyone, while targeted training should address role</w:t>
      </w:r>
      <w:r w:rsidRPr="00DA2128">
        <w:rPr>
          <w:rFonts w:ascii="Cambria Math" w:hAnsi="Cambria Math" w:cs="Cambria Math"/>
          <w:sz w:val="22"/>
          <w:szCs w:val="22"/>
        </w:rPr>
        <w:t>‑</w:t>
      </w:r>
      <w:r w:rsidRPr="00DA2128">
        <w:rPr>
          <w:sz w:val="22"/>
          <w:szCs w:val="22"/>
        </w:rPr>
        <w:t>specific needs (teachers, managers, researchers, student leader…). EDI should be integrated into both educational content, such as curricula and teaching practices, and institutional communication, through the use of inclusive and gender-sensitive language.</w:t>
      </w:r>
    </w:p>
    <w:p w14:paraId="6D38D2B6" w14:textId="2D47B630" w:rsidR="00AA15A5" w:rsidRPr="00DA2128" w:rsidRDefault="00AA15A5" w:rsidP="00A937C6">
      <w:pPr>
        <w:spacing w:line="240" w:lineRule="auto"/>
        <w:rPr>
          <w:sz w:val="22"/>
          <w:szCs w:val="22"/>
        </w:rPr>
      </w:pPr>
      <w:r w:rsidRPr="00DA2128">
        <w:rPr>
          <w:sz w:val="22"/>
          <w:szCs w:val="22"/>
        </w:rPr>
        <w:t xml:space="preserve">The literature underscores two key cautions. First, indicators around training must focus not only on inputs (number of sessions) or outputs (attendance) but also on outcomes and use of learning (Kincaid &amp; Smith, 2021). Second, training agendas can themselves become sites of negotiation and power (Coron, 2018; Chappe &amp; Demilly, 2021): which topics are </w:t>
      </w:r>
      <w:r w:rsidR="00132E97">
        <w:rPr>
          <w:sz w:val="22"/>
          <w:szCs w:val="22"/>
        </w:rPr>
        <w:t>prioritised, who designs and delivers them, and how participation is incentivised</w:t>
      </w:r>
      <w:r w:rsidRPr="00DA2128">
        <w:rPr>
          <w:sz w:val="22"/>
          <w:szCs w:val="22"/>
        </w:rPr>
        <w:t xml:space="preserve"> are all political choices. Consequently, a balanced framework should combine quantitative monitoring with qualitative feedback and participatory governance of curricula (Huyer, 2021;).</w:t>
      </w:r>
    </w:p>
    <w:p w14:paraId="37F87EC9" w14:textId="77777777" w:rsidR="00AA15A5" w:rsidRPr="00DA2128" w:rsidRDefault="00AA15A5" w:rsidP="00A937C6">
      <w:pPr>
        <w:spacing w:line="240" w:lineRule="auto"/>
        <w:rPr>
          <w:sz w:val="22"/>
          <w:szCs w:val="22"/>
        </w:rPr>
      </w:pPr>
      <w:r w:rsidRPr="00DA2128">
        <w:rPr>
          <w:sz w:val="22"/>
          <w:szCs w:val="22"/>
        </w:rPr>
        <w:t>To support the universities in the COLOURS alliance in strengthening their EDI strategies through training, the following indicators are proposed:</w:t>
      </w:r>
    </w:p>
    <w:p w14:paraId="5324C9CC" w14:textId="77777777" w:rsidR="00AA15A5" w:rsidRPr="00132E97" w:rsidRDefault="00AA15A5" w:rsidP="00A937C6">
      <w:pPr>
        <w:spacing w:line="240" w:lineRule="auto"/>
        <w:rPr>
          <w:b/>
          <w:bCs/>
          <w:sz w:val="22"/>
          <w:szCs w:val="22"/>
        </w:rPr>
      </w:pPr>
      <w:r w:rsidRPr="00132E97">
        <w:rPr>
          <w:b/>
          <w:bCs/>
          <w:sz w:val="22"/>
          <w:szCs w:val="22"/>
        </w:rPr>
        <w:t>Indicator 1: Number of students who took part in EDI trainings during the academic year</w:t>
      </w:r>
    </w:p>
    <w:p w14:paraId="455E7CB6" w14:textId="77777777" w:rsidR="00AA15A5" w:rsidRPr="00DA2128" w:rsidRDefault="00AA15A5" w:rsidP="00A937C6">
      <w:pPr>
        <w:spacing w:line="240" w:lineRule="auto"/>
        <w:rPr>
          <w:sz w:val="22"/>
          <w:szCs w:val="22"/>
        </w:rPr>
      </w:pPr>
      <w:r w:rsidRPr="00DA2128">
        <w:rPr>
          <w:sz w:val="22"/>
          <w:szCs w:val="22"/>
        </w:rPr>
        <w:t>This indicator provides insight into how EDI principles are disseminated among the student population. These courses will be run by inter-university tandems. The alliance will develop 3 general EDI courses based on a micro-accreditation system with 1 ECTS per course. These courses could also take the form of mixed intensive programs on the theme of EDI as winter or summer schools with 3 ECTS per course. The number of participants can serve as an indicator of student engagement and institutional outreach. For it to be meaningful, we need a minimum of 1,000 students in the alliance to take part in at least one EDI training course developed in COLOURS.</w:t>
      </w:r>
    </w:p>
    <w:p w14:paraId="54E337A5" w14:textId="77777777" w:rsidR="00AA15A5" w:rsidRPr="00132E97" w:rsidRDefault="00AA15A5" w:rsidP="00A937C6">
      <w:pPr>
        <w:spacing w:line="240" w:lineRule="auto"/>
        <w:rPr>
          <w:b/>
          <w:bCs/>
          <w:sz w:val="22"/>
          <w:szCs w:val="22"/>
        </w:rPr>
      </w:pPr>
      <w:r w:rsidRPr="00132E97">
        <w:rPr>
          <w:b/>
          <w:bCs/>
          <w:sz w:val="22"/>
          <w:szCs w:val="22"/>
        </w:rPr>
        <w:t>Indicator 2: Number of staff who took part in EDI trainings during the academic year</w:t>
      </w:r>
    </w:p>
    <w:p w14:paraId="2BDA9381" w14:textId="77777777" w:rsidR="00AA15A5" w:rsidRPr="00DA2128" w:rsidRDefault="00AA15A5" w:rsidP="00A937C6">
      <w:pPr>
        <w:spacing w:line="240" w:lineRule="auto"/>
        <w:rPr>
          <w:sz w:val="22"/>
          <w:szCs w:val="22"/>
        </w:rPr>
      </w:pPr>
      <w:r w:rsidRPr="00DA2128">
        <w:rPr>
          <w:sz w:val="22"/>
          <w:szCs w:val="22"/>
        </w:rPr>
        <w:t>This indicator reflects institutional investment in building the capacity of academic and administrative staff to engage with EDI issues. Participation in these trainings should be encouraged and, where possible, formally recognized in career development plans or evaluations. At least 75% of new employees at each alliance university must have taken part in EDI training.</w:t>
      </w:r>
    </w:p>
    <w:p w14:paraId="7B59782D" w14:textId="77777777" w:rsidR="00AA15A5" w:rsidRPr="00132E97" w:rsidRDefault="00AA15A5" w:rsidP="00A937C6">
      <w:pPr>
        <w:spacing w:line="240" w:lineRule="auto"/>
        <w:rPr>
          <w:b/>
          <w:bCs/>
          <w:sz w:val="22"/>
          <w:szCs w:val="22"/>
        </w:rPr>
      </w:pPr>
      <w:r w:rsidRPr="00132E97">
        <w:rPr>
          <w:b/>
          <w:bCs/>
          <w:sz w:val="22"/>
          <w:szCs w:val="22"/>
        </w:rPr>
        <w:t>Indicator 3: Number of teaching staff trained in inclusive pedagogy</w:t>
      </w:r>
    </w:p>
    <w:p w14:paraId="32645F05" w14:textId="77777777" w:rsidR="00AA15A5" w:rsidRPr="00DA2128" w:rsidRDefault="00AA15A5" w:rsidP="00A937C6">
      <w:pPr>
        <w:spacing w:line="240" w:lineRule="auto"/>
        <w:rPr>
          <w:sz w:val="22"/>
          <w:szCs w:val="22"/>
        </w:rPr>
      </w:pPr>
      <w:r w:rsidRPr="00DA2128">
        <w:rPr>
          <w:sz w:val="22"/>
          <w:szCs w:val="22"/>
        </w:rPr>
        <w:t xml:space="preserve">This indicator focuses specifically on teaching staff who have received training to make their courses more inclusive. Such training can cover inclusive curriculum design, gender-sensitive teaching, classroom dynamics, the use of accessible teaching materials, and how to support diverse learning needs. These initiatives contribute to structural inclusion by helping educators to anticipate and accommodate the diversity of their students. </w:t>
      </w:r>
    </w:p>
    <w:p w14:paraId="4F9E0248" w14:textId="77777777" w:rsidR="00AA15A5" w:rsidRPr="00132E97" w:rsidRDefault="00AA15A5" w:rsidP="00A937C6">
      <w:pPr>
        <w:spacing w:line="240" w:lineRule="auto"/>
        <w:rPr>
          <w:b/>
          <w:bCs/>
          <w:sz w:val="22"/>
          <w:szCs w:val="22"/>
        </w:rPr>
      </w:pPr>
      <w:r w:rsidRPr="00132E97">
        <w:rPr>
          <w:b/>
          <w:bCs/>
          <w:sz w:val="22"/>
          <w:szCs w:val="22"/>
        </w:rPr>
        <w:t>Indicator 4: Quality and relevance of the trainings</w:t>
      </w:r>
    </w:p>
    <w:p w14:paraId="7BCA5839" w14:textId="77777777" w:rsidR="00AA15A5" w:rsidRPr="00DA2128" w:rsidRDefault="00AA15A5" w:rsidP="00A937C6">
      <w:pPr>
        <w:spacing w:line="240" w:lineRule="auto"/>
        <w:rPr>
          <w:sz w:val="22"/>
          <w:szCs w:val="22"/>
        </w:rPr>
      </w:pPr>
      <w:r w:rsidRPr="00DA2128">
        <w:rPr>
          <w:sz w:val="22"/>
          <w:szCs w:val="22"/>
        </w:rPr>
        <w:t>This indicator aims at collecting learner’s feedbacks on the different trainings. They need to rate the relevance, applicability and cultural fit on a 5 points scale and make an open comment. A post-test questionnaire need to be put in place after all trainings The average number of points obtained will serve as an indicator for each university. Focus groups can also be conducted annually if needed, to reflect how to improve the training courses that received the lowest scores.</w:t>
      </w:r>
    </w:p>
    <w:p w14:paraId="1CA77B45" w14:textId="77777777" w:rsidR="00AA15A5" w:rsidRPr="00132E97" w:rsidRDefault="00AA15A5" w:rsidP="00A937C6">
      <w:pPr>
        <w:spacing w:line="240" w:lineRule="auto"/>
        <w:rPr>
          <w:b/>
          <w:bCs/>
          <w:sz w:val="22"/>
          <w:szCs w:val="22"/>
        </w:rPr>
      </w:pPr>
      <w:r w:rsidRPr="00132E97">
        <w:rPr>
          <w:b/>
          <w:bCs/>
          <w:sz w:val="22"/>
          <w:szCs w:val="22"/>
        </w:rPr>
        <w:t>Indicator 5: Existence of an institutional strategy or framework for EDI training and capacity-building</w:t>
      </w:r>
    </w:p>
    <w:p w14:paraId="6030C395" w14:textId="77777777" w:rsidR="00AA15A5" w:rsidRPr="00DA2128" w:rsidRDefault="00AA15A5" w:rsidP="00A937C6">
      <w:pPr>
        <w:spacing w:line="240" w:lineRule="auto"/>
        <w:rPr>
          <w:sz w:val="22"/>
          <w:szCs w:val="22"/>
        </w:rPr>
      </w:pPr>
      <w:r w:rsidRPr="00DA2128">
        <w:rPr>
          <w:sz w:val="22"/>
          <w:szCs w:val="22"/>
        </w:rPr>
        <w:t>The presence of a coordinated and documented strategy for EDI training ensures that such activities are not isolated, but instead part of a broader institutional plan. This indicator captures whether the university has mapped training needs, defined target groups, allocated resources, and monitored the implementation and impact of training activities. A shared EDI training framework could be developed across the alliance, allowing for local adaptation while promoting consistency.</w:t>
      </w:r>
    </w:p>
    <w:p w14:paraId="49CC09D7" w14:textId="77777777" w:rsidR="00AA15A5" w:rsidRPr="00DA2128" w:rsidRDefault="00AA15A5" w:rsidP="00A937C6">
      <w:pPr>
        <w:spacing w:line="240" w:lineRule="auto"/>
        <w:rPr>
          <w:sz w:val="22"/>
          <w:szCs w:val="22"/>
        </w:rPr>
      </w:pPr>
      <w:r w:rsidRPr="00DA2128">
        <w:rPr>
          <w:sz w:val="22"/>
          <w:szCs w:val="22"/>
        </w:rPr>
        <w:t xml:space="preserve">Together, these indicators aim to measure both the reach and the structural integration of EDI training initiatives across the university landscape. As the alliance moves forward, attention should also be given to the quality and outcomes of these trainings (through feedback mechanisms, participant reflections, and links to institutional transformation). </w:t>
      </w:r>
    </w:p>
    <w:p w14:paraId="33A2475C" w14:textId="77777777" w:rsidR="00AA15A5" w:rsidRPr="00DA2128" w:rsidRDefault="00AA15A5" w:rsidP="00A937C6">
      <w:pPr>
        <w:spacing w:line="240" w:lineRule="auto"/>
        <w:rPr>
          <w:sz w:val="22"/>
          <w:szCs w:val="22"/>
        </w:rPr>
      </w:pPr>
    </w:p>
    <w:p w14:paraId="73986E7C" w14:textId="77777777" w:rsidR="00AA15A5" w:rsidRPr="00DA2128" w:rsidRDefault="00AA15A5" w:rsidP="00A937C6">
      <w:pPr>
        <w:spacing w:line="240" w:lineRule="auto"/>
        <w:rPr>
          <w:sz w:val="22"/>
          <w:szCs w:val="22"/>
        </w:rPr>
      </w:pPr>
    </w:p>
    <w:p w14:paraId="39D371A0" w14:textId="77777777" w:rsidR="00AA15A5" w:rsidRPr="00DA2128" w:rsidRDefault="00AA15A5" w:rsidP="00A937C6">
      <w:pPr>
        <w:pStyle w:val="Sub-subheading"/>
        <w:spacing w:line="240" w:lineRule="auto"/>
      </w:pPr>
      <w:r w:rsidRPr="00DA2128">
        <w:t>3.</w:t>
      </w:r>
      <w:r w:rsidRPr="00DA2128">
        <w:tab/>
        <w:t>Life-long learning</w:t>
      </w:r>
    </w:p>
    <w:p w14:paraId="7FBAD439" w14:textId="77777777" w:rsidR="00AA15A5" w:rsidRPr="00DA2128" w:rsidRDefault="00AA15A5" w:rsidP="00A937C6">
      <w:pPr>
        <w:spacing w:line="240" w:lineRule="auto"/>
        <w:rPr>
          <w:sz w:val="22"/>
          <w:szCs w:val="22"/>
        </w:rPr>
      </w:pPr>
    </w:p>
    <w:p w14:paraId="3D6C8B63" w14:textId="77777777" w:rsidR="00AA15A5" w:rsidRPr="00DA2128" w:rsidRDefault="00AA15A5" w:rsidP="00A937C6">
      <w:pPr>
        <w:spacing w:line="240" w:lineRule="auto"/>
        <w:rPr>
          <w:sz w:val="22"/>
          <w:szCs w:val="22"/>
        </w:rPr>
      </w:pPr>
      <w:r w:rsidRPr="00DA2128">
        <w:rPr>
          <w:sz w:val="22"/>
          <w:szCs w:val="22"/>
        </w:rPr>
        <w:t>Life-long learning is a cornerstone of inclusive and future-oriented higher education. It enables individuals to continuously acquire new knowledge and skills, allowing them to adapt to rapid social, technological, and economic changes. The first principle of the European Pillar of Social Rights affirms that everyone has the right to quality and inclusive education, training, and lifelong learning, which are essential for active citizenship and fluid transitions within an evolving labor market (Council of the European Union, 2018). Within the COLOURS Alliance, life-long learning is conceived not only as continued education for adults, but also as a commitment to widening access to higher education for more diverse populations. This includes learners from underrepresented backgrounds, whose educational trajectories are often non-linear and shaped by structural inequalities. Promoting inclusive life-long learning therefore also requires addressing barriers related to access, recognition of prior learning, and flexible learning pathways (European Commission, EACEA, &amp; Eurydice, 2023; ENHANCE Diversity Office &amp; Work Package Diversity, Impact and Dissemination, 2024).</w:t>
      </w:r>
    </w:p>
    <w:p w14:paraId="082C3866" w14:textId="77777777" w:rsidR="00AA15A5" w:rsidRPr="00DA2128" w:rsidRDefault="00AA15A5" w:rsidP="00A937C6">
      <w:pPr>
        <w:spacing w:line="240" w:lineRule="auto"/>
        <w:rPr>
          <w:sz w:val="22"/>
          <w:szCs w:val="22"/>
        </w:rPr>
      </w:pPr>
      <w:r w:rsidRPr="00DA2128">
        <w:rPr>
          <w:sz w:val="22"/>
          <w:szCs w:val="22"/>
        </w:rPr>
        <w:t>Moreover, life-long learning plays a critical role in advancing social equity within higher education. It offers a second chance to individuals who may have been excluded from traditional academic routes due to socio-economic status, gender, disability, or migration background. By embracing flexible program structures, hybrid learning formats, and systems for validating non-formal and experiential learning, universities can create more inclusive environments that recognize diverse educational journeys. In this way, life-long learning is not only an economic imperative, it is also a concrete means of democratizing access to knowledge and contributing to the long-term social transformation of higher education systems. Di Bella et</w:t>
      </w:r>
      <w:r w:rsidRPr="00DA2128">
        <w:rPr>
          <w:rFonts w:ascii="Arial" w:hAnsi="Arial" w:cs="Arial"/>
          <w:sz w:val="22"/>
          <w:szCs w:val="22"/>
        </w:rPr>
        <w:t> </w:t>
      </w:r>
      <w:r w:rsidRPr="00DA2128">
        <w:rPr>
          <w:sz w:val="22"/>
          <w:szCs w:val="22"/>
        </w:rPr>
        <w:t>al. (2023) show that gender inequalities persist across adult learning pathways, with women over</w:t>
      </w:r>
      <w:r w:rsidRPr="00DA2128">
        <w:rPr>
          <w:rFonts w:ascii="Cambria Math" w:hAnsi="Cambria Math" w:cs="Cambria Math"/>
          <w:sz w:val="22"/>
          <w:szCs w:val="22"/>
        </w:rPr>
        <w:t>‑</w:t>
      </w:r>
      <w:r w:rsidRPr="00DA2128">
        <w:rPr>
          <w:sz w:val="22"/>
          <w:szCs w:val="22"/>
        </w:rPr>
        <w:t>represented in lower</w:t>
      </w:r>
      <w:r w:rsidRPr="00DA2128">
        <w:rPr>
          <w:rFonts w:ascii="Cambria Math" w:hAnsi="Cambria Math" w:cs="Cambria Math"/>
          <w:sz w:val="22"/>
          <w:szCs w:val="22"/>
        </w:rPr>
        <w:t>‑</w:t>
      </w:r>
      <w:r w:rsidRPr="00DA2128">
        <w:rPr>
          <w:sz w:val="22"/>
          <w:szCs w:val="22"/>
        </w:rPr>
        <w:t>paid sectors and under</w:t>
      </w:r>
      <w:r w:rsidRPr="00DA2128">
        <w:rPr>
          <w:rFonts w:ascii="Cambria Math" w:hAnsi="Cambria Math" w:cs="Cambria Math"/>
          <w:sz w:val="22"/>
          <w:szCs w:val="22"/>
        </w:rPr>
        <w:t>‑</w:t>
      </w:r>
      <w:r w:rsidRPr="00DA2128">
        <w:rPr>
          <w:sz w:val="22"/>
          <w:szCs w:val="22"/>
        </w:rPr>
        <w:t>represented in STEM</w:t>
      </w:r>
      <w:r w:rsidRPr="00DA2128">
        <w:rPr>
          <w:rFonts w:ascii="Cambria Math" w:hAnsi="Cambria Math" w:cs="Cambria Math"/>
          <w:sz w:val="22"/>
          <w:szCs w:val="22"/>
        </w:rPr>
        <w:t>‑</w:t>
      </w:r>
      <w:r w:rsidRPr="00DA2128">
        <w:rPr>
          <w:sz w:val="22"/>
          <w:szCs w:val="22"/>
        </w:rPr>
        <w:t>related upskilling. Intersectional disadvantages also accumulate: socio</w:t>
      </w:r>
      <w:r w:rsidRPr="00DA2128">
        <w:rPr>
          <w:rFonts w:ascii="Cambria Math" w:hAnsi="Cambria Math" w:cs="Cambria Math"/>
          <w:sz w:val="22"/>
          <w:szCs w:val="22"/>
        </w:rPr>
        <w:t>‑</w:t>
      </w:r>
      <w:r w:rsidRPr="00DA2128">
        <w:rPr>
          <w:sz w:val="22"/>
          <w:szCs w:val="22"/>
        </w:rPr>
        <w:t>economic status and migration background interact with care responsibilities and disability to shape participation and success. Consequently, LLL indicators must be disaggregated and designed to reveal structural barriers (Crenshaw, 1989; Wolbring &amp; Lillywhite, 2021).</w:t>
      </w:r>
    </w:p>
    <w:p w14:paraId="237C55F5" w14:textId="77777777" w:rsidR="00AA15A5" w:rsidRPr="00DA2128" w:rsidRDefault="00AA15A5" w:rsidP="00A937C6">
      <w:pPr>
        <w:spacing w:line="240" w:lineRule="auto"/>
        <w:rPr>
          <w:sz w:val="22"/>
          <w:szCs w:val="22"/>
        </w:rPr>
      </w:pPr>
      <w:r w:rsidRPr="00DA2128">
        <w:rPr>
          <w:sz w:val="22"/>
          <w:szCs w:val="22"/>
        </w:rPr>
        <w:t>Promoting life-long learning contributes directly to several key policy goals of the European Higher Education Area, including widening participation, enhancing permeability between education levels, and valorizing non-traditional learning formats. It also contributes to enhancing Europe’s resilience amid rapid and significant change. The alliance seeks to promote a more open and flexible university model that supports all learners, at every stage of their journey.</w:t>
      </w:r>
    </w:p>
    <w:p w14:paraId="73FA549E" w14:textId="77777777" w:rsidR="00AA15A5" w:rsidRPr="00DA2128" w:rsidRDefault="00AA15A5" w:rsidP="00A937C6">
      <w:pPr>
        <w:spacing w:line="240" w:lineRule="auto"/>
        <w:rPr>
          <w:sz w:val="22"/>
          <w:szCs w:val="22"/>
        </w:rPr>
      </w:pPr>
      <w:r w:rsidRPr="00DA2128">
        <w:rPr>
          <w:sz w:val="22"/>
          <w:szCs w:val="22"/>
        </w:rPr>
        <w:t>Among the Council of Europe’s recommendations on key competencies for lifelong learning (2018) is the emphasis on promoting interdisciplinary in educational programs, as well as encouraging collaboration across different levels of education and among stakeholders, including both learners and educators. It is widely acknowledged that all key competencies are equally important, interconnected, and mutually reinforcing.</w:t>
      </w:r>
    </w:p>
    <w:p w14:paraId="658D2F93" w14:textId="77777777" w:rsidR="00AA15A5" w:rsidRPr="00DA2128" w:rsidRDefault="00AA15A5" w:rsidP="00A937C6">
      <w:pPr>
        <w:spacing w:line="240" w:lineRule="auto"/>
        <w:rPr>
          <w:sz w:val="22"/>
          <w:szCs w:val="22"/>
        </w:rPr>
      </w:pPr>
      <w:r w:rsidRPr="00DA2128">
        <w:rPr>
          <w:sz w:val="22"/>
          <w:szCs w:val="22"/>
        </w:rPr>
        <w:t>The eight key competencies defined by the Council of Europe are: literacy competence; multilingual competence; mathematical competence and competence in science, technology and engineering; digital competence; personal, social and learning to learn competence; citizenship competence; entrepreneurship competence; cultural awareness and expression competence. We can note that the EDI trainings developed under WP10 of the COLOURS alliance (see previous section) and which are part of the life-long learning principle, align with the keys competences of citizenship and of personal, social and learning to learn.</w:t>
      </w:r>
    </w:p>
    <w:p w14:paraId="7467161B" w14:textId="77777777" w:rsidR="00AA15A5" w:rsidRPr="00DA2128" w:rsidRDefault="00AA15A5" w:rsidP="00A937C6">
      <w:pPr>
        <w:spacing w:line="240" w:lineRule="auto"/>
        <w:rPr>
          <w:sz w:val="22"/>
          <w:szCs w:val="22"/>
        </w:rPr>
      </w:pPr>
      <w:r w:rsidRPr="00DA2128">
        <w:rPr>
          <w:sz w:val="22"/>
          <w:szCs w:val="22"/>
        </w:rPr>
        <w:t>To support this transformation, the following indicators are proposed:</w:t>
      </w:r>
    </w:p>
    <w:p w14:paraId="31C805BE" w14:textId="77777777" w:rsidR="00AA15A5" w:rsidRPr="00132E97" w:rsidRDefault="00AA15A5" w:rsidP="00A937C6">
      <w:pPr>
        <w:spacing w:line="240" w:lineRule="auto"/>
        <w:rPr>
          <w:b/>
          <w:bCs/>
          <w:sz w:val="22"/>
          <w:szCs w:val="22"/>
        </w:rPr>
      </w:pPr>
      <w:r w:rsidRPr="00132E97">
        <w:rPr>
          <w:b/>
          <w:bCs/>
          <w:sz w:val="22"/>
          <w:szCs w:val="22"/>
        </w:rPr>
        <w:t>Indicator 1: Number of outreach activities conducted in secondary schools to promote higher education and challenge gender/stereotypical career orientations</w:t>
      </w:r>
    </w:p>
    <w:p w14:paraId="61910E48" w14:textId="77777777" w:rsidR="00AA15A5" w:rsidRPr="00DA2128" w:rsidRDefault="00AA15A5" w:rsidP="00A937C6">
      <w:pPr>
        <w:spacing w:line="240" w:lineRule="auto"/>
        <w:rPr>
          <w:sz w:val="22"/>
          <w:szCs w:val="22"/>
        </w:rPr>
      </w:pPr>
      <w:r w:rsidRPr="00DA2128">
        <w:rPr>
          <w:sz w:val="22"/>
          <w:szCs w:val="22"/>
        </w:rPr>
        <w:t>This indicator reflects the alliance’s commitment to engaging earlier in the educational pipeline to break down barriers to access and aspiration. By organizing awareness-raising sessions in secondary schools, university staff and students can present university study options, demystify the academic environment, and counter gender stereotypes (e.g. girls in STEM, boys in caregiving fields). These interventions can have long-term impacts on student aspirations and the diversity of future university cohorts. Activities should include promoting the values and opportunities of the COLOURS alliance. Initiatives aimed at preparing the transition from school to university have already been developed within the alliance, such as COLOURS Juniors (UKLO) or COLOURS Next Gen (LMU), and could be developed by other partners.</w:t>
      </w:r>
    </w:p>
    <w:p w14:paraId="14DDCC35" w14:textId="77777777" w:rsidR="00AA15A5" w:rsidRPr="00132E97" w:rsidRDefault="00AA15A5" w:rsidP="00A937C6">
      <w:pPr>
        <w:spacing w:line="240" w:lineRule="auto"/>
        <w:rPr>
          <w:b/>
          <w:bCs/>
          <w:sz w:val="22"/>
          <w:szCs w:val="22"/>
        </w:rPr>
      </w:pPr>
      <w:r w:rsidRPr="00132E97">
        <w:rPr>
          <w:b/>
          <w:bCs/>
          <w:sz w:val="22"/>
          <w:szCs w:val="22"/>
        </w:rPr>
        <w:t>Indicator 2: Existence and use of a micro-accreditation system for non-traditional learners</w:t>
      </w:r>
    </w:p>
    <w:p w14:paraId="1BEFBDE3" w14:textId="77777777" w:rsidR="00AA15A5" w:rsidRPr="00DA2128" w:rsidRDefault="00AA15A5" w:rsidP="00A937C6">
      <w:pPr>
        <w:spacing w:line="240" w:lineRule="auto"/>
        <w:rPr>
          <w:sz w:val="22"/>
          <w:szCs w:val="22"/>
        </w:rPr>
      </w:pPr>
      <w:r w:rsidRPr="00DA2128">
        <w:rPr>
          <w:sz w:val="22"/>
          <w:szCs w:val="22"/>
        </w:rPr>
        <w:t xml:space="preserve">This indicator evaluates the development and implementation of micro-credentials, which allow learners to gain recognition for short-term learning experiences, outside traditional degree programs. These can include formal courses, online courses, informal and regional innovation activities (such as collaborative research and hackathons), professional development, and lifelong education modules. Micro-accreditation contributes to flexible learning paths, supports upskilling and reskilling, and enhances the accessibility of higher education for working adults, unemployed individuals, and learners with family responsibilities. Consequently, it contributes to the objective to lower barriers for underrepresented groups. Micro-accreditations will be awarded as part of EDI training courses developed by WP10. </w:t>
      </w:r>
    </w:p>
    <w:p w14:paraId="57545C85" w14:textId="77777777" w:rsidR="00AA15A5" w:rsidRPr="00132E97" w:rsidRDefault="00AA15A5" w:rsidP="00A937C6">
      <w:pPr>
        <w:spacing w:line="240" w:lineRule="auto"/>
        <w:rPr>
          <w:b/>
          <w:bCs/>
          <w:sz w:val="22"/>
          <w:szCs w:val="22"/>
        </w:rPr>
      </w:pPr>
      <w:r w:rsidRPr="00132E97">
        <w:rPr>
          <w:b/>
          <w:bCs/>
          <w:sz w:val="22"/>
          <w:szCs w:val="22"/>
        </w:rPr>
        <w:t>Indicator 3: Number of learners outside traditional degree programs enrolled in university courses per academic year</w:t>
      </w:r>
    </w:p>
    <w:p w14:paraId="5A6E36DA" w14:textId="77777777" w:rsidR="00AA15A5" w:rsidRPr="00DA2128" w:rsidRDefault="00AA15A5" w:rsidP="00A937C6">
      <w:pPr>
        <w:spacing w:line="240" w:lineRule="auto"/>
        <w:rPr>
          <w:sz w:val="22"/>
          <w:szCs w:val="22"/>
        </w:rPr>
      </w:pPr>
      <w:r w:rsidRPr="00DA2128">
        <w:rPr>
          <w:sz w:val="22"/>
          <w:szCs w:val="22"/>
        </w:rPr>
        <w:t>This indicator captures the degree to which universities are open to learners beyond typical full-time students (e.g. adult learners, workers, retirees, jobseekers). Monitoring this data helps assess the university’s role in offering inclusive learning opportunities at different life stages.</w:t>
      </w:r>
    </w:p>
    <w:p w14:paraId="513B2F8C" w14:textId="77777777" w:rsidR="00AA15A5" w:rsidRPr="00DA2128" w:rsidRDefault="00AA15A5" w:rsidP="00A937C6">
      <w:pPr>
        <w:spacing w:line="240" w:lineRule="auto"/>
        <w:rPr>
          <w:sz w:val="22"/>
          <w:szCs w:val="22"/>
        </w:rPr>
      </w:pPr>
      <w:r w:rsidRPr="00DA2128">
        <w:rPr>
          <w:sz w:val="22"/>
          <w:szCs w:val="22"/>
        </w:rPr>
        <w:t>These indicators provide a roadmap for universities within COLOURS to strengthen their contribution to inclusive, life-long education. They encourage a broader vision of the university as an open, dynamic learning space for all, where education does not stop at graduation, and where new learners can continuously join and benefit from academic resources. As with other EDI indicators, these will require testing and contextual adaptation across national systems and university cultures.</w:t>
      </w:r>
    </w:p>
    <w:p w14:paraId="669BEC58" w14:textId="77777777" w:rsidR="00AA15A5" w:rsidRPr="00DA2128" w:rsidRDefault="00AA15A5" w:rsidP="00A937C6">
      <w:pPr>
        <w:spacing w:line="240" w:lineRule="auto"/>
        <w:rPr>
          <w:sz w:val="22"/>
          <w:szCs w:val="22"/>
        </w:rPr>
      </w:pPr>
    </w:p>
    <w:p w14:paraId="06C6C7AF" w14:textId="77777777" w:rsidR="00AA15A5" w:rsidRPr="00DA2128" w:rsidRDefault="00AA15A5" w:rsidP="00A937C6">
      <w:pPr>
        <w:pStyle w:val="Sub-subheading"/>
        <w:spacing w:line="240" w:lineRule="auto"/>
      </w:pPr>
      <w:r w:rsidRPr="00DA2128">
        <w:t>4.</w:t>
      </w:r>
      <w:r w:rsidRPr="00DA2128">
        <w:tab/>
        <w:t>Reliable data</w:t>
      </w:r>
    </w:p>
    <w:p w14:paraId="12E744A4" w14:textId="77777777" w:rsidR="00AA15A5" w:rsidRPr="00DA2128" w:rsidRDefault="00AA15A5" w:rsidP="00A937C6">
      <w:pPr>
        <w:spacing w:line="240" w:lineRule="auto"/>
        <w:rPr>
          <w:sz w:val="22"/>
          <w:szCs w:val="22"/>
        </w:rPr>
      </w:pPr>
    </w:p>
    <w:p w14:paraId="4D4106AB" w14:textId="77777777" w:rsidR="00AA15A5" w:rsidRPr="00DA2128" w:rsidRDefault="00AA15A5" w:rsidP="00A937C6">
      <w:pPr>
        <w:spacing w:line="240" w:lineRule="auto"/>
        <w:rPr>
          <w:sz w:val="22"/>
          <w:szCs w:val="22"/>
        </w:rPr>
      </w:pPr>
      <w:r w:rsidRPr="00DA2128">
        <w:rPr>
          <w:sz w:val="22"/>
          <w:szCs w:val="22"/>
        </w:rPr>
        <w:t>Reliable and participatory data collection is a cornerstone of effective, evidence-based EDI strategies in higher education. Beyond simply gathering information, data practices must reflect a commitment to transparency, ethical responsibility, and community engagement (Chtena et al., 2025; European Commission, EACEA, &amp; Eurydice, 2023). In this context, EDI data are not only tools for measurement but also instruments for empowerment and transformation. When designed inclusively and analyzed intersectionally, such data can help uncover systemic inequities and inform targeted, context-specific interventions (Crenshaw, 1989; European Commission et al., 2022).</w:t>
      </w:r>
    </w:p>
    <w:p w14:paraId="52A9A5B6" w14:textId="77777777" w:rsidR="00AA15A5" w:rsidRPr="00DA2128" w:rsidRDefault="00AA15A5" w:rsidP="00A937C6">
      <w:pPr>
        <w:spacing w:line="240" w:lineRule="auto"/>
        <w:rPr>
          <w:sz w:val="22"/>
          <w:szCs w:val="22"/>
        </w:rPr>
      </w:pPr>
      <w:r w:rsidRPr="00DA2128">
        <w:rPr>
          <w:sz w:val="22"/>
          <w:szCs w:val="22"/>
        </w:rPr>
        <w:t>One of the guiding principles in COLOURS’ approach to EDI is the recognition that data generation should align with the values of Open Science. This includes ensuring that knowledge production is transparent, inclusive, and accessible, and that it actively involves those traditionally underrepresented in decision-making processes. The open science framework promotes the democratization of knowledge and accountability in policy-making, both of which are essential for meaningful progress in EDI, as highlighted in the recent article “Towards an inclusive Open Science: examining EDI and public participation in policy documents across Europe and the Americas” (Chtena et al., 2025).</w:t>
      </w:r>
    </w:p>
    <w:p w14:paraId="51471DEB" w14:textId="77777777" w:rsidR="00AA15A5" w:rsidRPr="00DA2128" w:rsidRDefault="00AA15A5" w:rsidP="00A937C6">
      <w:pPr>
        <w:spacing w:line="240" w:lineRule="auto"/>
        <w:rPr>
          <w:sz w:val="22"/>
          <w:szCs w:val="22"/>
        </w:rPr>
      </w:pPr>
      <w:r w:rsidRPr="00DA2128">
        <w:rPr>
          <w:sz w:val="22"/>
          <w:szCs w:val="22"/>
        </w:rPr>
        <w:t>In line with this perspective, the COLOURS alliance promotes an inclusive and participatory approach to data collection and analysis. It seeks to involve the entire university community, students, academic and administrative staff, in the identification of needs and the design, implementation, and evaluation of EDI-related actions. This co-creative model not only improves the relevance and contextual accuracy of the data collected, but also strengthens collective ownership, trust, and engagement across the alliance. Open spaces for dialogue thus enable a holistic approach to EDI (Gauneau &amp; al, 2022).</w:t>
      </w:r>
    </w:p>
    <w:p w14:paraId="3053A24E" w14:textId="77777777" w:rsidR="00AA15A5" w:rsidRPr="00DA2128" w:rsidRDefault="00AA15A5" w:rsidP="00A937C6">
      <w:pPr>
        <w:spacing w:line="240" w:lineRule="auto"/>
        <w:rPr>
          <w:sz w:val="22"/>
          <w:szCs w:val="22"/>
        </w:rPr>
      </w:pPr>
      <w:r w:rsidRPr="00DA2128">
        <w:rPr>
          <w:sz w:val="22"/>
          <w:szCs w:val="22"/>
        </w:rPr>
        <w:t>Moreover, it is essential to regularly evaluate the actions implemented in order to identify avenues for improvement and adjust them so they can be as effective as possible. This aligns with Cluster 6, which emerged from the analysis of the GCM process results, titled "Advancing policy, implementation and evaluation," and whose suggestions notably include collecting feedback from students and staff as well as creating indicators to identify underrepresented groups and to assess universities’ performance regarding EDI. Data collection is therefore at the core of this cluster. The use of the indicators proposed in this report is also essential to fully explore this theme.</w:t>
      </w:r>
    </w:p>
    <w:p w14:paraId="13864D53" w14:textId="77777777" w:rsidR="00AA15A5" w:rsidRPr="00DA2128" w:rsidRDefault="00AA15A5" w:rsidP="00A937C6">
      <w:pPr>
        <w:spacing w:line="240" w:lineRule="auto"/>
        <w:rPr>
          <w:sz w:val="22"/>
          <w:szCs w:val="22"/>
        </w:rPr>
      </w:pPr>
      <w:r w:rsidRPr="00DA2128">
        <w:rPr>
          <w:sz w:val="22"/>
          <w:szCs w:val="22"/>
        </w:rPr>
        <w:t>Data are shaped by the questions we ask, the methods we use, and the people we include, as explained by the sociology of quantification (Coron, 2018). Therefore, the COLOURS indicators are designed not merely as quantitative measures, but as reflections of values, participation, inclusivity, transparency, and reflexivity. If it is important to track progress through KPI, we are aware that the EDI efforts can't be reduced to numbers alone (Kayyali, 2022). These data are essential for identifying systemic barriers, tracking progress, adapting strategies, and ensuring that the most marginalized voices are heard and considered.</w:t>
      </w:r>
    </w:p>
    <w:p w14:paraId="22512B77" w14:textId="77777777" w:rsidR="00AA15A5" w:rsidRPr="00DA2128" w:rsidRDefault="00AA15A5" w:rsidP="00A937C6">
      <w:pPr>
        <w:spacing w:line="240" w:lineRule="auto"/>
        <w:rPr>
          <w:sz w:val="22"/>
          <w:szCs w:val="22"/>
        </w:rPr>
      </w:pPr>
      <w:r w:rsidRPr="00DA2128">
        <w:rPr>
          <w:sz w:val="22"/>
          <w:szCs w:val="22"/>
        </w:rPr>
        <w:t>To support these goals, the following indicators are proposed:</w:t>
      </w:r>
    </w:p>
    <w:p w14:paraId="1EFD448E" w14:textId="77777777" w:rsidR="00AA15A5" w:rsidRPr="00775EDD" w:rsidRDefault="00AA15A5" w:rsidP="00A937C6">
      <w:pPr>
        <w:spacing w:line="240" w:lineRule="auto"/>
        <w:rPr>
          <w:b/>
          <w:bCs/>
          <w:sz w:val="22"/>
          <w:szCs w:val="22"/>
        </w:rPr>
      </w:pPr>
      <w:r w:rsidRPr="00775EDD">
        <w:rPr>
          <w:b/>
          <w:bCs/>
          <w:sz w:val="22"/>
          <w:szCs w:val="22"/>
        </w:rPr>
        <w:t>Indicator 1: Use of the results of the Group Concept Mapping (GCM) activity</w:t>
      </w:r>
    </w:p>
    <w:p w14:paraId="753BCAA2" w14:textId="77777777" w:rsidR="00AA15A5" w:rsidRPr="00DA2128" w:rsidRDefault="00AA15A5" w:rsidP="00A937C6">
      <w:pPr>
        <w:spacing w:line="240" w:lineRule="auto"/>
        <w:rPr>
          <w:sz w:val="22"/>
          <w:szCs w:val="22"/>
        </w:rPr>
      </w:pPr>
      <w:r w:rsidRPr="00DA2128">
        <w:rPr>
          <w:sz w:val="22"/>
          <w:szCs w:val="22"/>
        </w:rPr>
        <w:t>Group Concept Mapping is a participatory research method that engages diverse stakeholders in collectively identifying and prioritizing key ideas related to EDI. Participants include staff from the alliance's universities (administrative, teaching, technical, etc.). The results of the GCM activity must be used in the development of the WP10 actions, in particular in the design of trainings for students and staff and in the implementation of EDI-related events.</w:t>
      </w:r>
    </w:p>
    <w:p w14:paraId="11D99AE5" w14:textId="77777777" w:rsidR="00AA15A5" w:rsidRPr="00775EDD" w:rsidRDefault="00AA15A5" w:rsidP="00A937C6">
      <w:pPr>
        <w:spacing w:line="240" w:lineRule="auto"/>
        <w:rPr>
          <w:b/>
          <w:bCs/>
          <w:sz w:val="22"/>
          <w:szCs w:val="22"/>
        </w:rPr>
      </w:pPr>
      <w:r w:rsidRPr="00775EDD">
        <w:rPr>
          <w:b/>
          <w:bCs/>
          <w:sz w:val="22"/>
          <w:szCs w:val="22"/>
        </w:rPr>
        <w:t>Indicator 2: Use of the results of the Imagine/IDEATE seminar</w:t>
      </w:r>
    </w:p>
    <w:p w14:paraId="64180859" w14:textId="77777777" w:rsidR="00AA15A5" w:rsidRPr="00DA2128" w:rsidRDefault="00AA15A5" w:rsidP="00A937C6">
      <w:pPr>
        <w:spacing w:line="240" w:lineRule="auto"/>
        <w:rPr>
          <w:sz w:val="22"/>
          <w:szCs w:val="22"/>
        </w:rPr>
      </w:pPr>
      <w:r w:rsidRPr="00DA2128">
        <w:rPr>
          <w:sz w:val="22"/>
          <w:szCs w:val="22"/>
        </w:rPr>
        <w:t>This seminar is designed to empower students to think critically about inclusion and to contribute actively to institutional change. It also serves as a space for dialogue, reflection, and peer learning. It consists of a theoretical part, during which students learn about EDI, but above all a practical part, during which students have the opportunity to think about actions to improve EDI at the university, while being guided by various activities. The seminar is based on design-thinking methodology. The results of this seminar must be used in the development of the WP10 actions, in particular in the design of trainings for students and staff and in the implementation of the EDI-related events.</w:t>
      </w:r>
    </w:p>
    <w:p w14:paraId="09053147" w14:textId="77777777" w:rsidR="00AA15A5" w:rsidRPr="00775EDD" w:rsidRDefault="00AA15A5" w:rsidP="00A937C6">
      <w:pPr>
        <w:spacing w:line="240" w:lineRule="auto"/>
        <w:rPr>
          <w:b/>
          <w:bCs/>
          <w:sz w:val="22"/>
          <w:szCs w:val="22"/>
        </w:rPr>
      </w:pPr>
      <w:r w:rsidRPr="00775EDD">
        <w:rPr>
          <w:b/>
          <w:bCs/>
          <w:sz w:val="22"/>
          <w:szCs w:val="22"/>
        </w:rPr>
        <w:t>Indicator 3: Existence of an annual survey for students and staff to collect their feedbacks on EDI initiatives</w:t>
      </w:r>
    </w:p>
    <w:p w14:paraId="27401655" w14:textId="77777777" w:rsidR="00AA15A5" w:rsidRPr="00DA2128" w:rsidRDefault="00AA15A5" w:rsidP="00A937C6">
      <w:pPr>
        <w:spacing w:line="240" w:lineRule="auto"/>
        <w:rPr>
          <w:sz w:val="22"/>
          <w:szCs w:val="22"/>
        </w:rPr>
      </w:pPr>
      <w:r w:rsidRPr="00DA2128">
        <w:rPr>
          <w:sz w:val="22"/>
          <w:szCs w:val="22"/>
        </w:rPr>
        <w:t>This indicator reflects need to regularly evaluating the perceptions, experiences, and suggestions of the university community in relation to EDI initiatives developed in COLOURS. It forms part of a continuous improvement cycle for EDI strategies.</w:t>
      </w:r>
    </w:p>
    <w:p w14:paraId="60A594CB" w14:textId="77777777" w:rsidR="00AA15A5" w:rsidRPr="00775EDD" w:rsidRDefault="00AA15A5" w:rsidP="00A937C6">
      <w:pPr>
        <w:spacing w:line="240" w:lineRule="auto"/>
        <w:rPr>
          <w:b/>
          <w:bCs/>
          <w:sz w:val="22"/>
          <w:szCs w:val="22"/>
        </w:rPr>
      </w:pPr>
      <w:r w:rsidRPr="00775EDD">
        <w:rPr>
          <w:b/>
          <w:bCs/>
          <w:sz w:val="22"/>
          <w:szCs w:val="22"/>
        </w:rPr>
        <w:t>Indicator 4: Number of responses to the annual EDI survey</w:t>
      </w:r>
    </w:p>
    <w:p w14:paraId="4B4A0863" w14:textId="77777777" w:rsidR="00AA15A5" w:rsidRPr="00DA2128" w:rsidRDefault="00AA15A5" w:rsidP="00A937C6">
      <w:pPr>
        <w:spacing w:line="240" w:lineRule="auto"/>
        <w:rPr>
          <w:sz w:val="22"/>
          <w:szCs w:val="22"/>
        </w:rPr>
      </w:pPr>
      <w:r w:rsidRPr="00DA2128">
        <w:rPr>
          <w:sz w:val="22"/>
          <w:szCs w:val="22"/>
        </w:rPr>
        <w:t>Beyond the existence of a survey, this indicator monitors its reach and perceived legitimacy. A high response rate indicates trust in the process and suggests that the community feels its voice is valued. Disaggregating this data by role (students, academic staff, administrative staff) and demographic characteristics (e.g. gender, age, disability) can further inform targeted actions.</w:t>
      </w:r>
    </w:p>
    <w:p w14:paraId="7230933B" w14:textId="77777777" w:rsidR="00AA15A5" w:rsidRPr="00775EDD" w:rsidRDefault="00AA15A5" w:rsidP="00A937C6">
      <w:pPr>
        <w:spacing w:line="240" w:lineRule="auto"/>
        <w:rPr>
          <w:b/>
          <w:bCs/>
          <w:sz w:val="22"/>
          <w:szCs w:val="22"/>
        </w:rPr>
      </w:pPr>
      <w:r w:rsidRPr="00775EDD">
        <w:rPr>
          <w:b/>
          <w:bCs/>
          <w:sz w:val="22"/>
          <w:szCs w:val="22"/>
        </w:rPr>
        <w:t>Indicator 5: Availability and accessibility of EDI data dashboards or summary reports</w:t>
      </w:r>
    </w:p>
    <w:p w14:paraId="4C8D3365" w14:textId="77777777" w:rsidR="00AA15A5" w:rsidRPr="00DA2128" w:rsidRDefault="00AA15A5" w:rsidP="00A937C6">
      <w:pPr>
        <w:spacing w:line="240" w:lineRule="auto"/>
        <w:rPr>
          <w:sz w:val="22"/>
          <w:szCs w:val="22"/>
        </w:rPr>
      </w:pPr>
      <w:r w:rsidRPr="00DA2128">
        <w:rPr>
          <w:sz w:val="22"/>
          <w:szCs w:val="22"/>
        </w:rPr>
        <w:t>To promote transparency and collective accountability, EDI data should be made accessible to the university community in the form of dashboards, infographics, or summary reports. This indicator assesses whether such outputs exist, are user-friendly, and are regularly updated. Making data public encourages reflection, benchmarking, and community dialogue.</w:t>
      </w:r>
    </w:p>
    <w:p w14:paraId="5FF9985C" w14:textId="77777777" w:rsidR="00AA15A5" w:rsidRPr="00DA2128" w:rsidRDefault="00AA15A5" w:rsidP="00A937C6">
      <w:pPr>
        <w:spacing w:line="240" w:lineRule="auto"/>
        <w:rPr>
          <w:sz w:val="22"/>
          <w:szCs w:val="22"/>
        </w:rPr>
      </w:pPr>
      <w:r w:rsidRPr="00DA2128">
        <w:rPr>
          <w:sz w:val="22"/>
          <w:szCs w:val="22"/>
        </w:rPr>
        <w:t>Together, these indicators aim to strengthen a culture of shared responsibility and informed action within the alliance. They emphasize that data collection is not only a technical task but a democratic process, one that should reflect the diversity of experiences and amplify the voices of those most affected by exclusion. For COLOURS, building EDI strategies with the community is both an ethical imperative and a strategic advantage.</w:t>
      </w:r>
    </w:p>
    <w:p w14:paraId="0556E621" w14:textId="77777777" w:rsidR="00AA15A5" w:rsidRPr="00DA2128" w:rsidRDefault="00AA15A5" w:rsidP="00A937C6">
      <w:pPr>
        <w:spacing w:line="240" w:lineRule="auto"/>
        <w:rPr>
          <w:sz w:val="22"/>
          <w:szCs w:val="22"/>
        </w:rPr>
      </w:pPr>
    </w:p>
    <w:p w14:paraId="71C73842" w14:textId="77777777" w:rsidR="00AA15A5" w:rsidRPr="00DA2128" w:rsidRDefault="00AA15A5" w:rsidP="00A937C6">
      <w:pPr>
        <w:pStyle w:val="Sub-subheading"/>
        <w:spacing w:line="240" w:lineRule="auto"/>
      </w:pPr>
      <w:r w:rsidRPr="00DA2128">
        <w:t>5.</w:t>
      </w:r>
      <w:r w:rsidRPr="00DA2128">
        <w:tab/>
        <w:t>Inclusive international mobility</w:t>
      </w:r>
    </w:p>
    <w:p w14:paraId="02C625A1" w14:textId="77777777" w:rsidR="00AA15A5" w:rsidRPr="00DA2128" w:rsidRDefault="00AA15A5" w:rsidP="00A937C6">
      <w:pPr>
        <w:spacing w:line="240" w:lineRule="auto"/>
        <w:rPr>
          <w:sz w:val="22"/>
          <w:szCs w:val="22"/>
        </w:rPr>
      </w:pPr>
    </w:p>
    <w:p w14:paraId="069E4977" w14:textId="77777777" w:rsidR="00AA15A5" w:rsidRPr="00DA2128" w:rsidRDefault="00AA15A5" w:rsidP="00A937C6">
      <w:pPr>
        <w:spacing w:line="240" w:lineRule="auto"/>
        <w:rPr>
          <w:sz w:val="22"/>
          <w:szCs w:val="22"/>
        </w:rPr>
      </w:pPr>
      <w:r w:rsidRPr="00DA2128">
        <w:rPr>
          <w:sz w:val="22"/>
          <w:szCs w:val="22"/>
        </w:rPr>
        <w:t>International mobility is a central pillar of the European higher education experience, contributing to the development of intercultural competencies, academic collaboration, and personal growth. However, access to mobility opportunities is not equally distributed. Participation often mirrors broader structural inequalities, with disparities linked to socio-economic status, disability, gender, or academic field (European Commission, EACEA, &amp; Eurydice, 2020; European Commission et al., 2022). For instance, data indicate that students with disabilities remain significantly underrepresented in international mobility programs, reinforcing their existing marginalization compared to their peers (Inclusive Mobility, 2025; Riva, Lister, &amp; Jeglinska, 2024).</w:t>
      </w:r>
    </w:p>
    <w:p w14:paraId="017501A6" w14:textId="77777777" w:rsidR="00AA15A5" w:rsidRPr="00DA2128" w:rsidRDefault="00AA15A5" w:rsidP="00A937C6">
      <w:pPr>
        <w:spacing w:line="240" w:lineRule="auto"/>
        <w:rPr>
          <w:sz w:val="22"/>
          <w:szCs w:val="22"/>
        </w:rPr>
      </w:pPr>
      <w:r w:rsidRPr="00DA2128">
        <w:rPr>
          <w:sz w:val="22"/>
          <w:szCs w:val="22"/>
        </w:rPr>
        <w:t>To fully align with the COLOURS alliance's commitment to EDI, it is essential that international mobility is not only promoted, but also made accessible and inclusive for all members of the university community, students, academic and administrative staff alike.</w:t>
      </w:r>
    </w:p>
    <w:p w14:paraId="00CCF63F" w14:textId="77777777" w:rsidR="00AA15A5" w:rsidRPr="00DA2128" w:rsidRDefault="00AA15A5" w:rsidP="00A937C6">
      <w:pPr>
        <w:spacing w:line="240" w:lineRule="auto"/>
        <w:rPr>
          <w:sz w:val="22"/>
          <w:szCs w:val="22"/>
        </w:rPr>
      </w:pPr>
      <w:r w:rsidRPr="00DA2128">
        <w:rPr>
          <w:sz w:val="22"/>
          <w:szCs w:val="22"/>
        </w:rPr>
        <w:t>The approach taken in this area draws on key insights from the Inclusive Mobility project, which advocates for the removal of structural and procedural barriers that limit access to mobility for underrepresented groups, especially students with disabilities. Their work emphasizes the importance of embedding accessibility into every stage of the mobility experience, from application and preparation to the actual mobility period and its evaluation. As they argue, inclusive mobility must move beyond individual accommodations toward a systemic transformation, where inclusion becomes a standard, not an exception.</w:t>
      </w:r>
    </w:p>
    <w:p w14:paraId="520F74E7" w14:textId="77777777" w:rsidR="00AA15A5" w:rsidRPr="00DA2128" w:rsidRDefault="00AA15A5" w:rsidP="00A937C6">
      <w:pPr>
        <w:spacing w:line="240" w:lineRule="auto"/>
        <w:rPr>
          <w:sz w:val="22"/>
          <w:szCs w:val="22"/>
        </w:rPr>
      </w:pPr>
      <w:r w:rsidRPr="00DA2128">
        <w:rPr>
          <w:sz w:val="22"/>
          <w:szCs w:val="22"/>
        </w:rPr>
        <w:t>Ideas targeting people from marginalized groups also emerged from the Imagine/IDEATE seminar for students, particularly focusing on students with disabilities as well as international students. Several proposals emphasized the importance of empathy and experiential learning, notably through immersive cultural exchanges that help build bridges between students from different countries and foster better understanding. For example, a team at VUAS suggested a Latvian Language Course for International Students Integration and another one came with the idea of an On-Campus Psychologist to address the needs of both local and International students. The need to include international students also emerged in the proposals submitted during the GCM, notably in Cluster 2 where international students were mentioned: “Organize events where international students can meet and connect with local students and staff to promote cultural exchange,” as well as in Cluster 4 which includes: “Provide support for international students in communication and networking with businesses.”</w:t>
      </w:r>
    </w:p>
    <w:p w14:paraId="3604B230" w14:textId="77777777" w:rsidR="00AA15A5" w:rsidRPr="00DA2128" w:rsidRDefault="00AA15A5" w:rsidP="00A937C6">
      <w:pPr>
        <w:spacing w:line="240" w:lineRule="auto"/>
        <w:rPr>
          <w:sz w:val="22"/>
          <w:szCs w:val="22"/>
        </w:rPr>
      </w:pPr>
      <w:r w:rsidRPr="00DA2128">
        <w:rPr>
          <w:sz w:val="22"/>
          <w:szCs w:val="22"/>
        </w:rPr>
        <w:t>Inclusion in mobility contributes directly to broader EDI goals by expanding access, dismantling institutional barriers, and enriching learning environments through the presence of diverse perspectives. It also supports the development of more resilient and socially just institutions, where all individuals have the opportunity to participate in and benefit from international experiences.</w:t>
      </w:r>
    </w:p>
    <w:p w14:paraId="6D34A96F" w14:textId="77777777" w:rsidR="00AA15A5" w:rsidRPr="00DA2128" w:rsidRDefault="00AA15A5" w:rsidP="00A937C6">
      <w:pPr>
        <w:spacing w:line="240" w:lineRule="auto"/>
        <w:rPr>
          <w:sz w:val="22"/>
          <w:szCs w:val="22"/>
        </w:rPr>
      </w:pPr>
      <w:r w:rsidRPr="00DA2128">
        <w:rPr>
          <w:sz w:val="22"/>
          <w:szCs w:val="22"/>
        </w:rPr>
        <w:t>Monitoring and promoting inclusive mobility requires the collection of disaggregated data, the identification of underrepresented groups in mobility scheme, and the implementation of targeted support strategies, including the promotion of short-term and flexible mobility formats such as Blended Intensive Programs (BIPs), hackathons, CoLabs, and summer or winter schools, which are often more accessible to those facing constraints.</w:t>
      </w:r>
    </w:p>
    <w:p w14:paraId="18550AE7" w14:textId="77777777" w:rsidR="00AA15A5" w:rsidRPr="00DA2128" w:rsidRDefault="00AA15A5" w:rsidP="00A937C6">
      <w:pPr>
        <w:spacing w:line="240" w:lineRule="auto"/>
        <w:rPr>
          <w:sz w:val="22"/>
          <w:szCs w:val="22"/>
        </w:rPr>
      </w:pPr>
      <w:r w:rsidRPr="00DA2128">
        <w:rPr>
          <w:sz w:val="22"/>
          <w:szCs w:val="22"/>
        </w:rPr>
        <w:t>To assess and support progress in this domain, the following indicators are proposed:</w:t>
      </w:r>
    </w:p>
    <w:p w14:paraId="118FF1E6" w14:textId="77777777" w:rsidR="00AA15A5" w:rsidRPr="00775EDD" w:rsidRDefault="00AA15A5" w:rsidP="00A937C6">
      <w:pPr>
        <w:spacing w:line="240" w:lineRule="auto"/>
        <w:rPr>
          <w:b/>
          <w:bCs/>
          <w:sz w:val="22"/>
          <w:szCs w:val="22"/>
        </w:rPr>
      </w:pPr>
      <w:r w:rsidRPr="00775EDD">
        <w:rPr>
          <w:b/>
          <w:bCs/>
          <w:sz w:val="22"/>
          <w:szCs w:val="22"/>
        </w:rPr>
        <w:t>Indicator 1: Breakdown of international outward mobility among students by field of study</w:t>
      </w:r>
    </w:p>
    <w:p w14:paraId="5A3FBDF3" w14:textId="77777777" w:rsidR="00AA15A5" w:rsidRPr="00DA2128" w:rsidRDefault="00AA15A5" w:rsidP="00A937C6">
      <w:pPr>
        <w:spacing w:line="240" w:lineRule="auto"/>
        <w:rPr>
          <w:sz w:val="22"/>
          <w:szCs w:val="22"/>
        </w:rPr>
      </w:pPr>
      <w:r w:rsidRPr="00DA2128">
        <w:rPr>
          <w:sz w:val="22"/>
          <w:szCs w:val="22"/>
        </w:rPr>
        <w:t>This indicator analyses participation rates in student mobility programs across academic disciplines, revealing potential disparities or underrepresentation in certain fields. It helps identify fields where specific actions may be needed to promote equitable access and encourage diverse student mobility.</w:t>
      </w:r>
    </w:p>
    <w:p w14:paraId="5A66F25C" w14:textId="77777777" w:rsidR="00AA15A5" w:rsidRPr="00775EDD" w:rsidRDefault="00AA15A5" w:rsidP="00A937C6">
      <w:pPr>
        <w:spacing w:line="240" w:lineRule="auto"/>
        <w:rPr>
          <w:b/>
          <w:bCs/>
          <w:sz w:val="22"/>
          <w:szCs w:val="22"/>
        </w:rPr>
      </w:pPr>
      <w:r w:rsidRPr="00775EDD">
        <w:rPr>
          <w:b/>
          <w:bCs/>
          <w:sz w:val="22"/>
          <w:szCs w:val="22"/>
        </w:rPr>
        <w:t>Indicator 2: Breakdown of international outward mobility among staff (academic and administrative)</w:t>
      </w:r>
    </w:p>
    <w:p w14:paraId="3A6CA085" w14:textId="0E5FE09A" w:rsidR="00AA15A5" w:rsidRPr="00DA2128" w:rsidRDefault="00AA15A5" w:rsidP="00A937C6">
      <w:pPr>
        <w:spacing w:line="240" w:lineRule="auto"/>
        <w:rPr>
          <w:sz w:val="22"/>
          <w:szCs w:val="22"/>
        </w:rPr>
      </w:pPr>
      <w:r w:rsidRPr="00DA2128">
        <w:rPr>
          <w:sz w:val="22"/>
          <w:szCs w:val="22"/>
        </w:rPr>
        <w:t xml:space="preserve">Understanding staff mobility patterns, including teaching, research, and professional exchanges, allows the alliance to assess inclusivity at all levels. Disaggregating by gender, role, and department supports </w:t>
      </w:r>
      <w:r w:rsidR="00775EDD">
        <w:rPr>
          <w:sz w:val="22"/>
          <w:szCs w:val="22"/>
        </w:rPr>
        <w:t xml:space="preserve">the </w:t>
      </w:r>
      <w:r w:rsidRPr="00DA2128">
        <w:rPr>
          <w:sz w:val="22"/>
          <w:szCs w:val="22"/>
        </w:rPr>
        <w:t>identification of barriers and the design of targeted support measures.</w:t>
      </w:r>
    </w:p>
    <w:p w14:paraId="7456D3C6" w14:textId="77777777" w:rsidR="00AA15A5" w:rsidRPr="00775EDD" w:rsidRDefault="00AA15A5" w:rsidP="00A937C6">
      <w:pPr>
        <w:spacing w:line="240" w:lineRule="auto"/>
        <w:rPr>
          <w:b/>
          <w:bCs/>
          <w:sz w:val="22"/>
          <w:szCs w:val="22"/>
        </w:rPr>
      </w:pPr>
      <w:r w:rsidRPr="00775EDD">
        <w:rPr>
          <w:b/>
          <w:bCs/>
          <w:sz w:val="22"/>
          <w:szCs w:val="22"/>
        </w:rPr>
        <w:t>Indicator 3: Existence of inclusive mobility guidelines</w:t>
      </w:r>
    </w:p>
    <w:p w14:paraId="42073B61" w14:textId="77777777" w:rsidR="00AA15A5" w:rsidRPr="00DA2128" w:rsidRDefault="00AA15A5" w:rsidP="00A937C6">
      <w:pPr>
        <w:spacing w:line="240" w:lineRule="auto"/>
        <w:rPr>
          <w:sz w:val="22"/>
          <w:szCs w:val="22"/>
        </w:rPr>
      </w:pPr>
      <w:r w:rsidRPr="00DA2128">
        <w:rPr>
          <w:sz w:val="22"/>
          <w:szCs w:val="22"/>
        </w:rPr>
        <w:t xml:space="preserve">This indicator evaluates whether universities have guidelines that explicitly promote inclusive international mobility, addressing barriers related to financial constraints, disabilities, language barriers or other factors. </w:t>
      </w:r>
    </w:p>
    <w:p w14:paraId="2A7DDA2C" w14:textId="09022521" w:rsidR="00AA15A5" w:rsidRPr="00775EDD" w:rsidRDefault="00AA15A5" w:rsidP="00A937C6">
      <w:pPr>
        <w:spacing w:line="240" w:lineRule="auto"/>
        <w:rPr>
          <w:b/>
          <w:bCs/>
          <w:sz w:val="22"/>
          <w:szCs w:val="22"/>
        </w:rPr>
      </w:pPr>
      <w:r w:rsidRPr="00775EDD">
        <w:rPr>
          <w:b/>
          <w:bCs/>
          <w:sz w:val="22"/>
          <w:szCs w:val="22"/>
        </w:rPr>
        <w:t xml:space="preserve">Indicator 4: Number of events </w:t>
      </w:r>
      <w:r w:rsidR="00775EDD" w:rsidRPr="00775EDD">
        <w:rPr>
          <w:b/>
          <w:bCs/>
          <w:sz w:val="22"/>
          <w:szCs w:val="22"/>
        </w:rPr>
        <w:t>organised</w:t>
      </w:r>
      <w:r w:rsidRPr="00775EDD">
        <w:rPr>
          <w:b/>
          <w:bCs/>
          <w:sz w:val="22"/>
          <w:szCs w:val="22"/>
        </w:rPr>
        <w:t xml:space="preserve"> per year for international students</w:t>
      </w:r>
    </w:p>
    <w:p w14:paraId="39278CF9" w14:textId="77777777" w:rsidR="00AA15A5" w:rsidRPr="00DA2128" w:rsidRDefault="00AA15A5" w:rsidP="00A937C6">
      <w:pPr>
        <w:spacing w:line="240" w:lineRule="auto"/>
        <w:rPr>
          <w:sz w:val="22"/>
          <w:szCs w:val="22"/>
        </w:rPr>
      </w:pPr>
      <w:r w:rsidRPr="00DA2128">
        <w:rPr>
          <w:sz w:val="22"/>
          <w:szCs w:val="22"/>
        </w:rPr>
        <w:t>This indicator makes it possible to assess the number of actions specifically targeting international students. While the previous indicators focus on outgoing mobility, this one ensures that incoming students have everything they need to fully integrate into the institution they are joining. This may include events to help them identify all university services and departments, especially those related to EDI, so they can better navigate the institution and know who to reach out to in different situations; events to meet local students and facilitate social exchange; as well as networking opportunities. In addition to helping international students integrate more effectively, these events also promote cultural exchange and thus benefit local students as well.</w:t>
      </w:r>
    </w:p>
    <w:p w14:paraId="3D57EEC5" w14:textId="77777777" w:rsidR="00AA15A5" w:rsidRPr="00775EDD" w:rsidRDefault="00AA15A5" w:rsidP="00A937C6">
      <w:pPr>
        <w:spacing w:line="240" w:lineRule="auto"/>
        <w:rPr>
          <w:b/>
          <w:bCs/>
          <w:sz w:val="22"/>
          <w:szCs w:val="22"/>
        </w:rPr>
      </w:pPr>
      <w:r w:rsidRPr="00775EDD">
        <w:rPr>
          <w:b/>
          <w:bCs/>
          <w:sz w:val="22"/>
          <w:szCs w:val="22"/>
        </w:rPr>
        <w:t>Indicator 5: Accessibility of information for incoming international students</w:t>
      </w:r>
    </w:p>
    <w:p w14:paraId="716FCBE3" w14:textId="77777777" w:rsidR="00AA15A5" w:rsidRPr="00DA2128" w:rsidRDefault="00AA15A5" w:rsidP="00A937C6">
      <w:pPr>
        <w:spacing w:line="240" w:lineRule="auto"/>
        <w:rPr>
          <w:sz w:val="22"/>
          <w:szCs w:val="22"/>
        </w:rPr>
      </w:pPr>
      <w:r w:rsidRPr="00DA2128">
        <w:rPr>
          <w:sz w:val="22"/>
          <w:szCs w:val="22"/>
        </w:rPr>
        <w:t>This indicator measures the level of accessibility of university information for the international students they host. This includes the existence of an English version of the website, a welcome booklet in English, and translated poster campaigns.</w:t>
      </w:r>
    </w:p>
    <w:p w14:paraId="68EDB8E0" w14:textId="77777777" w:rsidR="00AA15A5" w:rsidRPr="00DA2128" w:rsidRDefault="00AA15A5" w:rsidP="00A937C6">
      <w:pPr>
        <w:spacing w:line="240" w:lineRule="auto"/>
        <w:rPr>
          <w:sz w:val="22"/>
          <w:szCs w:val="22"/>
        </w:rPr>
      </w:pPr>
      <w:r w:rsidRPr="00DA2128">
        <w:rPr>
          <w:sz w:val="22"/>
          <w:szCs w:val="22"/>
        </w:rPr>
        <w:tab/>
        <w:t>These indicators help to ensure that the mobility opportunities offered by the COLOURS alliance universities are known to all, accessible and used by a diverse public (particularly administrative staff and students from all fields of study). This also means promoting short mobility opportunities (BIPs, hackathons, CoLabs, summer and winter shcools, etc.) and targeting less mobile populations. If each university within the alliance completes these indicators, then both incoming and outgoing mobility within the alliance will be as inclusive as possible.</w:t>
      </w:r>
    </w:p>
    <w:p w14:paraId="02DA5B7F" w14:textId="77777777" w:rsidR="00AA15A5" w:rsidRPr="00DA2128" w:rsidRDefault="00AA15A5" w:rsidP="00A937C6">
      <w:pPr>
        <w:spacing w:line="240" w:lineRule="auto"/>
        <w:rPr>
          <w:sz w:val="22"/>
          <w:szCs w:val="22"/>
        </w:rPr>
      </w:pPr>
    </w:p>
    <w:p w14:paraId="00F9F2A4" w14:textId="06D0E0E8" w:rsidR="00AA15A5" w:rsidRPr="007C53D2" w:rsidRDefault="00AA15A5" w:rsidP="00A937C6">
      <w:pPr>
        <w:pStyle w:val="Sub-subheading"/>
        <w:spacing w:line="240" w:lineRule="auto"/>
      </w:pPr>
      <w:r w:rsidRPr="00DA2128">
        <w:t>6.</w:t>
      </w:r>
      <w:r w:rsidRPr="00DA2128">
        <w:tab/>
        <w:t>Social dialogue</w:t>
      </w:r>
    </w:p>
    <w:p w14:paraId="0FDE1C60" w14:textId="39603D65" w:rsidR="00AA15A5" w:rsidRPr="00DA2128" w:rsidRDefault="00AA15A5" w:rsidP="00A937C6">
      <w:pPr>
        <w:spacing w:line="240" w:lineRule="auto"/>
        <w:rPr>
          <w:sz w:val="22"/>
          <w:szCs w:val="22"/>
        </w:rPr>
      </w:pPr>
      <w:r w:rsidRPr="00DA2128">
        <w:rPr>
          <w:sz w:val="22"/>
          <w:szCs w:val="22"/>
        </w:rPr>
        <w:t xml:space="preserve">Effective social dialogue is a fundamental component of inclusive and sustainable EDI strategies in higher education. As </w:t>
      </w:r>
      <w:r w:rsidR="007C53D2">
        <w:rPr>
          <w:sz w:val="22"/>
          <w:szCs w:val="22"/>
        </w:rPr>
        <w:t>emphasised in the European Commission’s Eurydice 2022 report, meaningful collaboration between universities and external stakeholders, including associations, foundations, community organisations</w:t>
      </w:r>
      <w:r w:rsidRPr="00DA2128">
        <w:rPr>
          <w:sz w:val="22"/>
          <w:szCs w:val="22"/>
        </w:rPr>
        <w:t>, and training experts, enriches institutional approaches to EDI by fostering knowledge exchange, resource sharing, and mutual learning.</w:t>
      </w:r>
    </w:p>
    <w:p w14:paraId="56F35B74" w14:textId="7B129103" w:rsidR="00AA15A5" w:rsidRPr="00DA2128" w:rsidRDefault="00AA15A5" w:rsidP="00A937C6">
      <w:pPr>
        <w:spacing w:line="240" w:lineRule="auto"/>
        <w:rPr>
          <w:sz w:val="22"/>
          <w:szCs w:val="22"/>
        </w:rPr>
      </w:pPr>
      <w:r w:rsidRPr="00DA2128">
        <w:rPr>
          <w:sz w:val="22"/>
          <w:szCs w:val="22"/>
        </w:rPr>
        <w:t xml:space="preserve">Social dialogue is inherently bidirectional. External partners contribute their </w:t>
      </w:r>
      <w:r w:rsidR="007C53D2">
        <w:rPr>
          <w:sz w:val="22"/>
          <w:szCs w:val="22"/>
        </w:rPr>
        <w:t>specialised</w:t>
      </w:r>
      <w:r w:rsidRPr="00DA2128">
        <w:rPr>
          <w:sz w:val="22"/>
          <w:szCs w:val="22"/>
        </w:rPr>
        <w:t xml:space="preserve"> expertise, grassroots experience, and diverse perspectives to university events and trainings, thus enhancing the relevance and impact of EDI initiatives. Conversely, these partners benefit from the academic knowledge, research findings, and capacity-building opportunities offered by the university community. This reciprocal relationship strengthens both the university’s EDI ecosystem and the broader social fabric.</w:t>
      </w:r>
    </w:p>
    <w:p w14:paraId="5108488B" w14:textId="3FF3C994" w:rsidR="00AA15A5" w:rsidRPr="00DA2128" w:rsidRDefault="00AA15A5" w:rsidP="00A937C6">
      <w:pPr>
        <w:spacing w:line="240" w:lineRule="auto"/>
        <w:rPr>
          <w:sz w:val="22"/>
          <w:szCs w:val="22"/>
        </w:rPr>
      </w:pPr>
      <w:r w:rsidRPr="00DA2128">
        <w:rPr>
          <w:sz w:val="22"/>
          <w:szCs w:val="22"/>
        </w:rPr>
        <w:t xml:space="preserve">This idea of social dialogue appears in cluster 3 of the GCM results, “Promoting inclusive collaboration”. The anchor statement is "Increase community engagement on EDI by fostering collaborations with local organisations, NGOs, businesses and external partners and creating opportunities for students and faculty to work together on shared societal issues". This cluster highlights the importance of promoting collaboration by leveraging the benefits of diversity, </w:t>
      </w:r>
      <w:r w:rsidR="007C53D2">
        <w:rPr>
          <w:sz w:val="22"/>
          <w:szCs w:val="22"/>
        </w:rPr>
        <w:t>emphasising</w:t>
      </w:r>
      <w:r w:rsidRPr="00DA2128">
        <w:rPr>
          <w:sz w:val="22"/>
          <w:szCs w:val="22"/>
        </w:rPr>
        <w:t xml:space="preserve"> how diverse perspectives enrich work dynamics, strengthen teamwork, and boost creativity. It calls for cultivating a culture of respect and kindness, where everyone is treated with dignity and valued for their individuality. Additionally, the cluster stresses the need to embed EDI into daily practices by encouraging open discussions on EDI topics, integrating inclusive approaches into routine activities, and improving language accessibility, such as offering more activities in English.</w:t>
      </w:r>
    </w:p>
    <w:p w14:paraId="45D3E519" w14:textId="77777777" w:rsidR="00AA15A5" w:rsidRPr="00DA2128" w:rsidRDefault="00AA15A5" w:rsidP="00A937C6">
      <w:pPr>
        <w:spacing w:line="240" w:lineRule="auto"/>
        <w:rPr>
          <w:sz w:val="22"/>
          <w:szCs w:val="22"/>
        </w:rPr>
      </w:pPr>
      <w:r w:rsidRPr="00DA2128">
        <w:rPr>
          <w:sz w:val="22"/>
          <w:szCs w:val="22"/>
        </w:rPr>
        <w:t>To assess and promote such dynamic interactions, the following indicators are proposed:</w:t>
      </w:r>
    </w:p>
    <w:p w14:paraId="6D08B96F" w14:textId="2E83B709" w:rsidR="00AA15A5" w:rsidRPr="007C53D2" w:rsidRDefault="00AA15A5" w:rsidP="00A937C6">
      <w:pPr>
        <w:spacing w:line="240" w:lineRule="auto"/>
        <w:rPr>
          <w:b/>
          <w:bCs/>
          <w:sz w:val="22"/>
          <w:szCs w:val="22"/>
        </w:rPr>
      </w:pPr>
      <w:r w:rsidRPr="007C53D2">
        <w:rPr>
          <w:b/>
          <w:bCs/>
          <w:sz w:val="22"/>
          <w:szCs w:val="22"/>
        </w:rPr>
        <w:t xml:space="preserve">Indicator 1: Number of external stakeholders involved in the </w:t>
      </w:r>
      <w:r w:rsidR="007C53D2" w:rsidRPr="007C53D2">
        <w:rPr>
          <w:b/>
          <w:bCs/>
          <w:sz w:val="22"/>
          <w:szCs w:val="22"/>
        </w:rPr>
        <w:t>organisation</w:t>
      </w:r>
      <w:r w:rsidRPr="007C53D2">
        <w:rPr>
          <w:b/>
          <w:bCs/>
          <w:sz w:val="22"/>
          <w:szCs w:val="22"/>
        </w:rPr>
        <w:t xml:space="preserve"> of EDI-related events</w:t>
      </w:r>
    </w:p>
    <w:p w14:paraId="02BED0DD" w14:textId="77777777" w:rsidR="00AA15A5" w:rsidRPr="00DA2128" w:rsidRDefault="00AA15A5" w:rsidP="00A937C6">
      <w:pPr>
        <w:spacing w:line="240" w:lineRule="auto"/>
        <w:rPr>
          <w:sz w:val="22"/>
          <w:szCs w:val="22"/>
        </w:rPr>
      </w:pPr>
      <w:r w:rsidRPr="00DA2128">
        <w:rPr>
          <w:sz w:val="22"/>
          <w:szCs w:val="22"/>
        </w:rPr>
        <w:t>This indicator captures the extent to which universities actively engage external partners in the planning and coordination of events addressing equity, diversity, and inclusion. Their involvement at this early stage helps ensure that events address real-world issues and reflect diverse community needs.</w:t>
      </w:r>
    </w:p>
    <w:p w14:paraId="6D5F535F" w14:textId="77777777" w:rsidR="00AA15A5" w:rsidRPr="007C53D2" w:rsidRDefault="00AA15A5" w:rsidP="00A937C6">
      <w:pPr>
        <w:spacing w:line="240" w:lineRule="auto"/>
        <w:rPr>
          <w:b/>
          <w:bCs/>
          <w:sz w:val="22"/>
          <w:szCs w:val="22"/>
        </w:rPr>
      </w:pPr>
      <w:r w:rsidRPr="007C53D2">
        <w:rPr>
          <w:b/>
          <w:bCs/>
          <w:sz w:val="22"/>
          <w:szCs w:val="22"/>
        </w:rPr>
        <w:t>Indicator 2: Number of external stakeholders who participated in EDI-related events</w:t>
      </w:r>
    </w:p>
    <w:p w14:paraId="7D0E6057" w14:textId="77777777" w:rsidR="00AA15A5" w:rsidRPr="00DA2128" w:rsidRDefault="00AA15A5" w:rsidP="00A937C6">
      <w:pPr>
        <w:spacing w:line="240" w:lineRule="auto"/>
        <w:rPr>
          <w:sz w:val="22"/>
          <w:szCs w:val="22"/>
        </w:rPr>
      </w:pPr>
      <w:r w:rsidRPr="00DA2128">
        <w:rPr>
          <w:sz w:val="22"/>
          <w:szCs w:val="22"/>
        </w:rPr>
        <w:t>Measuring attendance by external stakeholders provides insight into the reach and attractiveness of university EDI events beyond the academic community. High participation rates can indicate strong partnerships and a commitment to shared learning.</w:t>
      </w:r>
    </w:p>
    <w:p w14:paraId="2B92F20D" w14:textId="77777777" w:rsidR="00AA15A5" w:rsidRPr="00DA2128" w:rsidRDefault="00AA15A5" w:rsidP="00A937C6">
      <w:pPr>
        <w:spacing w:line="240" w:lineRule="auto"/>
        <w:rPr>
          <w:sz w:val="22"/>
          <w:szCs w:val="22"/>
        </w:rPr>
      </w:pPr>
      <w:r w:rsidRPr="00DA2128">
        <w:rPr>
          <w:sz w:val="22"/>
          <w:szCs w:val="22"/>
        </w:rPr>
        <w:t>Indicator 3: Number of EDI stakeholders (internal and external) involved in the design and teaching of EDI trainings</w:t>
      </w:r>
    </w:p>
    <w:p w14:paraId="3F5CADB8" w14:textId="77777777" w:rsidR="00AA15A5" w:rsidRPr="00DA2128" w:rsidRDefault="00AA15A5" w:rsidP="00A937C6">
      <w:pPr>
        <w:spacing w:line="240" w:lineRule="auto"/>
        <w:rPr>
          <w:sz w:val="22"/>
          <w:szCs w:val="22"/>
        </w:rPr>
      </w:pPr>
      <w:r w:rsidRPr="00DA2128">
        <w:rPr>
          <w:sz w:val="22"/>
          <w:szCs w:val="22"/>
        </w:rPr>
        <w:t>This indicator reflects the collaborative nature of EDI capacity-building efforts. Inclusion of external experts alongside university staff fosters interdisciplinary approaches and bridges theory with practice, enhancing training quality and diversity of perspectives.</w:t>
      </w:r>
    </w:p>
    <w:p w14:paraId="6181533E" w14:textId="77777777" w:rsidR="00AA15A5" w:rsidRPr="007C53D2" w:rsidRDefault="00AA15A5" w:rsidP="00A937C6">
      <w:pPr>
        <w:spacing w:line="240" w:lineRule="auto"/>
        <w:rPr>
          <w:b/>
          <w:bCs/>
          <w:sz w:val="22"/>
          <w:szCs w:val="22"/>
        </w:rPr>
      </w:pPr>
      <w:r w:rsidRPr="007C53D2">
        <w:rPr>
          <w:b/>
          <w:bCs/>
          <w:sz w:val="22"/>
          <w:szCs w:val="22"/>
        </w:rPr>
        <w:t>Indicator 4: Number of external stakeholders who participated in EDI trainings</w:t>
      </w:r>
    </w:p>
    <w:p w14:paraId="396364D7" w14:textId="77777777" w:rsidR="00AA15A5" w:rsidRPr="00DA2128" w:rsidRDefault="00AA15A5" w:rsidP="00A937C6">
      <w:pPr>
        <w:spacing w:line="240" w:lineRule="auto"/>
        <w:rPr>
          <w:sz w:val="22"/>
          <w:szCs w:val="22"/>
        </w:rPr>
      </w:pPr>
      <w:r w:rsidRPr="00DA2128">
        <w:rPr>
          <w:sz w:val="22"/>
          <w:szCs w:val="22"/>
        </w:rPr>
        <w:t>Beyond designing trainings, tracking the participation of external partners in these programs illustrates the bidirectional flow of knowledge and professional development. It demonstrates the university’s openness and willingness to engage in mutual capacity-building with its broader community.</w:t>
      </w:r>
    </w:p>
    <w:p w14:paraId="3520547D" w14:textId="77777777" w:rsidR="00AA15A5" w:rsidRPr="007C53D2" w:rsidRDefault="00AA15A5" w:rsidP="00A937C6">
      <w:pPr>
        <w:spacing w:line="240" w:lineRule="auto"/>
        <w:rPr>
          <w:b/>
          <w:bCs/>
          <w:sz w:val="22"/>
          <w:szCs w:val="22"/>
        </w:rPr>
      </w:pPr>
      <w:r w:rsidRPr="007C53D2">
        <w:rPr>
          <w:b/>
          <w:bCs/>
          <w:sz w:val="22"/>
          <w:szCs w:val="22"/>
        </w:rPr>
        <w:t>Indicator 5: Number of formal partnerships or agreements with external organizations related to EDI</w:t>
      </w:r>
    </w:p>
    <w:p w14:paraId="62FFE15B" w14:textId="44D7F75B" w:rsidR="00AA15A5" w:rsidRPr="00DA2128" w:rsidRDefault="007C53D2" w:rsidP="00A937C6">
      <w:pPr>
        <w:spacing w:line="240" w:lineRule="auto"/>
        <w:rPr>
          <w:sz w:val="22"/>
          <w:szCs w:val="22"/>
        </w:rPr>
      </w:pPr>
      <w:r>
        <w:rPr>
          <w:sz w:val="22"/>
          <w:szCs w:val="22"/>
        </w:rPr>
        <w:t>Formalised</w:t>
      </w:r>
      <w:r w:rsidR="00AA15A5" w:rsidRPr="00DA2128">
        <w:rPr>
          <w:sz w:val="22"/>
          <w:szCs w:val="22"/>
        </w:rPr>
        <w:t xml:space="preserve"> collaborations highlight institutional commitment to sustained dialogue and cooperation. These partnerships often facilitate resource sharing, joint advocacy, and co-creation of initiatives.</w:t>
      </w:r>
    </w:p>
    <w:p w14:paraId="0D754A16" w14:textId="77777777" w:rsidR="00AA15A5" w:rsidRPr="00DA2128" w:rsidRDefault="00AA15A5" w:rsidP="00A937C6">
      <w:pPr>
        <w:spacing w:line="240" w:lineRule="auto"/>
        <w:rPr>
          <w:sz w:val="22"/>
          <w:szCs w:val="22"/>
        </w:rPr>
      </w:pPr>
      <w:r w:rsidRPr="00DA2128">
        <w:rPr>
          <w:sz w:val="22"/>
          <w:szCs w:val="22"/>
        </w:rPr>
        <w:t>Collectively, these indicators underscore the centrality of social dialogue in fostering an inclusive university environment that transcends institutional boundaries. For the COLOURS alliance, nurturing reciprocal relationships with external stakeholders enriches the alliance’s capacity to address complex inclusion challenges, enhances legitimacy, and expands the impact of its EDI efforts. This also helps to strengthen the communities of practice that are essential to the effectiveness of EDI.</w:t>
      </w:r>
    </w:p>
    <w:p w14:paraId="67A7E24A" w14:textId="77777777" w:rsidR="00AA15A5" w:rsidRPr="00DA2128" w:rsidRDefault="00AA15A5" w:rsidP="00A937C6">
      <w:pPr>
        <w:spacing w:line="240" w:lineRule="auto"/>
        <w:rPr>
          <w:sz w:val="22"/>
          <w:szCs w:val="22"/>
        </w:rPr>
      </w:pPr>
    </w:p>
    <w:p w14:paraId="77A8B8E3" w14:textId="56C38AF5" w:rsidR="00AA15A5" w:rsidRPr="007C53D2" w:rsidRDefault="00AA15A5" w:rsidP="00A937C6">
      <w:pPr>
        <w:pStyle w:val="Sub-subheading"/>
        <w:spacing w:line="240" w:lineRule="auto"/>
      </w:pPr>
      <w:r w:rsidRPr="00DA2128">
        <w:t>7.</w:t>
      </w:r>
      <w:r w:rsidRPr="00DA2128">
        <w:tab/>
        <w:t>Inclusive Communication</w:t>
      </w:r>
    </w:p>
    <w:p w14:paraId="1EC9D52D" w14:textId="77777777" w:rsidR="00AA15A5" w:rsidRPr="00DA2128" w:rsidRDefault="00AA15A5" w:rsidP="00A937C6">
      <w:pPr>
        <w:spacing w:line="240" w:lineRule="auto"/>
        <w:rPr>
          <w:sz w:val="22"/>
          <w:szCs w:val="22"/>
        </w:rPr>
      </w:pPr>
      <w:r w:rsidRPr="00DA2128">
        <w:rPr>
          <w:sz w:val="22"/>
          <w:szCs w:val="22"/>
        </w:rPr>
        <w:t>Inclusive communication is a cornerstone of EDI in higher education, ensuring that all members of the university community and external audiences feel represented, respected, and empowered. It goes beyond the simple use of language to encompass visual design, digital and physical accessibility, and the cultural relevance of messages disseminated by institutions and by the alliance.</w:t>
      </w:r>
    </w:p>
    <w:p w14:paraId="4003EACD" w14:textId="77777777" w:rsidR="00AA15A5" w:rsidRPr="00DA2128" w:rsidRDefault="00AA15A5" w:rsidP="00A937C6">
      <w:pPr>
        <w:spacing w:line="240" w:lineRule="auto"/>
        <w:rPr>
          <w:sz w:val="22"/>
          <w:szCs w:val="22"/>
        </w:rPr>
      </w:pPr>
      <w:r w:rsidRPr="00DA2128">
        <w:rPr>
          <w:sz w:val="22"/>
          <w:szCs w:val="22"/>
        </w:rPr>
        <w:t xml:space="preserve">Effective inclusive communication fosters transparency, combats stereotypes, and actively promotes the visibility and participation of underrepresented groups. It is not only a tool for disseminating information, but also a means of co-constructing an institutional culture in which diversity is valued, and inclusion is a lived, everyday experience. Inclusive communication plays a vital role in challenging normative assumptions and redefining the boundaries of who is seen, heard, and acknowledged within academic spaces. </w:t>
      </w:r>
    </w:p>
    <w:p w14:paraId="715390F0" w14:textId="77777777" w:rsidR="00AA15A5" w:rsidRPr="00DA2128" w:rsidRDefault="00AA15A5" w:rsidP="00A937C6">
      <w:pPr>
        <w:spacing w:line="240" w:lineRule="auto"/>
        <w:rPr>
          <w:sz w:val="22"/>
          <w:szCs w:val="22"/>
        </w:rPr>
      </w:pPr>
      <w:r w:rsidRPr="00DA2128">
        <w:rPr>
          <w:sz w:val="22"/>
          <w:szCs w:val="22"/>
        </w:rPr>
        <w:t>Inclusive communication is the entry point for implementing what has been identified as Cluster 4 in the GCM process, namely "Fostering a supportive and inclusive environment and culture". The anchor statement is "Foster a culture of inclusion in higher education where all students and staff feel valued, supported and encouraged". To achieve this goal and foster a culture of inclusion, communication plays a crucial role. On one hand, it involves promoting EDI by highlighting initiatives implemented at the university; on the other hand, it requires being inclusive in the communication itself by using appropriate language and choosing visuals that represent diversity.</w:t>
      </w:r>
    </w:p>
    <w:p w14:paraId="2DEC388E" w14:textId="77777777" w:rsidR="00AA15A5" w:rsidRPr="00DA2128" w:rsidRDefault="00AA15A5" w:rsidP="00A937C6">
      <w:pPr>
        <w:spacing w:line="240" w:lineRule="auto"/>
        <w:rPr>
          <w:sz w:val="22"/>
          <w:szCs w:val="22"/>
        </w:rPr>
      </w:pPr>
      <w:r w:rsidRPr="00DA2128">
        <w:rPr>
          <w:sz w:val="22"/>
          <w:szCs w:val="22"/>
        </w:rPr>
        <w:t>In the context of a European university alliance like COLOURS, inclusive communication is also a strategic necessity. With diverse institutional cultures, languages, and student and staff populations, clarity, accessibility, and representation become essential for shared governance, engagement, and cohesion across borders. A culture of inclusion and respect must be cultivated to create an environment where students and staff feel valued, supported, and empowered.</w:t>
      </w:r>
    </w:p>
    <w:p w14:paraId="423667E9" w14:textId="471560B2" w:rsidR="00AA15A5" w:rsidRPr="00DA2128" w:rsidRDefault="00AA15A5" w:rsidP="00A937C6">
      <w:pPr>
        <w:spacing w:line="240" w:lineRule="auto"/>
        <w:rPr>
          <w:sz w:val="22"/>
          <w:szCs w:val="22"/>
        </w:rPr>
      </w:pPr>
      <w:r w:rsidRPr="00DA2128">
        <w:rPr>
          <w:sz w:val="22"/>
          <w:szCs w:val="22"/>
        </w:rPr>
        <w:t>To evaluate progress in this area, the following indicators are proposed:</w:t>
      </w:r>
    </w:p>
    <w:p w14:paraId="3C3D224C" w14:textId="77777777" w:rsidR="00AA15A5" w:rsidRPr="007C53D2" w:rsidRDefault="00AA15A5" w:rsidP="00A937C6">
      <w:pPr>
        <w:spacing w:line="240" w:lineRule="auto"/>
        <w:rPr>
          <w:b/>
          <w:bCs/>
          <w:sz w:val="22"/>
          <w:szCs w:val="22"/>
        </w:rPr>
      </w:pPr>
      <w:r w:rsidRPr="007C53D2">
        <w:rPr>
          <w:b/>
          <w:bCs/>
          <w:sz w:val="22"/>
          <w:szCs w:val="22"/>
        </w:rPr>
        <w:t>Indicator 1: Existence of guidelines for inclusive communication</w:t>
      </w:r>
    </w:p>
    <w:p w14:paraId="1059907C" w14:textId="77777777" w:rsidR="00AA15A5" w:rsidRPr="00DA2128" w:rsidRDefault="00AA15A5" w:rsidP="00A937C6">
      <w:pPr>
        <w:spacing w:line="240" w:lineRule="auto"/>
        <w:rPr>
          <w:sz w:val="22"/>
          <w:szCs w:val="22"/>
        </w:rPr>
      </w:pPr>
      <w:r w:rsidRPr="00DA2128">
        <w:rPr>
          <w:sz w:val="22"/>
          <w:szCs w:val="22"/>
        </w:rPr>
        <w:t>Formal guidelines provide clear standards and practical advice for staff across the institution to communicate in ways that are accessible, respectful, and inclusive. These guidelines typically cover language use, visual materials, representation, and accessibility requirements (e.g., for screen readers).</w:t>
      </w:r>
    </w:p>
    <w:p w14:paraId="5708947A" w14:textId="77777777" w:rsidR="00AA15A5" w:rsidRPr="007C53D2" w:rsidRDefault="00AA15A5" w:rsidP="00A937C6">
      <w:pPr>
        <w:spacing w:line="240" w:lineRule="auto"/>
        <w:rPr>
          <w:b/>
          <w:bCs/>
          <w:sz w:val="22"/>
          <w:szCs w:val="22"/>
        </w:rPr>
      </w:pPr>
      <w:r w:rsidRPr="007C53D2">
        <w:rPr>
          <w:b/>
          <w:bCs/>
          <w:sz w:val="22"/>
          <w:szCs w:val="22"/>
        </w:rPr>
        <w:t>Indicator 2: Accessibility and inclusiveness of the university website</w:t>
      </w:r>
    </w:p>
    <w:p w14:paraId="7F34E555" w14:textId="77777777" w:rsidR="00AA15A5" w:rsidRPr="00DA2128" w:rsidRDefault="00AA15A5" w:rsidP="00A937C6">
      <w:pPr>
        <w:spacing w:line="240" w:lineRule="auto"/>
        <w:rPr>
          <w:sz w:val="22"/>
          <w:szCs w:val="22"/>
        </w:rPr>
      </w:pPr>
      <w:r w:rsidRPr="00DA2128">
        <w:rPr>
          <w:sz w:val="22"/>
          <w:szCs w:val="22"/>
        </w:rPr>
        <w:t>An inclusive university website ensures that information is available to all users, including people with disabilities and non-native speakers. This includes accessible design features, multilingual content, and diverse imagery.</w:t>
      </w:r>
    </w:p>
    <w:p w14:paraId="2B4EE5FE" w14:textId="77777777" w:rsidR="00AA15A5" w:rsidRPr="007C53D2" w:rsidRDefault="00AA15A5" w:rsidP="00A937C6">
      <w:pPr>
        <w:spacing w:line="240" w:lineRule="auto"/>
        <w:rPr>
          <w:b/>
          <w:bCs/>
          <w:sz w:val="22"/>
          <w:szCs w:val="22"/>
        </w:rPr>
      </w:pPr>
      <w:r w:rsidRPr="007C53D2">
        <w:rPr>
          <w:b/>
          <w:bCs/>
          <w:sz w:val="22"/>
          <w:szCs w:val="22"/>
        </w:rPr>
        <w:t>Indicator 3: Accessibility and inclusiveness of the COLOURS alliance website</w:t>
      </w:r>
    </w:p>
    <w:p w14:paraId="0CD9FB59" w14:textId="77777777" w:rsidR="00AA15A5" w:rsidRPr="00DA2128" w:rsidRDefault="00AA15A5" w:rsidP="00A937C6">
      <w:pPr>
        <w:spacing w:line="240" w:lineRule="auto"/>
        <w:rPr>
          <w:sz w:val="22"/>
          <w:szCs w:val="22"/>
        </w:rPr>
      </w:pPr>
      <w:r w:rsidRPr="00DA2128">
        <w:rPr>
          <w:sz w:val="22"/>
          <w:szCs w:val="22"/>
        </w:rPr>
        <w:t>Given its role as a key platform for communication and collaboration across partner universities, the COLOURS website must exemplify best practices in inclusive communication. This indicator assesses its compliance with accessibility standards and representation of diverse communities.</w:t>
      </w:r>
    </w:p>
    <w:p w14:paraId="218C300B" w14:textId="77777777" w:rsidR="00AA15A5" w:rsidRPr="007C53D2" w:rsidRDefault="00AA15A5" w:rsidP="00A937C6">
      <w:pPr>
        <w:spacing w:line="240" w:lineRule="auto"/>
        <w:rPr>
          <w:b/>
          <w:bCs/>
          <w:sz w:val="22"/>
          <w:szCs w:val="22"/>
        </w:rPr>
      </w:pPr>
      <w:r w:rsidRPr="007C53D2">
        <w:rPr>
          <w:b/>
          <w:bCs/>
          <w:sz w:val="22"/>
          <w:szCs w:val="22"/>
        </w:rPr>
        <w:t xml:space="preserve">Indicator 4: Annual representation audit of imagery </w:t>
      </w:r>
    </w:p>
    <w:p w14:paraId="3A209532" w14:textId="3A5C1B96" w:rsidR="00AA15A5" w:rsidRPr="00DA2128" w:rsidRDefault="00AA15A5" w:rsidP="00A937C6">
      <w:pPr>
        <w:spacing w:line="240" w:lineRule="auto"/>
        <w:rPr>
          <w:sz w:val="22"/>
          <w:szCs w:val="22"/>
        </w:rPr>
      </w:pPr>
      <w:r w:rsidRPr="00DA2128">
        <w:rPr>
          <w:sz w:val="22"/>
          <w:szCs w:val="22"/>
        </w:rPr>
        <w:t>This indicator ensures a periodic review of stock photos, student stories and external communications for diversity and non</w:t>
      </w:r>
      <w:r w:rsidRPr="00DA2128">
        <w:rPr>
          <w:rFonts w:ascii="Cambria Math" w:hAnsi="Cambria Math" w:cs="Cambria Math"/>
          <w:sz w:val="22"/>
          <w:szCs w:val="22"/>
        </w:rPr>
        <w:t>‑</w:t>
      </w:r>
      <w:r w:rsidRPr="00DA2128">
        <w:rPr>
          <w:sz w:val="22"/>
          <w:szCs w:val="22"/>
        </w:rPr>
        <w:t xml:space="preserve">stereotypical portrayals. Corrective actions must be taken if needed. The purpose of this indicator is to avoid tokenism but to make sure that everyone is represented and seen. Members of the university community must be involved in the selection and review of the Images. This can help ensure that it resonates with the community and accurately reflect the diversity of the university. For example, inclusive photography sessions can be organized to collect a wide range of participants from different backgrounds. </w:t>
      </w:r>
    </w:p>
    <w:p w14:paraId="0F0867EC" w14:textId="77777777" w:rsidR="00AA15A5" w:rsidRPr="00DA2128" w:rsidRDefault="00AA15A5" w:rsidP="00A937C6">
      <w:pPr>
        <w:spacing w:line="240" w:lineRule="auto"/>
        <w:rPr>
          <w:sz w:val="22"/>
          <w:szCs w:val="22"/>
        </w:rPr>
      </w:pPr>
      <w:r w:rsidRPr="00DA2128">
        <w:rPr>
          <w:sz w:val="22"/>
          <w:szCs w:val="22"/>
        </w:rPr>
        <w:t>Together, these indicators contribute to creating a university environment where communication supports inclusion at every level. By systematically integrating inclusive communication practices, the COLOURS alliance can enhance engagement, foster belonging, and promote a positive institutional image aligned with its EDI values.</w:t>
      </w:r>
    </w:p>
    <w:p w14:paraId="50878A85" w14:textId="77777777" w:rsidR="00AA15A5" w:rsidRDefault="00AA15A5" w:rsidP="00A937C6">
      <w:pPr>
        <w:spacing w:line="240" w:lineRule="auto"/>
        <w:rPr>
          <w:sz w:val="22"/>
          <w:szCs w:val="22"/>
        </w:rPr>
      </w:pPr>
    </w:p>
    <w:p w14:paraId="29F8E6E8" w14:textId="77777777" w:rsidR="007C53D2" w:rsidRPr="00DA2128" w:rsidRDefault="007C53D2" w:rsidP="00A937C6">
      <w:pPr>
        <w:spacing w:line="240" w:lineRule="auto"/>
        <w:rPr>
          <w:sz w:val="22"/>
          <w:szCs w:val="22"/>
        </w:rPr>
      </w:pPr>
    </w:p>
    <w:p w14:paraId="7AD9FC96" w14:textId="77777777" w:rsidR="00AA15A5" w:rsidRPr="00DA2128" w:rsidRDefault="00AA15A5" w:rsidP="00A937C6">
      <w:pPr>
        <w:pStyle w:val="Sub-subheading"/>
        <w:spacing w:line="240" w:lineRule="auto"/>
      </w:pPr>
      <w:r w:rsidRPr="00DA2128">
        <w:t>8.</w:t>
      </w:r>
      <w:r w:rsidRPr="00DA2128">
        <w:tab/>
        <w:t>Strategic commitment</w:t>
      </w:r>
    </w:p>
    <w:p w14:paraId="17BBF264" w14:textId="77777777" w:rsidR="00AA15A5" w:rsidRPr="00DA2128" w:rsidRDefault="00AA15A5" w:rsidP="00A937C6">
      <w:pPr>
        <w:spacing w:line="240" w:lineRule="auto"/>
        <w:rPr>
          <w:sz w:val="22"/>
          <w:szCs w:val="22"/>
        </w:rPr>
      </w:pPr>
    </w:p>
    <w:p w14:paraId="204EAF63" w14:textId="77777777" w:rsidR="00AA15A5" w:rsidRPr="00DA2128" w:rsidRDefault="00AA15A5" w:rsidP="00A937C6">
      <w:pPr>
        <w:spacing w:line="240" w:lineRule="auto"/>
        <w:rPr>
          <w:sz w:val="22"/>
          <w:szCs w:val="22"/>
        </w:rPr>
      </w:pPr>
      <w:r w:rsidRPr="00DA2128">
        <w:rPr>
          <w:sz w:val="22"/>
          <w:szCs w:val="22"/>
        </w:rPr>
        <w:t>Embedding equity, diversity, and inclusion into the core strategies of higher education institutions is essential to ensure that related actions are not peripheral, temporary, or dependent on individual initiatives. According to the Eurydice 2022 report, a strategic approach to EDI provides the institutional legitimacy and structural support required to drive systemic change. It also signals to all stakeholders, students, staff, partners, and society at large, that inclusion is a shared and long-term priority.</w:t>
      </w:r>
    </w:p>
    <w:p w14:paraId="05AB2044" w14:textId="77777777" w:rsidR="00AA15A5" w:rsidRPr="00DA2128" w:rsidRDefault="00AA15A5" w:rsidP="00A937C6">
      <w:pPr>
        <w:spacing w:line="240" w:lineRule="auto"/>
        <w:rPr>
          <w:sz w:val="22"/>
          <w:szCs w:val="22"/>
        </w:rPr>
      </w:pPr>
      <w:r w:rsidRPr="00DA2128">
        <w:rPr>
          <w:sz w:val="22"/>
          <w:szCs w:val="22"/>
        </w:rPr>
        <w:t>Cluster 5, which emerged from the GCM, clearly reflects this idea. It is titled “Ensuring equity in leadership and decision-making processes in academia” and notably includes the idea of increasing funds allocated to EDI, ensuring equity in recruitment, and transparency in decision-making processes. Also found is Cluster 4, called “Fostering a supportive and inclusive environment and culture,” which suggests various measures and policies to implement in order to create an environment where students and staff feel valued and encouraged. This involves, for example, the creation of scholarships for marginalized students or the establishment of dedicated structures to support university users, such as mental health support.</w:t>
      </w:r>
    </w:p>
    <w:p w14:paraId="11018621" w14:textId="77777777" w:rsidR="00AA15A5" w:rsidRPr="00DA2128" w:rsidRDefault="00AA15A5" w:rsidP="00A937C6">
      <w:pPr>
        <w:spacing w:line="240" w:lineRule="auto"/>
        <w:rPr>
          <w:sz w:val="22"/>
          <w:szCs w:val="22"/>
        </w:rPr>
      </w:pPr>
      <w:r w:rsidRPr="00DA2128">
        <w:rPr>
          <w:sz w:val="22"/>
          <w:szCs w:val="22"/>
        </w:rPr>
        <w:t>Within the COLOURS alliance, placing EDI at the heart of institutional strategies involves both symbolic and operational commitments. These must be reflected in official documents, decision-making structures, budget allocations, and monitoring mechanisms. Strategic alignment also facilitates cooperation and coherence across partner universities.</w:t>
      </w:r>
    </w:p>
    <w:p w14:paraId="02836706" w14:textId="77777777" w:rsidR="00AA15A5" w:rsidRPr="00DA2128" w:rsidRDefault="00AA15A5" w:rsidP="00A937C6">
      <w:pPr>
        <w:spacing w:line="240" w:lineRule="auto"/>
        <w:rPr>
          <w:sz w:val="22"/>
          <w:szCs w:val="22"/>
        </w:rPr>
      </w:pPr>
      <w:r w:rsidRPr="00DA2128">
        <w:rPr>
          <w:sz w:val="22"/>
          <w:szCs w:val="22"/>
        </w:rPr>
        <w:t>To assess the extent to which EDI is structurally embedded in higher education governance, the following indicators are proposed:</w:t>
      </w:r>
    </w:p>
    <w:p w14:paraId="06140C27" w14:textId="77777777" w:rsidR="00AA15A5" w:rsidRPr="007C53D2" w:rsidRDefault="00AA15A5" w:rsidP="00A937C6">
      <w:pPr>
        <w:spacing w:line="240" w:lineRule="auto"/>
        <w:rPr>
          <w:b/>
          <w:bCs/>
          <w:sz w:val="22"/>
          <w:szCs w:val="22"/>
        </w:rPr>
      </w:pPr>
      <w:r w:rsidRPr="007C53D2">
        <w:rPr>
          <w:b/>
          <w:bCs/>
          <w:sz w:val="22"/>
          <w:szCs w:val="22"/>
        </w:rPr>
        <w:t xml:space="preserve">Indicator 1: Existence of an EDI officer </w:t>
      </w:r>
    </w:p>
    <w:p w14:paraId="4A22E5C6" w14:textId="77777777" w:rsidR="00AA15A5" w:rsidRPr="00DA2128" w:rsidRDefault="00AA15A5" w:rsidP="00A937C6">
      <w:pPr>
        <w:spacing w:line="240" w:lineRule="auto"/>
        <w:rPr>
          <w:sz w:val="22"/>
          <w:szCs w:val="22"/>
        </w:rPr>
      </w:pPr>
      <w:r w:rsidRPr="00DA2128">
        <w:rPr>
          <w:sz w:val="22"/>
          <w:szCs w:val="22"/>
        </w:rPr>
        <w:t>This indicator assesses whether EDI is dedicated human resources within each university. The presence of an EDI officer shows that inclusion is operationalized through clear roles and responsibilities. This role should be equipped with adequate resources.</w:t>
      </w:r>
    </w:p>
    <w:p w14:paraId="37D5B0D7" w14:textId="77777777" w:rsidR="00AA15A5" w:rsidRPr="007C53D2" w:rsidRDefault="00AA15A5" w:rsidP="00A937C6">
      <w:pPr>
        <w:spacing w:line="240" w:lineRule="auto"/>
        <w:rPr>
          <w:b/>
          <w:bCs/>
          <w:sz w:val="22"/>
          <w:szCs w:val="22"/>
        </w:rPr>
      </w:pPr>
      <w:r w:rsidRPr="007C53D2">
        <w:rPr>
          <w:b/>
          <w:bCs/>
          <w:sz w:val="22"/>
          <w:szCs w:val="22"/>
        </w:rPr>
        <w:t>Indicator 2: Integration of EDI objectives in the university's strategic plan or mission statement</w:t>
      </w:r>
    </w:p>
    <w:p w14:paraId="1BEE0372" w14:textId="77777777" w:rsidR="00AA15A5" w:rsidRPr="00DA2128" w:rsidRDefault="00AA15A5" w:rsidP="00A937C6">
      <w:pPr>
        <w:spacing w:line="240" w:lineRule="auto"/>
        <w:rPr>
          <w:sz w:val="22"/>
          <w:szCs w:val="22"/>
        </w:rPr>
      </w:pPr>
      <w:r w:rsidRPr="00DA2128">
        <w:rPr>
          <w:sz w:val="22"/>
          <w:szCs w:val="22"/>
        </w:rPr>
        <w:t>The explicit inclusion of EDI principles in official university strategies or missions reflects a top-level commitment. This indicator tracks whether EDI goals, such as widening participation, gender equality, or inclusive governance, are part of the institution’s long-term vision and are accompanied by measurable targets. It also considers how often these strategies are reviewed and updated in light of changing needs.</w:t>
      </w:r>
    </w:p>
    <w:p w14:paraId="1506F001" w14:textId="77777777" w:rsidR="00AA15A5" w:rsidRPr="007C53D2" w:rsidRDefault="00AA15A5" w:rsidP="00A937C6">
      <w:pPr>
        <w:spacing w:line="240" w:lineRule="auto"/>
        <w:rPr>
          <w:b/>
          <w:bCs/>
          <w:sz w:val="22"/>
          <w:szCs w:val="22"/>
        </w:rPr>
      </w:pPr>
      <w:r w:rsidRPr="007C53D2">
        <w:rPr>
          <w:b/>
          <w:bCs/>
          <w:sz w:val="22"/>
          <w:szCs w:val="22"/>
        </w:rPr>
        <w:t>Indicator 3: Annual budget allocation dedicated to EDI initiatives</w:t>
      </w:r>
    </w:p>
    <w:p w14:paraId="463203B2" w14:textId="77777777" w:rsidR="00AA15A5" w:rsidRPr="00DA2128" w:rsidRDefault="00AA15A5" w:rsidP="00A937C6">
      <w:pPr>
        <w:spacing w:line="240" w:lineRule="auto"/>
        <w:rPr>
          <w:sz w:val="22"/>
          <w:szCs w:val="22"/>
        </w:rPr>
      </w:pPr>
      <w:r w:rsidRPr="00DA2128">
        <w:rPr>
          <w:sz w:val="22"/>
          <w:szCs w:val="22"/>
        </w:rPr>
        <w:t xml:space="preserve">Financial investment is a tangible sign of strategic priority. This indicator evaluates whether universities allocate specific funding for EDI programs, trainings, staff positions, accessibility measures, or targeted student support. </w:t>
      </w:r>
    </w:p>
    <w:p w14:paraId="07C49963" w14:textId="77777777" w:rsidR="00AA15A5" w:rsidRPr="00DA2128" w:rsidRDefault="00AA15A5" w:rsidP="00A937C6">
      <w:pPr>
        <w:spacing w:line="240" w:lineRule="auto"/>
        <w:rPr>
          <w:sz w:val="22"/>
          <w:szCs w:val="22"/>
        </w:rPr>
      </w:pPr>
      <w:r w:rsidRPr="00DA2128">
        <w:rPr>
          <w:sz w:val="22"/>
          <w:szCs w:val="22"/>
        </w:rPr>
        <w:t>Together, these indicators aim to capture the institutionalization of EDI within higher education governance. They recognize that long-term progress depends not only on local projects or individual actions but on structured, strategic frameworks that guide and support change. For the COLOURS alliance, aligning EDI efforts with institutional strategies is essential to ensure sustainability, coherence, and mutual accountability across all partner universities.</w:t>
      </w:r>
    </w:p>
    <w:p w14:paraId="1C3D16A7" w14:textId="77777777" w:rsidR="00AA15A5" w:rsidRPr="00DA2128" w:rsidRDefault="00AA15A5" w:rsidP="00A937C6">
      <w:pPr>
        <w:spacing w:line="240" w:lineRule="auto"/>
        <w:rPr>
          <w:sz w:val="22"/>
          <w:szCs w:val="22"/>
        </w:rPr>
      </w:pPr>
    </w:p>
    <w:p w14:paraId="6E9AB42C" w14:textId="77777777" w:rsidR="00AA15A5" w:rsidRPr="00DA2128" w:rsidRDefault="00AA15A5" w:rsidP="00A937C6">
      <w:pPr>
        <w:pStyle w:val="Sub-subheading"/>
        <w:spacing w:line="240" w:lineRule="auto"/>
      </w:pPr>
      <w:r w:rsidRPr="00DA2128">
        <w:t>9.</w:t>
      </w:r>
      <w:r w:rsidRPr="00DA2128">
        <w:tab/>
        <w:t>Monitor indicators: Core measure for the Alliance</w:t>
      </w:r>
    </w:p>
    <w:p w14:paraId="3FFEDBF8" w14:textId="77777777" w:rsidR="00AA15A5" w:rsidRPr="00DA2128" w:rsidRDefault="00AA15A5" w:rsidP="00A937C6">
      <w:pPr>
        <w:spacing w:line="240" w:lineRule="auto"/>
        <w:rPr>
          <w:sz w:val="22"/>
          <w:szCs w:val="22"/>
        </w:rPr>
      </w:pPr>
    </w:p>
    <w:p w14:paraId="2F4986CC" w14:textId="77777777" w:rsidR="00AA15A5" w:rsidRPr="00DA2128" w:rsidRDefault="00AA15A5" w:rsidP="00A937C6">
      <w:pPr>
        <w:spacing w:line="240" w:lineRule="auto"/>
        <w:rPr>
          <w:sz w:val="22"/>
          <w:szCs w:val="22"/>
        </w:rPr>
      </w:pPr>
      <w:r w:rsidRPr="00DA2128">
        <w:rPr>
          <w:sz w:val="22"/>
          <w:szCs w:val="22"/>
        </w:rPr>
        <w:t>To sharpen monitoring efforts and communicate progress effectively, the Alliance highlights two priority cross-cutting indicators that sit at the core of its change strategy. As demonstrated by the results of the GCM and the Imagine/IDEATE workshop, achieving this objective will require a primary focus on compulsory foundational EDI-related training for staff as well as awareness-raising by the omnipresence of the EDI dimension in all events organized in the COLOURS universities. Cluster 1, "Providing Training and Education" was indeed rated as highly Important by the GCM participants in all nine universities. "Raise awareness of EDI issues to reduce discrimination and exclusion" was one of the highest-rated in terms of importance. These data confirm the needs to develop a coordinated training infrastructure across the Alliance. It is therefore obvious and inevitable that these actions will be at the heart of our EDI policy.</w:t>
      </w:r>
    </w:p>
    <w:p w14:paraId="32C50173" w14:textId="77777777" w:rsidR="00AA15A5" w:rsidRPr="00DA2128" w:rsidRDefault="00AA15A5" w:rsidP="00A937C6">
      <w:pPr>
        <w:spacing w:line="240" w:lineRule="auto"/>
        <w:rPr>
          <w:sz w:val="22"/>
          <w:szCs w:val="22"/>
        </w:rPr>
      </w:pPr>
      <w:r w:rsidRPr="00DA2128">
        <w:rPr>
          <w:sz w:val="22"/>
          <w:szCs w:val="22"/>
        </w:rPr>
        <w:t xml:space="preserve"> Therefore, it is appropriate to select two key indicators to serve as monitor indicators:</w:t>
      </w:r>
    </w:p>
    <w:p w14:paraId="4AD55B3D" w14:textId="77777777" w:rsidR="00AA15A5" w:rsidRPr="007C53D2" w:rsidRDefault="00AA15A5" w:rsidP="00A937C6">
      <w:pPr>
        <w:spacing w:line="240" w:lineRule="auto"/>
        <w:rPr>
          <w:b/>
          <w:bCs/>
          <w:sz w:val="22"/>
          <w:szCs w:val="22"/>
        </w:rPr>
      </w:pPr>
      <w:r w:rsidRPr="007C53D2">
        <w:rPr>
          <w:b/>
          <w:bCs/>
          <w:sz w:val="22"/>
          <w:szCs w:val="22"/>
        </w:rPr>
        <w:t>1. Number of staff attending EDI trainings</w:t>
      </w:r>
    </w:p>
    <w:p w14:paraId="761A116B" w14:textId="77777777" w:rsidR="00AA15A5" w:rsidRPr="00DA2128" w:rsidRDefault="00AA15A5" w:rsidP="00A937C6">
      <w:pPr>
        <w:spacing w:line="240" w:lineRule="auto"/>
        <w:rPr>
          <w:sz w:val="22"/>
          <w:szCs w:val="22"/>
        </w:rPr>
      </w:pPr>
      <w:r w:rsidRPr="00DA2128">
        <w:rPr>
          <w:sz w:val="22"/>
          <w:szCs w:val="22"/>
        </w:rPr>
        <w:t>Training programs are not merely informational: they are foundational infrastructures that shape how staff design curricula, lead teams, manage processes, and engage with students. Embedding EDI concepts into the practices of faculty and administrators creates a shared language and understanding, crucial for evolving institutional norms and combating systemic biases (Crenshaw, 1989). Research consistently shows that diversity training yields significant improvements in awareness, knowledge, and attitudes, making it one of the few widely validated interventions linked to immediate learning and engagement outcomes. A target has been set for 75% of new employees at each university within the alliance to be trained in EDI.</w:t>
      </w:r>
    </w:p>
    <w:p w14:paraId="611B230A" w14:textId="77777777" w:rsidR="00AA15A5" w:rsidRPr="007C53D2" w:rsidRDefault="00AA15A5" w:rsidP="00A937C6">
      <w:pPr>
        <w:spacing w:line="240" w:lineRule="auto"/>
        <w:rPr>
          <w:b/>
          <w:bCs/>
          <w:sz w:val="22"/>
          <w:szCs w:val="22"/>
        </w:rPr>
      </w:pPr>
      <w:r w:rsidRPr="007C53D2">
        <w:rPr>
          <w:b/>
          <w:bCs/>
          <w:sz w:val="22"/>
          <w:szCs w:val="22"/>
        </w:rPr>
        <w:t>2. The number of facilitated events incorporating EDI components</w:t>
      </w:r>
    </w:p>
    <w:p w14:paraId="691C297F" w14:textId="77777777" w:rsidR="00AA15A5" w:rsidRPr="00DA2128" w:rsidRDefault="00AA15A5" w:rsidP="00A937C6">
      <w:pPr>
        <w:spacing w:line="240" w:lineRule="auto"/>
        <w:rPr>
          <w:sz w:val="22"/>
          <w:szCs w:val="22"/>
        </w:rPr>
      </w:pPr>
      <w:r w:rsidRPr="00DA2128">
        <w:rPr>
          <w:sz w:val="22"/>
          <w:szCs w:val="22"/>
        </w:rPr>
        <w:t>Events, such as talks or workshops, with explicit EDI components, serve as dynamic platforms that normalize inclusion and initiate conversations beyond formal policies. They act as social multipliers, embedding EDI principles into the symbolic and lived culture of the institution. The combination of training and such events can create a reinforcing cycle: training deepens understanding, and events disseminate these ideas across broader networks, cultivating an inclusive campus climate.</w:t>
      </w:r>
    </w:p>
    <w:p w14:paraId="7870D86E" w14:textId="77777777" w:rsidR="00AA15A5" w:rsidRPr="00DA2128" w:rsidRDefault="00AA15A5" w:rsidP="00A937C6">
      <w:pPr>
        <w:spacing w:line="240" w:lineRule="auto"/>
        <w:rPr>
          <w:sz w:val="22"/>
          <w:szCs w:val="22"/>
        </w:rPr>
      </w:pPr>
      <w:r w:rsidRPr="00DA2128">
        <w:rPr>
          <w:sz w:val="22"/>
          <w:szCs w:val="22"/>
        </w:rPr>
        <w:t>By raising EDI training and EDI-infused events to their status as central monitor indicators, the Alliance emphasizes both capacity-building and cultural transformation as essential catalysts for systemic change. These indicators will help us assess the effectiveness of our EDI policy, which is primarily based on a training and events program for the university community. EDI trainings enhance institutional capacity by equipping staff with shared knowledge and inclusive practices. Likewise, EDI-infused events help shift campus culture, normalize inclusive behaviors, and broaden the reach of EDI principles to the wider academic community.</w:t>
      </w:r>
    </w:p>
    <w:p w14:paraId="1C2BF85D" w14:textId="77777777" w:rsidR="00AA15A5" w:rsidRPr="00DA2128" w:rsidRDefault="00AA15A5" w:rsidP="00A937C6">
      <w:pPr>
        <w:spacing w:line="240" w:lineRule="auto"/>
        <w:rPr>
          <w:sz w:val="22"/>
          <w:szCs w:val="22"/>
        </w:rPr>
      </w:pPr>
      <w:r w:rsidRPr="00DA2128">
        <w:rPr>
          <w:sz w:val="22"/>
          <w:szCs w:val="22"/>
        </w:rPr>
        <w:t>Together, these two indicators serve as multipliers, embedding EDI into everyday decisions and behaviors across the institution (Kayyali, 2022; Kincaid &amp; Smith, 2021). Indeed, they don't only produce direct effects but diffuse across the institution, influencing practices far beyond their immediate scope. Training equips individuals with EDI knowledge; EDI-infused events amplify that knowledge, embedding it into collective campus culture. This dual approach ensures both depth (through structured learning) and breadth (through public engagement), making institutional change more durable and pervasive.</w:t>
      </w:r>
    </w:p>
    <w:p w14:paraId="5DE3B9C3" w14:textId="77777777" w:rsidR="00AA15A5" w:rsidRPr="00DA2128" w:rsidRDefault="00AA15A5" w:rsidP="00A937C6">
      <w:pPr>
        <w:spacing w:line="240" w:lineRule="auto"/>
        <w:rPr>
          <w:sz w:val="22"/>
          <w:szCs w:val="22"/>
        </w:rPr>
      </w:pPr>
    </w:p>
    <w:p w14:paraId="045A4D9A" w14:textId="77777777" w:rsidR="00AA15A5" w:rsidRPr="00DA2128" w:rsidRDefault="00AA15A5" w:rsidP="00A937C6">
      <w:pPr>
        <w:pStyle w:val="Subtitle"/>
        <w:spacing w:line="240" w:lineRule="auto"/>
      </w:pPr>
      <w:r w:rsidRPr="00DA2128">
        <w:t>Conclusion</w:t>
      </w:r>
    </w:p>
    <w:p w14:paraId="175FC5AB" w14:textId="77777777" w:rsidR="00AA15A5" w:rsidRPr="00DA2128" w:rsidRDefault="00AA15A5" w:rsidP="00A937C6">
      <w:pPr>
        <w:spacing w:line="240" w:lineRule="auto"/>
        <w:rPr>
          <w:sz w:val="22"/>
          <w:szCs w:val="22"/>
        </w:rPr>
      </w:pPr>
    </w:p>
    <w:p w14:paraId="502EF7DA" w14:textId="77777777" w:rsidR="00AA15A5" w:rsidRPr="00DA2128" w:rsidRDefault="00AA15A5" w:rsidP="00A937C6">
      <w:pPr>
        <w:spacing w:line="240" w:lineRule="auto"/>
        <w:rPr>
          <w:sz w:val="22"/>
          <w:szCs w:val="22"/>
        </w:rPr>
      </w:pPr>
      <w:r w:rsidRPr="00DA2128">
        <w:rPr>
          <w:sz w:val="22"/>
          <w:szCs w:val="22"/>
        </w:rPr>
        <w:t>This report reflects the COLOURS Alliance’s firm commitment to embedding equity, diversity, and inclusion at the heart of the European higher education landscape. By developing a comprehensive set of indicators across key domains, the Alliance has laid the groundwork for a robust, data-driven approach to fostering meaningful and lasting change.</w:t>
      </w:r>
    </w:p>
    <w:p w14:paraId="34E75205" w14:textId="77777777" w:rsidR="00AA15A5" w:rsidRPr="00DA2128" w:rsidRDefault="00AA15A5" w:rsidP="00A937C6">
      <w:pPr>
        <w:spacing w:line="240" w:lineRule="auto"/>
        <w:rPr>
          <w:sz w:val="22"/>
          <w:szCs w:val="22"/>
        </w:rPr>
      </w:pPr>
      <w:r w:rsidRPr="00DA2128">
        <w:rPr>
          <w:sz w:val="22"/>
          <w:szCs w:val="22"/>
        </w:rPr>
        <w:t xml:space="preserve">This report underscores that EDI is not a peripheral concern, but a structural imperative. Creating more equitable and inclusive universities requires more than isolated initiatives or symbolic gestures. It demands coordinated, well-resourced strategies that are formally embedded in institutional missions, supported by strong governance, and informed by the lived experiences of students, staff, and faculty. Institutions need to move past rhetorical commitments and embed EDI as a central strategic priority. </w:t>
      </w:r>
    </w:p>
    <w:p w14:paraId="29424BE8" w14:textId="77777777" w:rsidR="00AA15A5" w:rsidRPr="00DA2128" w:rsidRDefault="00AA15A5" w:rsidP="00A937C6">
      <w:pPr>
        <w:spacing w:line="240" w:lineRule="auto"/>
        <w:rPr>
          <w:sz w:val="22"/>
          <w:szCs w:val="22"/>
        </w:rPr>
      </w:pPr>
      <w:r w:rsidRPr="00DA2128">
        <w:rPr>
          <w:sz w:val="22"/>
          <w:szCs w:val="22"/>
        </w:rPr>
        <w:t xml:space="preserve">The indicators outlined in this report serve several critical purposes. First, they provide a common reference point for assessing the current state of EDI across the Alliance. Second, they enable the monitoring of progress over time, allowing institutions to identify persistent gaps and measure the impact of their interventions. Third, they promote transparency, accountability, and mutual learning between partner universities by encouraging the sharing of data, best practices, and innovative approaches. </w:t>
      </w:r>
    </w:p>
    <w:p w14:paraId="6F66BEB2" w14:textId="77777777" w:rsidR="00AA15A5" w:rsidRPr="00DA2128" w:rsidRDefault="00AA15A5" w:rsidP="00A937C6">
      <w:pPr>
        <w:spacing w:line="240" w:lineRule="auto"/>
        <w:rPr>
          <w:sz w:val="22"/>
          <w:szCs w:val="22"/>
        </w:rPr>
      </w:pPr>
      <w:r w:rsidRPr="00DA2128">
        <w:rPr>
          <w:sz w:val="22"/>
          <w:szCs w:val="22"/>
        </w:rPr>
        <w:t>Throughout this process, the COLOURS Alliance has emphasized the importance of participatory methods and intersectional analysis. By involving the university community in both the development and implementation of these indicators, and by acknowledging the complex, overlapping forms of disadvantage that individuals may face, the Alliance affirms its commitment to fostering environments that are not only diverse, but also just and empowering.</w:t>
      </w:r>
    </w:p>
    <w:p w14:paraId="53AEB470" w14:textId="77777777" w:rsidR="00AA15A5" w:rsidRPr="00DA2128" w:rsidRDefault="00AA15A5" w:rsidP="00A937C6">
      <w:pPr>
        <w:spacing w:line="240" w:lineRule="auto"/>
        <w:rPr>
          <w:sz w:val="22"/>
          <w:szCs w:val="22"/>
        </w:rPr>
      </w:pPr>
      <w:r w:rsidRPr="00DA2128">
        <w:rPr>
          <w:sz w:val="22"/>
          <w:szCs w:val="22"/>
        </w:rPr>
        <w:t>The report also highlights the broader societal implications of inclusive higher education. Increasing the participation of underrepresented groups does not only benefit individuals. It strengthens democratic societies, enhances social cohesion, and contributes to economic sustainability by unlocking the potential of all citizens.</w:t>
      </w:r>
    </w:p>
    <w:p w14:paraId="704D1D9A" w14:textId="77777777" w:rsidR="00AA15A5" w:rsidRPr="00DA2128" w:rsidRDefault="00AA15A5" w:rsidP="00A937C6">
      <w:pPr>
        <w:spacing w:line="240" w:lineRule="auto"/>
        <w:rPr>
          <w:sz w:val="22"/>
          <w:szCs w:val="22"/>
        </w:rPr>
      </w:pPr>
      <w:r w:rsidRPr="00DA2128">
        <w:rPr>
          <w:sz w:val="22"/>
          <w:szCs w:val="22"/>
        </w:rPr>
        <w:t>In moving forward, the COLOURS Alliance envisions these EDI indicators as living tools. They will be refined, adapted, and expanded based on ongoing feedback and emerging needs. Their ultimate purpose is not only to measure inclusion, but to guide and inspire systemic transformation.</w:t>
      </w:r>
    </w:p>
    <w:p w14:paraId="597592E2" w14:textId="77777777" w:rsidR="00AA15A5" w:rsidRPr="00DA2128" w:rsidRDefault="00AA15A5" w:rsidP="00A937C6">
      <w:pPr>
        <w:spacing w:line="240" w:lineRule="auto"/>
        <w:rPr>
          <w:sz w:val="22"/>
          <w:szCs w:val="22"/>
        </w:rPr>
      </w:pPr>
      <w:r w:rsidRPr="00DA2128">
        <w:rPr>
          <w:sz w:val="22"/>
          <w:szCs w:val="22"/>
        </w:rPr>
        <w:t>In conclusion, the definition of key indicators represents an essential step toward building a truly inclusive European University. The COLOURS Alliance reaffirms its dedication to ensuring that every member of the university community, regardless of background, identity, or ability, can thrive, contribute, and belong. Through shared commitment, continuous learning, and collective action, the Alliance aims to lead by example in reimagining higher education.  </w:t>
      </w:r>
    </w:p>
    <w:p w14:paraId="61E3126E" w14:textId="77777777" w:rsidR="00AA15A5" w:rsidRDefault="00AA15A5" w:rsidP="00A937C6">
      <w:pPr>
        <w:spacing w:line="240" w:lineRule="auto"/>
        <w:rPr>
          <w:sz w:val="22"/>
          <w:szCs w:val="22"/>
        </w:rPr>
      </w:pPr>
    </w:p>
    <w:p w14:paraId="01E0ADBB" w14:textId="25AB146F" w:rsidR="007C53D2" w:rsidRPr="007C53D2" w:rsidRDefault="007C53D2" w:rsidP="00A937C6">
      <w:pPr>
        <w:pStyle w:val="Sub-subheading"/>
        <w:spacing w:line="240" w:lineRule="auto"/>
        <w:rPr>
          <w:b/>
          <w:bCs/>
        </w:rPr>
      </w:pPr>
      <w:r w:rsidRPr="007C53D2">
        <w:rPr>
          <w:b/>
          <w:bCs/>
        </w:rPr>
        <w:t>References</w:t>
      </w:r>
    </w:p>
    <w:p w14:paraId="5F46E558" w14:textId="77777777" w:rsidR="00AA15A5" w:rsidRPr="00DA2128" w:rsidRDefault="00AA15A5" w:rsidP="00A937C6">
      <w:pPr>
        <w:spacing w:line="240" w:lineRule="auto"/>
        <w:rPr>
          <w:sz w:val="22"/>
          <w:szCs w:val="22"/>
        </w:rPr>
      </w:pPr>
      <w:r w:rsidRPr="00DA2128">
        <w:rPr>
          <w:sz w:val="22"/>
          <w:szCs w:val="22"/>
        </w:rPr>
        <w:t>Chappe, V.-A., &amp; Demilly, H. (2021, septembre). Des chiffres discutables. Quand les partenaires sociaux négocient les indicateurs de l’égalité professionnelle. Les cahiers de la LCD, (n°</w:t>
      </w:r>
      <w:r w:rsidRPr="00DA2128">
        <w:rPr>
          <w:rFonts w:ascii="Arial" w:hAnsi="Arial" w:cs="Arial"/>
          <w:sz w:val="22"/>
          <w:szCs w:val="22"/>
        </w:rPr>
        <w:t> </w:t>
      </w:r>
      <w:r w:rsidRPr="00DA2128">
        <w:rPr>
          <w:sz w:val="22"/>
          <w:szCs w:val="22"/>
        </w:rPr>
        <w:t xml:space="preserve">13), 67 84. </w:t>
      </w:r>
      <w:r w:rsidRPr="00DA2128">
        <w:rPr>
          <w:rFonts w:cs="Avenir Next LT Pro"/>
          <w:sz w:val="22"/>
          <w:szCs w:val="22"/>
        </w:rPr>
        <w:t>É</w:t>
      </w:r>
      <w:r w:rsidRPr="00DA2128">
        <w:rPr>
          <w:sz w:val="22"/>
          <w:szCs w:val="22"/>
        </w:rPr>
        <w:t>ditions L</w:t>
      </w:r>
      <w:r w:rsidRPr="00DA2128">
        <w:rPr>
          <w:rFonts w:cs="Avenir Next LT Pro"/>
          <w:sz w:val="22"/>
          <w:szCs w:val="22"/>
        </w:rPr>
        <w:t>’</w:t>
      </w:r>
      <w:r w:rsidRPr="00DA2128">
        <w:rPr>
          <w:sz w:val="22"/>
          <w:szCs w:val="22"/>
        </w:rPr>
        <w:t>Harmattan.</w:t>
      </w:r>
    </w:p>
    <w:p w14:paraId="3DD94393" w14:textId="77777777" w:rsidR="00AA15A5" w:rsidRPr="00DA2128" w:rsidRDefault="00AA15A5" w:rsidP="00A937C6">
      <w:pPr>
        <w:spacing w:line="240" w:lineRule="auto"/>
        <w:rPr>
          <w:sz w:val="22"/>
          <w:szCs w:val="22"/>
        </w:rPr>
      </w:pPr>
      <w:r w:rsidRPr="00DA2128">
        <w:rPr>
          <w:sz w:val="22"/>
          <w:szCs w:val="22"/>
        </w:rPr>
        <w:t>Chtena, N., Alperin, J. P., Morales, E., Fleerackers, A., Dorsch, I., Pinfield, S., &amp; Simard, M.-A. (2025). Towards an inclusive open science: Examining EDI and public participation in policy documents across Europe and the Americas. Royal Society Open Science. https://doi.org/10.1098/rsos.240857</w:t>
      </w:r>
    </w:p>
    <w:p w14:paraId="530239BD" w14:textId="77777777" w:rsidR="00AA15A5" w:rsidRPr="00DA2128" w:rsidRDefault="00AA15A5" w:rsidP="00A937C6">
      <w:pPr>
        <w:spacing w:line="240" w:lineRule="auto"/>
        <w:rPr>
          <w:sz w:val="22"/>
          <w:szCs w:val="22"/>
        </w:rPr>
      </w:pPr>
      <w:r w:rsidRPr="00DA2128">
        <w:rPr>
          <w:sz w:val="22"/>
          <w:szCs w:val="22"/>
        </w:rPr>
        <w:t>Coron, C. (2018). La définition des indicateurs sociaux, entre recherche d’objectivation et enjeux de pouvoir : le cas de l’égalité professionnelle. Gestion</w:t>
      </w:r>
      <w:r w:rsidRPr="00DA2128">
        <w:rPr>
          <w:rFonts w:ascii="Arial" w:hAnsi="Arial" w:cs="Arial"/>
          <w:sz w:val="22"/>
          <w:szCs w:val="22"/>
        </w:rPr>
        <w:t> </w:t>
      </w:r>
      <w:r w:rsidRPr="00DA2128">
        <w:rPr>
          <w:sz w:val="22"/>
          <w:szCs w:val="22"/>
        </w:rPr>
        <w:t>2000 [Management &amp; Prospective], 35(3), 109</w:t>
      </w:r>
      <w:r w:rsidRPr="00DA2128">
        <w:rPr>
          <w:rFonts w:cs="Avenir Next LT Pro"/>
          <w:sz w:val="22"/>
          <w:szCs w:val="22"/>
        </w:rPr>
        <w:t>–</w:t>
      </w:r>
      <w:r w:rsidRPr="00DA2128">
        <w:rPr>
          <w:sz w:val="22"/>
          <w:szCs w:val="22"/>
        </w:rPr>
        <w:t>128. https://doi.org/10.3917/g2000.353.0109</w:t>
      </w:r>
    </w:p>
    <w:p w14:paraId="176DF19D" w14:textId="77777777" w:rsidR="00AA15A5" w:rsidRPr="00DA2128" w:rsidRDefault="00AA15A5" w:rsidP="00A937C6">
      <w:pPr>
        <w:spacing w:line="240" w:lineRule="auto"/>
        <w:rPr>
          <w:sz w:val="22"/>
          <w:szCs w:val="22"/>
        </w:rPr>
      </w:pPr>
      <w:r w:rsidRPr="00DA2128">
        <w:rPr>
          <w:sz w:val="22"/>
          <w:szCs w:val="22"/>
        </w:rPr>
        <w:t>Council of the European Union. (2018). Council recommendation of 22 May 2018 on key competences for lifelong learning (2018/C 189/01). Official Journal of the European Union, C 189/1. Publications Office of the European Union.</w:t>
      </w:r>
    </w:p>
    <w:p w14:paraId="6FDAC15D" w14:textId="77777777" w:rsidR="00AA15A5" w:rsidRPr="00DA2128" w:rsidRDefault="00AA15A5" w:rsidP="00A937C6">
      <w:pPr>
        <w:spacing w:line="240" w:lineRule="auto"/>
        <w:rPr>
          <w:sz w:val="22"/>
          <w:szCs w:val="22"/>
        </w:rPr>
      </w:pPr>
      <w:r w:rsidRPr="00DA2128">
        <w:rPr>
          <w:sz w:val="22"/>
          <w:szCs w:val="22"/>
        </w:rPr>
        <w:t>Crenshaw, K. (1989). Demarginalizing the intersection of race and sex: A Black feminist critique of antidiscrimination doctrine, feminist theory and antiracist politics. University of Chicago Legal Forum, 1989(1), 139–167.</w:t>
      </w:r>
    </w:p>
    <w:p w14:paraId="363908DE" w14:textId="77777777" w:rsidR="00AA15A5" w:rsidRPr="00DA2128" w:rsidRDefault="00AA15A5" w:rsidP="00A937C6">
      <w:pPr>
        <w:spacing w:line="240" w:lineRule="auto"/>
        <w:rPr>
          <w:sz w:val="22"/>
          <w:szCs w:val="22"/>
        </w:rPr>
      </w:pPr>
      <w:r w:rsidRPr="00DA2128">
        <w:rPr>
          <w:sz w:val="22"/>
          <w:szCs w:val="22"/>
        </w:rPr>
        <w:t>Creswell, J. W., &amp; Creswell, J. D. (2017). Research design: Qualitative, quantitative, and mixed methods approaches (5th ed.). Sage Publications.</w:t>
      </w:r>
    </w:p>
    <w:p w14:paraId="4515FEB2" w14:textId="77777777" w:rsidR="00AA15A5" w:rsidRPr="00DA2128" w:rsidRDefault="00AA15A5" w:rsidP="00A937C6">
      <w:pPr>
        <w:spacing w:line="240" w:lineRule="auto"/>
        <w:rPr>
          <w:sz w:val="22"/>
          <w:szCs w:val="22"/>
        </w:rPr>
      </w:pPr>
      <w:r w:rsidRPr="00DA2128">
        <w:rPr>
          <w:sz w:val="22"/>
          <w:szCs w:val="22"/>
        </w:rPr>
        <w:t>di</w:t>
      </w:r>
      <w:r w:rsidRPr="00DA2128">
        <w:rPr>
          <w:rFonts w:ascii="Arial" w:hAnsi="Arial" w:cs="Arial"/>
          <w:sz w:val="22"/>
          <w:szCs w:val="22"/>
        </w:rPr>
        <w:t> </w:t>
      </w:r>
      <w:r w:rsidRPr="00DA2128">
        <w:rPr>
          <w:sz w:val="22"/>
          <w:szCs w:val="22"/>
        </w:rPr>
        <w:t>Bella, E., Fachelli, S., L</w:t>
      </w:r>
      <w:r w:rsidRPr="00DA2128">
        <w:rPr>
          <w:rFonts w:cs="Avenir Next LT Pro"/>
          <w:sz w:val="22"/>
          <w:szCs w:val="22"/>
        </w:rPr>
        <w:t>ó</w:t>
      </w:r>
      <w:r w:rsidRPr="00DA2128">
        <w:rPr>
          <w:sz w:val="22"/>
          <w:szCs w:val="22"/>
        </w:rPr>
        <w:t>pez Rold</w:t>
      </w:r>
      <w:r w:rsidRPr="00DA2128">
        <w:rPr>
          <w:rFonts w:cs="Avenir Next LT Pro"/>
          <w:sz w:val="22"/>
          <w:szCs w:val="22"/>
        </w:rPr>
        <w:t>á</w:t>
      </w:r>
      <w:r w:rsidRPr="00DA2128">
        <w:rPr>
          <w:sz w:val="22"/>
          <w:szCs w:val="22"/>
        </w:rPr>
        <w:t>n, P., &amp; Suter, C. (Eds.). (2023). Measuring gender equality: A multidisciplinary analysis of some EU countries (Social Indicators Research Series, vol.</w:t>
      </w:r>
      <w:r w:rsidRPr="00DA2128">
        <w:rPr>
          <w:rFonts w:ascii="Arial" w:hAnsi="Arial" w:cs="Arial"/>
          <w:sz w:val="22"/>
          <w:szCs w:val="22"/>
        </w:rPr>
        <w:t> </w:t>
      </w:r>
      <w:r w:rsidRPr="00DA2128">
        <w:rPr>
          <w:sz w:val="22"/>
          <w:szCs w:val="22"/>
        </w:rPr>
        <w:t>87). Springer International Publishing. https://doi.org/10.1007/978 3 031 41486 2</w:t>
      </w:r>
    </w:p>
    <w:p w14:paraId="77D8C887" w14:textId="77777777" w:rsidR="00AA15A5" w:rsidRPr="00DA2128" w:rsidRDefault="00AA15A5" w:rsidP="00A937C6">
      <w:pPr>
        <w:spacing w:line="240" w:lineRule="auto"/>
        <w:rPr>
          <w:sz w:val="22"/>
          <w:szCs w:val="22"/>
        </w:rPr>
      </w:pPr>
      <w:r w:rsidRPr="00DA2128">
        <w:rPr>
          <w:sz w:val="22"/>
          <w:szCs w:val="22"/>
        </w:rPr>
        <w:t>ENHANCE Diversity Office, &amp; Work Package Diversity, Impact and Dissemination. (2024). Diversity &amp; impact in the ENHANCE Alliance: 2024 annual report. ENHANCE Alliance.</w:t>
      </w:r>
    </w:p>
    <w:p w14:paraId="5291E963" w14:textId="77777777" w:rsidR="00AA15A5" w:rsidRPr="00DA2128" w:rsidRDefault="00AA15A5" w:rsidP="00A937C6">
      <w:pPr>
        <w:spacing w:line="240" w:lineRule="auto"/>
        <w:rPr>
          <w:sz w:val="22"/>
          <w:szCs w:val="22"/>
        </w:rPr>
      </w:pPr>
      <w:r w:rsidRPr="00DA2128">
        <w:rPr>
          <w:sz w:val="22"/>
          <w:szCs w:val="22"/>
        </w:rPr>
        <w:t>European Commission, European Education and Culture Executive Agency, Crosier, D., &amp; Sigalas, E. (2022). Towards equity and inclusion in higher education in Europe (Eurydice Report). Publications Office of the European Union. https://op.europa.eu/en/publication-detail/-/publication/fa946919-b564-11ec-b6f4-01aa75ed71a1/language-en</w:t>
      </w:r>
    </w:p>
    <w:p w14:paraId="42B36F07" w14:textId="77777777" w:rsidR="00AA15A5" w:rsidRPr="00DA2128" w:rsidRDefault="00AA15A5" w:rsidP="00A937C6">
      <w:pPr>
        <w:spacing w:line="240" w:lineRule="auto"/>
        <w:rPr>
          <w:sz w:val="22"/>
          <w:szCs w:val="22"/>
        </w:rPr>
      </w:pPr>
      <w:r w:rsidRPr="00DA2128">
        <w:rPr>
          <w:sz w:val="22"/>
          <w:szCs w:val="22"/>
        </w:rPr>
        <w:t>European Commission, EACEA, &amp; Eurydice. (2020). The European Higher Education Area in 2020: Bologna Process implementation report. Publications Office of the European Union.</w:t>
      </w:r>
    </w:p>
    <w:p w14:paraId="78B7473E" w14:textId="77777777" w:rsidR="00AA15A5" w:rsidRPr="00DA2128" w:rsidRDefault="00AA15A5" w:rsidP="00A937C6">
      <w:pPr>
        <w:spacing w:line="240" w:lineRule="auto"/>
        <w:rPr>
          <w:sz w:val="22"/>
          <w:szCs w:val="22"/>
        </w:rPr>
      </w:pPr>
      <w:r w:rsidRPr="00DA2128">
        <w:rPr>
          <w:sz w:val="22"/>
          <w:szCs w:val="22"/>
        </w:rPr>
        <w:t>European Commission, EACEA, &amp; Eurydice. (2023). Structural indicators for monitoring education and training systems in Europe – 2023: Higher education (Eurydice Report). Publications Office of the European Union.</w:t>
      </w:r>
    </w:p>
    <w:p w14:paraId="2A34FE5A" w14:textId="77777777" w:rsidR="00AA15A5" w:rsidRPr="00DA2128" w:rsidRDefault="00AA15A5" w:rsidP="00A937C6">
      <w:pPr>
        <w:spacing w:line="240" w:lineRule="auto"/>
        <w:rPr>
          <w:sz w:val="22"/>
          <w:szCs w:val="22"/>
        </w:rPr>
      </w:pPr>
      <w:r w:rsidRPr="00DA2128">
        <w:rPr>
          <w:sz w:val="22"/>
          <w:szCs w:val="22"/>
        </w:rPr>
        <w:t>European Higher Education Area. (2020a). Rome Ministerial Communiqué. https://ehea.info/Upload/Rome_Ministerial_Communique.pdf</w:t>
      </w:r>
    </w:p>
    <w:p w14:paraId="4E0E7AAB" w14:textId="77777777" w:rsidR="00AA15A5" w:rsidRPr="00DA2128" w:rsidRDefault="00AA15A5" w:rsidP="00A937C6">
      <w:pPr>
        <w:spacing w:line="240" w:lineRule="auto"/>
        <w:rPr>
          <w:sz w:val="22"/>
          <w:szCs w:val="22"/>
        </w:rPr>
      </w:pPr>
      <w:r w:rsidRPr="00DA2128">
        <w:rPr>
          <w:sz w:val="22"/>
          <w:szCs w:val="22"/>
        </w:rPr>
        <w:t>European Higher Education Area. (2020b). Rome Ministerial Communiqué: Annex II – Principles and guidelines to strengthen the social dimension of higher education in the EHEA. https://ehea.info/page-ministerial-conference-rome-2020</w:t>
      </w:r>
    </w:p>
    <w:p w14:paraId="1C84BFE6" w14:textId="77777777" w:rsidR="00AA15A5" w:rsidRPr="00DA2128" w:rsidRDefault="00AA15A5" w:rsidP="00A937C6">
      <w:pPr>
        <w:spacing w:line="240" w:lineRule="auto"/>
        <w:rPr>
          <w:sz w:val="22"/>
          <w:szCs w:val="22"/>
        </w:rPr>
      </w:pPr>
      <w:r w:rsidRPr="00DA2128">
        <w:rPr>
          <w:sz w:val="22"/>
          <w:szCs w:val="22"/>
        </w:rPr>
        <w:t>European Higher Education Area. (2020c). Principles and guidelines to strengthen the social dimension of higher education in the EHEA. Ministerial Conference, Rome, November 25–27, 2020.</w:t>
      </w:r>
    </w:p>
    <w:p w14:paraId="2BC2A2DD" w14:textId="77777777" w:rsidR="00AA15A5" w:rsidRPr="00DA2128" w:rsidRDefault="00AA15A5" w:rsidP="00A937C6">
      <w:pPr>
        <w:spacing w:line="240" w:lineRule="auto"/>
        <w:rPr>
          <w:sz w:val="22"/>
          <w:szCs w:val="22"/>
        </w:rPr>
      </w:pPr>
      <w:r w:rsidRPr="00DA2128">
        <w:rPr>
          <w:sz w:val="22"/>
          <w:szCs w:val="22"/>
        </w:rPr>
        <w:t>Gauneau, J., Lambert, C., Salman, S., &amp; Savic, D. (2022). Pour en finir avec les «</w:t>
      </w:r>
      <w:r w:rsidRPr="00DA2128">
        <w:rPr>
          <w:rFonts w:ascii="Arial" w:hAnsi="Arial" w:cs="Arial"/>
          <w:sz w:val="22"/>
          <w:szCs w:val="22"/>
        </w:rPr>
        <w:t> </w:t>
      </w:r>
      <w:r w:rsidRPr="00DA2128">
        <w:rPr>
          <w:sz w:val="22"/>
          <w:szCs w:val="22"/>
        </w:rPr>
        <w:t>enjeux EDI</w:t>
      </w:r>
      <w:r w:rsidRPr="00DA2128">
        <w:rPr>
          <w:rFonts w:ascii="Arial" w:hAnsi="Arial" w:cs="Arial"/>
          <w:sz w:val="22"/>
          <w:szCs w:val="22"/>
        </w:rPr>
        <w:t> </w:t>
      </w:r>
      <w:r w:rsidRPr="00DA2128">
        <w:rPr>
          <w:rFonts w:cs="Avenir Next LT Pro"/>
          <w:sz w:val="22"/>
          <w:szCs w:val="22"/>
        </w:rPr>
        <w:t>»</w:t>
      </w:r>
      <w:r w:rsidRPr="00DA2128">
        <w:rPr>
          <w:sz w:val="22"/>
          <w:szCs w:val="22"/>
        </w:rPr>
        <w:t xml:space="preserve"> et commencer </w:t>
      </w:r>
      <w:r w:rsidRPr="00DA2128">
        <w:rPr>
          <w:rFonts w:cs="Avenir Next LT Pro"/>
          <w:sz w:val="22"/>
          <w:szCs w:val="22"/>
        </w:rPr>
        <w:t>à</w:t>
      </w:r>
      <w:r w:rsidRPr="00DA2128">
        <w:rPr>
          <w:sz w:val="22"/>
          <w:szCs w:val="22"/>
        </w:rPr>
        <w:t xml:space="preserve"> en mesurer l</w:t>
      </w:r>
      <w:r w:rsidRPr="00DA2128">
        <w:rPr>
          <w:rFonts w:cs="Avenir Next LT Pro"/>
          <w:sz w:val="22"/>
          <w:szCs w:val="22"/>
        </w:rPr>
        <w:t>’</w:t>
      </w:r>
      <w:r w:rsidRPr="00DA2128">
        <w:rPr>
          <w:sz w:val="22"/>
          <w:szCs w:val="22"/>
        </w:rPr>
        <w:t>impact social. Gestion, 47(3), 82</w:t>
      </w:r>
      <w:r w:rsidRPr="00DA2128">
        <w:rPr>
          <w:rFonts w:cs="Avenir Next LT Pro"/>
          <w:sz w:val="22"/>
          <w:szCs w:val="22"/>
        </w:rPr>
        <w:t>–</w:t>
      </w:r>
      <w:r w:rsidRPr="00DA2128">
        <w:rPr>
          <w:sz w:val="22"/>
          <w:szCs w:val="22"/>
        </w:rPr>
        <w:t>86. https://doi.org/10.3917/riges.473.0082</w:t>
      </w:r>
    </w:p>
    <w:p w14:paraId="64EEB6A0" w14:textId="77777777" w:rsidR="00AA15A5" w:rsidRPr="00DA2128" w:rsidRDefault="00AA15A5" w:rsidP="00A937C6">
      <w:pPr>
        <w:spacing w:line="240" w:lineRule="auto"/>
        <w:rPr>
          <w:sz w:val="22"/>
          <w:szCs w:val="22"/>
        </w:rPr>
      </w:pPr>
      <w:r w:rsidRPr="00DA2128">
        <w:rPr>
          <w:sz w:val="22"/>
          <w:szCs w:val="22"/>
        </w:rPr>
        <w:t>Hanson, W. E., Creswell, J. W., Plano Clark, V. L., Petska, K. S., &amp; Creswell, J. D. (2005). Mixed methods research designs in counseling psychology. Journal of Counseling Psychology, 52(2), 224–235. https://doi.org/10.1037/0022-0167.52.2.224</w:t>
      </w:r>
    </w:p>
    <w:p w14:paraId="34E0F6C3" w14:textId="77777777" w:rsidR="00AA15A5" w:rsidRPr="00DA2128" w:rsidRDefault="00AA15A5" w:rsidP="00A937C6">
      <w:pPr>
        <w:spacing w:line="240" w:lineRule="auto"/>
        <w:rPr>
          <w:sz w:val="22"/>
          <w:szCs w:val="22"/>
        </w:rPr>
      </w:pPr>
      <w:r w:rsidRPr="00DA2128">
        <w:rPr>
          <w:sz w:val="22"/>
          <w:szCs w:val="22"/>
        </w:rPr>
        <w:t>Huyer, S. (2021, septembre</w:t>
      </w:r>
      <w:r w:rsidRPr="00DA2128">
        <w:rPr>
          <w:rFonts w:ascii="Arial" w:hAnsi="Arial" w:cs="Arial"/>
          <w:sz w:val="22"/>
          <w:szCs w:val="22"/>
        </w:rPr>
        <w:t> </w:t>
      </w:r>
      <w:r w:rsidRPr="00DA2128">
        <w:rPr>
          <w:sz w:val="22"/>
          <w:szCs w:val="22"/>
        </w:rPr>
        <w:t>24). Gender and Social Inclusion: Case study frameworks and indicators. Accelerating Impacts of CGIAR Climate Research for Africa (AICCRA). Pr</w:t>
      </w:r>
      <w:r w:rsidRPr="00DA2128">
        <w:rPr>
          <w:rFonts w:cs="Avenir Next LT Pro"/>
          <w:sz w:val="22"/>
          <w:szCs w:val="22"/>
        </w:rPr>
        <w:t>é</w:t>
      </w:r>
      <w:r w:rsidRPr="00DA2128">
        <w:rPr>
          <w:sz w:val="22"/>
          <w:szCs w:val="22"/>
        </w:rPr>
        <w:t>sentation lors du deuxi</w:t>
      </w:r>
      <w:r w:rsidRPr="00DA2128">
        <w:rPr>
          <w:rFonts w:cs="Avenir Next LT Pro"/>
          <w:sz w:val="22"/>
          <w:szCs w:val="22"/>
        </w:rPr>
        <w:t>è</w:t>
      </w:r>
      <w:r w:rsidRPr="00DA2128">
        <w:rPr>
          <w:sz w:val="22"/>
          <w:szCs w:val="22"/>
        </w:rPr>
        <w:t>me atelier GSI d</w:t>
      </w:r>
      <w:r w:rsidRPr="00DA2128">
        <w:rPr>
          <w:rFonts w:cs="Avenir Next LT Pro"/>
          <w:sz w:val="22"/>
          <w:szCs w:val="22"/>
        </w:rPr>
        <w:t>’</w:t>
      </w:r>
      <w:r w:rsidRPr="00DA2128">
        <w:rPr>
          <w:sz w:val="22"/>
          <w:szCs w:val="22"/>
        </w:rPr>
        <w:t>AICCRA.</w:t>
      </w:r>
    </w:p>
    <w:p w14:paraId="35675A20" w14:textId="77777777" w:rsidR="00AA15A5" w:rsidRPr="00DA2128" w:rsidRDefault="00AA15A5" w:rsidP="00A937C6">
      <w:pPr>
        <w:spacing w:line="240" w:lineRule="auto"/>
        <w:rPr>
          <w:sz w:val="22"/>
          <w:szCs w:val="22"/>
        </w:rPr>
      </w:pPr>
      <w:r w:rsidRPr="00DA2128">
        <w:rPr>
          <w:sz w:val="22"/>
          <w:szCs w:val="22"/>
        </w:rPr>
        <w:t>Inclusive Mobility. (2025). InclusiveMobility.eu – Towards a more inclusive Erasmus+ programme. Support Centre for Inclusive Higher Education (SIHO). https://inclusivemobility.eu/</w:t>
      </w:r>
    </w:p>
    <w:p w14:paraId="58F95BCF" w14:textId="77777777" w:rsidR="00AA15A5" w:rsidRPr="00DA2128" w:rsidRDefault="00AA15A5" w:rsidP="00A937C6">
      <w:pPr>
        <w:spacing w:line="240" w:lineRule="auto"/>
        <w:rPr>
          <w:sz w:val="22"/>
          <w:szCs w:val="22"/>
        </w:rPr>
      </w:pPr>
      <w:r w:rsidRPr="00DA2128">
        <w:rPr>
          <w:sz w:val="22"/>
          <w:szCs w:val="22"/>
        </w:rPr>
        <w:t>Karakhan, A. A., Gambatese, J. A., Simmons, D. R., &amp; Al Bayati, A. J. (2021). Identifying pertinent indicators for assessing and fostering diversity, equity, and inclusion of the construction workforce. Journal of Management in Engineering, 37(2), Article 04021004. https://doi.org/10.1061/(ASCE)ME.1943-5479.0000860</w:t>
      </w:r>
    </w:p>
    <w:p w14:paraId="7143FA66" w14:textId="77777777" w:rsidR="00AA15A5" w:rsidRPr="00DA2128" w:rsidRDefault="00AA15A5" w:rsidP="00A937C6">
      <w:pPr>
        <w:spacing w:line="240" w:lineRule="auto"/>
        <w:rPr>
          <w:sz w:val="22"/>
          <w:szCs w:val="22"/>
        </w:rPr>
      </w:pPr>
      <w:r w:rsidRPr="00DA2128">
        <w:rPr>
          <w:sz w:val="22"/>
          <w:szCs w:val="22"/>
        </w:rPr>
        <w:t>Kayyali, M. (2022, septembre). Equity, Equality, Diversity, and Inclusion as Key Performance Indicators in Higher Education. International Journal of Management, Sciences, Innovation, and Technology, 3(5), 1–3. Disponible en ligne : https://ijmsit.com/volume 3 issue 5/</w:t>
      </w:r>
    </w:p>
    <w:p w14:paraId="57EA11F7" w14:textId="77777777" w:rsidR="00AA15A5" w:rsidRPr="00DA2128" w:rsidRDefault="00AA15A5" w:rsidP="00A937C6">
      <w:pPr>
        <w:spacing w:line="240" w:lineRule="auto"/>
        <w:rPr>
          <w:sz w:val="22"/>
          <w:szCs w:val="22"/>
        </w:rPr>
      </w:pPr>
      <w:r w:rsidRPr="00DA2128">
        <w:rPr>
          <w:sz w:val="22"/>
          <w:szCs w:val="22"/>
        </w:rPr>
        <w:t>Kincaid, C., &amp; Smith, N.</w:t>
      </w:r>
      <w:r w:rsidRPr="00DA2128">
        <w:rPr>
          <w:rFonts w:ascii="Arial" w:hAnsi="Arial" w:cs="Arial"/>
          <w:sz w:val="22"/>
          <w:szCs w:val="22"/>
        </w:rPr>
        <w:t> </w:t>
      </w:r>
      <w:r w:rsidRPr="00DA2128">
        <w:rPr>
          <w:sz w:val="22"/>
          <w:szCs w:val="22"/>
        </w:rPr>
        <w:t xml:space="preserve">M. (2021). Diversity and inclusion in mining: An analysis of indicators used in sustainability reporting. The Extractive Industries and Society, 8(3), Article 100981. https://doi.org/10.1016/j.exis.2021.100981 </w:t>
      </w:r>
    </w:p>
    <w:p w14:paraId="49C014C2" w14:textId="77777777" w:rsidR="00AA15A5" w:rsidRPr="00DA2128" w:rsidRDefault="00AA15A5" w:rsidP="00A937C6">
      <w:pPr>
        <w:spacing w:line="240" w:lineRule="auto"/>
        <w:rPr>
          <w:sz w:val="22"/>
          <w:szCs w:val="22"/>
        </w:rPr>
      </w:pPr>
      <w:r w:rsidRPr="00DA2128">
        <w:rPr>
          <w:sz w:val="22"/>
          <w:szCs w:val="22"/>
        </w:rPr>
        <w:t>Kelling, A. S., Bartsch, R. A., Walther, C. A. P., Lucas, A., &amp; Santiago-Vázquez, L. Z. (2024). Work-life balance of academic parents: Expectations and experiences of mothers and fathers. Journal of Applied Research in Higher Education, 16(5), 1614–1626. https://doi.org/10.1108/JARHE-03-2023-0128</w:t>
      </w:r>
    </w:p>
    <w:p w14:paraId="68E9431F" w14:textId="77777777" w:rsidR="00AA15A5" w:rsidRPr="00DA2128" w:rsidRDefault="00AA15A5" w:rsidP="00A937C6">
      <w:pPr>
        <w:spacing w:line="240" w:lineRule="auto"/>
        <w:rPr>
          <w:sz w:val="22"/>
          <w:szCs w:val="22"/>
        </w:rPr>
      </w:pPr>
      <w:r w:rsidRPr="0035189B">
        <w:rPr>
          <w:sz w:val="22"/>
          <w:szCs w:val="22"/>
          <w:lang w:val="sv-SE"/>
        </w:rPr>
        <w:t xml:space="preserve">Riva, E., Lister, K., &amp; Jeglinska, W. (2024). </w:t>
      </w:r>
      <w:r w:rsidRPr="00DA2128">
        <w:rPr>
          <w:sz w:val="22"/>
          <w:szCs w:val="22"/>
        </w:rPr>
        <w:t>Student and staff mental well-being in European higher education institutions (NESET Report). Publications Office of the European Union. https://doi.org/10.2766/933130</w:t>
      </w:r>
    </w:p>
    <w:p w14:paraId="57C0E4A3" w14:textId="77777777" w:rsidR="00AA15A5" w:rsidRPr="00DA2128" w:rsidRDefault="00AA15A5" w:rsidP="00A937C6">
      <w:pPr>
        <w:spacing w:line="240" w:lineRule="auto"/>
        <w:rPr>
          <w:sz w:val="22"/>
          <w:szCs w:val="22"/>
        </w:rPr>
      </w:pPr>
      <w:r w:rsidRPr="00DA2128">
        <w:rPr>
          <w:sz w:val="22"/>
          <w:szCs w:val="22"/>
        </w:rPr>
        <w:t>Rosas, S. R. (2017). Group concept mapping methodology: Toward an epistemology of group conceptualization, complexity, and emergence. Quality &amp; Quantity, 51(4), 1403–1416. https://doi.org/10.1007/s11135-016-0350-0</w:t>
      </w:r>
    </w:p>
    <w:p w14:paraId="20ED84A1" w14:textId="1E101C08" w:rsidR="000E30BB" w:rsidRPr="00DA2128" w:rsidRDefault="00AA15A5" w:rsidP="00A937C6">
      <w:pPr>
        <w:spacing w:line="240" w:lineRule="auto"/>
        <w:rPr>
          <w:sz w:val="22"/>
          <w:szCs w:val="22"/>
        </w:rPr>
      </w:pPr>
      <w:r w:rsidRPr="00DA2128">
        <w:rPr>
          <w:sz w:val="22"/>
          <w:szCs w:val="22"/>
        </w:rPr>
        <w:t>Wolbring, G., &amp; Lillywhite, A. (2021). Equity/Equality, Diversity, and Inclusion (EDI) in universities: The case of disabled people. Societies, 11(2), 49. https://doi.org/10.3390/soc11020049</w:t>
      </w:r>
    </w:p>
    <w:p w14:paraId="322BF54C" w14:textId="77777777" w:rsidR="000E30BB" w:rsidRPr="00DA2128" w:rsidRDefault="000E30BB" w:rsidP="00A937C6">
      <w:pPr>
        <w:spacing w:line="240" w:lineRule="auto"/>
        <w:rPr>
          <w:sz w:val="22"/>
          <w:szCs w:val="22"/>
        </w:rPr>
      </w:pPr>
    </w:p>
    <w:p w14:paraId="2F029797" w14:textId="77777777" w:rsidR="00B23D40" w:rsidRPr="00DA2128" w:rsidRDefault="00B23D40" w:rsidP="00A937C6">
      <w:pPr>
        <w:spacing w:line="240" w:lineRule="auto"/>
        <w:rPr>
          <w:sz w:val="22"/>
          <w:szCs w:val="22"/>
        </w:rPr>
      </w:pPr>
    </w:p>
    <w:p w14:paraId="355873BC" w14:textId="27022E80" w:rsidR="00AE5867" w:rsidRPr="00DA2128" w:rsidRDefault="00B23D40" w:rsidP="00A937C6">
      <w:pPr>
        <w:pStyle w:val="Heading1"/>
        <w:spacing w:line="240" w:lineRule="auto"/>
      </w:pPr>
      <w:bookmarkStart w:id="14" w:name="_Toc211351792"/>
      <w:r w:rsidRPr="00DA2128">
        <w:t xml:space="preserve">Task number 5.5: </w:t>
      </w:r>
      <w:r w:rsidR="00AE5867" w:rsidRPr="00DA2128">
        <w:t>EDI Conduct assessment</w:t>
      </w:r>
      <w:bookmarkEnd w:id="14"/>
      <w:r w:rsidR="00AE5867" w:rsidRPr="00DA2128">
        <w:t xml:space="preserve"> </w:t>
      </w:r>
    </w:p>
    <w:p w14:paraId="687512CA" w14:textId="77777777" w:rsidR="001F31D9" w:rsidRPr="00DA2128" w:rsidRDefault="001F31D9" w:rsidP="00A937C6">
      <w:pPr>
        <w:pStyle w:val="Subtitle"/>
        <w:spacing w:line="240" w:lineRule="auto"/>
      </w:pPr>
      <w:r w:rsidRPr="00DA2128">
        <w:t>Executive Summary</w:t>
      </w:r>
    </w:p>
    <w:p w14:paraId="6E5EB07D" w14:textId="77777777" w:rsidR="001F31D9" w:rsidRPr="00DA2128" w:rsidRDefault="001F31D9" w:rsidP="00A937C6">
      <w:pPr>
        <w:spacing w:line="240" w:lineRule="auto"/>
        <w:rPr>
          <w:sz w:val="22"/>
          <w:szCs w:val="22"/>
        </w:rPr>
      </w:pPr>
      <w:r w:rsidRPr="00DA2128">
        <w:rPr>
          <w:sz w:val="22"/>
          <w:szCs w:val="22"/>
        </w:rPr>
        <w:t xml:space="preserve">The COLOURS Alliance is establishing systematic processes to generate data that will inform evidence-based decisions on how the consortium’s Equality, Diversity, and Inclusion (EDI) policy will be further developed and adapted across the partnership. The components described in this section represent one of the many steps towards this goal, providing structured mechanisms that enable the Alliance to monitor practices, identify barriers, and embed inclusivity into future policy development in a consistent and sustainable manner. </w:t>
      </w:r>
    </w:p>
    <w:p w14:paraId="41A594D6" w14:textId="77777777" w:rsidR="001F31D9" w:rsidRPr="00DA2128" w:rsidRDefault="001F31D9" w:rsidP="00A937C6">
      <w:pPr>
        <w:spacing w:line="240" w:lineRule="auto"/>
        <w:rPr>
          <w:sz w:val="22"/>
          <w:szCs w:val="22"/>
        </w:rPr>
      </w:pPr>
      <w:r w:rsidRPr="00DA2128">
        <w:rPr>
          <w:sz w:val="22"/>
          <w:szCs w:val="22"/>
        </w:rPr>
        <w:t>The principled approach ensures that structural barriers affecting underrepresented or disadvantaged groups are addressed comprehensively, rather than privileging a single minority perspective. It is particularly suited to a multi-country alliance, where legal, cultural, and historical understandings of minority status vary significantly, and where an overly narrow lens could obscure other forms of marginalisation and limit the policy’s applicability.</w:t>
      </w:r>
    </w:p>
    <w:p w14:paraId="084B9F1A" w14:textId="77777777" w:rsidR="001F31D9" w:rsidRPr="00DA2128" w:rsidRDefault="001F31D9" w:rsidP="00A937C6">
      <w:pPr>
        <w:spacing w:line="240" w:lineRule="auto"/>
        <w:rPr>
          <w:sz w:val="22"/>
          <w:szCs w:val="22"/>
        </w:rPr>
      </w:pPr>
      <w:r w:rsidRPr="00DA2128">
        <w:rPr>
          <w:sz w:val="22"/>
          <w:szCs w:val="22"/>
        </w:rPr>
        <w:t>Within this framework, inclusive mechanisms are systematically embedded across documentation, dissemination, and communication. Representation is not treated as an isolated or symbolic gesture, but as an integrated process informed by evidence, institutional consultation, and cross-cutting insights. A central example of this is student engagement. While traditional models of representation risk creating an “elite” of highly engaged individuals, the IMAGINE events extend participation to a broad cross-section of the student body. With 392 students involved across two days, these events provide space for reflection, structured dialogue, and creative expression on EDI themes. The findings are systematically evaluated and incorporated into project outputs, ensuring that student perspectives are embedded in strategic development. By adopting a whole-class co-creation model, the Alliance resists tokenistic consultation and instead ensures that diverse voices directly shape institutional practice.</w:t>
      </w:r>
    </w:p>
    <w:p w14:paraId="58235540" w14:textId="77777777" w:rsidR="001F31D9" w:rsidRPr="00DA2128" w:rsidRDefault="001F31D9" w:rsidP="00A937C6">
      <w:pPr>
        <w:spacing w:line="240" w:lineRule="auto"/>
        <w:rPr>
          <w:sz w:val="22"/>
          <w:szCs w:val="22"/>
        </w:rPr>
      </w:pPr>
      <w:r w:rsidRPr="00DA2128">
        <w:rPr>
          <w:sz w:val="22"/>
          <w:szCs w:val="22"/>
        </w:rPr>
        <w:t>Representation in power structures has also been carefully considered. Proposals to convene minority representatives across nine partner universities were deemed unfeasible and potentially counterproductive, as contextual differences make it impossible to define minority representation consistently. Such mechanisms risk reinforcing hierarchy and symbolic optics. Instead, the Alliance has prioritised embedding inclusivity into institutional processes, ensuring that representation is meaningful, sustainable, and rooted in co-creation rather than ad hoc initiatives.</w:t>
      </w:r>
    </w:p>
    <w:p w14:paraId="5E8A69EA" w14:textId="77777777" w:rsidR="001F31D9" w:rsidRPr="00DA2128" w:rsidRDefault="001F31D9" w:rsidP="00A937C6">
      <w:pPr>
        <w:spacing w:line="240" w:lineRule="auto"/>
        <w:rPr>
          <w:sz w:val="22"/>
          <w:szCs w:val="22"/>
        </w:rPr>
      </w:pPr>
      <w:r w:rsidRPr="00DA2128">
        <w:rPr>
          <w:sz w:val="22"/>
          <w:szCs w:val="22"/>
        </w:rPr>
        <w:t>A key part of the ethical and legal analysis undertaken within the Alliance focused on the risks of tokenism in data disclosure. Publishing demographic headcounts, particularly in small departments, can reduce individuals to tokens, expose them to disproportionate visibility, and risk breaches of confidentiality. Research confirms that such practices have negative consequences for well-being, career progression, and empowerment, while also heightening stigma and reinforcing stereotypes. Legal frameworks such as the Equality Act and GDPR, together with European equality strategies, require proportionality, anonymisation, and the safeguarding of dignity in data use. In line with these principles, the Alliance rejected reductive demographic metrics and adopted a systemic, participatory, and intersectional approach instead.</w:t>
      </w:r>
    </w:p>
    <w:p w14:paraId="5CAA8529" w14:textId="614E3C6B" w:rsidR="001F31D9" w:rsidRPr="00DA2128" w:rsidRDefault="001F31D9" w:rsidP="00A937C6">
      <w:pPr>
        <w:spacing w:line="240" w:lineRule="auto"/>
        <w:rPr>
          <w:sz w:val="22"/>
          <w:szCs w:val="22"/>
        </w:rPr>
      </w:pPr>
      <w:r w:rsidRPr="00DA2128">
        <w:rPr>
          <w:sz w:val="22"/>
          <w:szCs w:val="22"/>
        </w:rPr>
        <w:t>One of the deliverables under this work package was the development of the guidance document Enhancing Equality, Diversity, and Inclusion (EDI) on University Websites: Best Practices for Language and Visual Representation. Produced through consultation within Work Package 5 and formally endorsed by Work Package 6, the document provides practical recommendations on gender-inclusive terminology, culturally sensitive language, ability-inclusive phrasing, LGBTQ+ respectful terminology, and the use of accessible and non-tokenistic imagery. Its adoption into dissemination practices ensures that inclusive communication is established as a standard operational practice across the Alliance.</w:t>
      </w:r>
    </w:p>
    <w:p w14:paraId="14C36E9B" w14:textId="77777777" w:rsidR="001F31D9" w:rsidRPr="00DA2128" w:rsidRDefault="001F31D9" w:rsidP="00A937C6">
      <w:pPr>
        <w:spacing w:line="240" w:lineRule="auto"/>
        <w:rPr>
          <w:sz w:val="22"/>
          <w:szCs w:val="22"/>
        </w:rPr>
      </w:pPr>
      <w:r w:rsidRPr="00DA2128">
        <w:rPr>
          <w:sz w:val="22"/>
          <w:szCs w:val="22"/>
        </w:rPr>
        <w:t>Taken together, these strategies demonstrate that the Alliance’s EDI policy is both principled and practical. It avoids the pitfalls of tokenism by embedding inclusivity into structures and processes, aligning with European and international guidance, and prioritising systemic change over symbolic optics. By doing so, the Alliance strengthens its internal coherence, enhances its credibility with external stakeholders, and sets a good practice example for higher education institutions across Europe.</w:t>
      </w:r>
    </w:p>
    <w:p w14:paraId="2E46C71F" w14:textId="77777777" w:rsidR="001F31D9" w:rsidRPr="00DA2128" w:rsidRDefault="001F31D9" w:rsidP="00A937C6">
      <w:pPr>
        <w:spacing w:line="240" w:lineRule="auto"/>
        <w:rPr>
          <w:sz w:val="22"/>
          <w:szCs w:val="22"/>
        </w:rPr>
      </w:pPr>
    </w:p>
    <w:p w14:paraId="2876FBB0" w14:textId="77777777" w:rsidR="001F31D9" w:rsidRPr="00DA2128" w:rsidRDefault="001F31D9" w:rsidP="00A937C6">
      <w:pPr>
        <w:pStyle w:val="Sub-subheading"/>
        <w:spacing w:line="240" w:lineRule="auto"/>
      </w:pPr>
      <w:r w:rsidRPr="00DA2128">
        <w:t>Context and Policy Focus</w:t>
      </w:r>
    </w:p>
    <w:p w14:paraId="77A25E6F" w14:textId="77777777" w:rsidR="001F31D9" w:rsidRPr="00DA2128" w:rsidRDefault="001F31D9" w:rsidP="00A937C6">
      <w:pPr>
        <w:spacing w:line="240" w:lineRule="auto"/>
        <w:rPr>
          <w:sz w:val="22"/>
          <w:szCs w:val="22"/>
        </w:rPr>
      </w:pPr>
      <w:r w:rsidRPr="00DA2128">
        <w:rPr>
          <w:sz w:val="22"/>
          <w:szCs w:val="22"/>
        </w:rPr>
        <w:t>Within the COLOURS Alliance, our EDI policy is grounded in a principled commitment to equality and equity as overarching frameworks. This approach ensures that structural barriers and systemic disparities affecting all underrepresented or disadvantaged groups are addressed comprehensively, rather than centring any one particular minority perspective.</w:t>
      </w:r>
    </w:p>
    <w:p w14:paraId="2B0DBDD0" w14:textId="77777777" w:rsidR="001F31D9" w:rsidRPr="00DA2128" w:rsidRDefault="001F31D9" w:rsidP="00A937C6">
      <w:pPr>
        <w:spacing w:line="240" w:lineRule="auto"/>
        <w:rPr>
          <w:sz w:val="22"/>
          <w:szCs w:val="22"/>
        </w:rPr>
      </w:pPr>
      <w:r w:rsidRPr="00DA2128">
        <w:rPr>
          <w:sz w:val="22"/>
          <w:szCs w:val="22"/>
        </w:rPr>
        <w:t>This balanced approach is particularly well-suited to a multi-country alliance, where legal, cultural, and historical understandings of minority status vary significantly. Prioritising a single minority lens could obscure other relevant forms of marginalisation and reduce the broader applicability of our shared policy framework.</w:t>
      </w:r>
    </w:p>
    <w:p w14:paraId="4937A735" w14:textId="77777777" w:rsidR="001F31D9" w:rsidRPr="00DA2128" w:rsidRDefault="001F31D9" w:rsidP="00A937C6">
      <w:pPr>
        <w:spacing w:line="240" w:lineRule="auto"/>
        <w:rPr>
          <w:sz w:val="22"/>
          <w:szCs w:val="22"/>
        </w:rPr>
      </w:pPr>
      <w:r w:rsidRPr="00DA2128">
        <w:rPr>
          <w:sz w:val="22"/>
          <w:szCs w:val="22"/>
        </w:rPr>
        <w:t>Instead, inclusive mechanisms are embedded at all levels of documentation, dissemination, and communication—drawing on evidence, cross-cutting insights, and institutional consultation—so that minority perspectives are integrated systematically and sustainably, rather than through ad hoc or symbolic representation.</w:t>
      </w:r>
    </w:p>
    <w:p w14:paraId="56660DE1" w14:textId="77777777" w:rsidR="00AB5CF6" w:rsidRPr="00DA2128" w:rsidRDefault="00AB5CF6" w:rsidP="00A937C6">
      <w:pPr>
        <w:spacing w:line="240" w:lineRule="auto"/>
        <w:rPr>
          <w:sz w:val="22"/>
          <w:szCs w:val="22"/>
        </w:rPr>
      </w:pPr>
    </w:p>
    <w:p w14:paraId="77168381" w14:textId="77777777" w:rsidR="001F31D9" w:rsidRPr="00DA2128" w:rsidRDefault="001F31D9" w:rsidP="00A937C6">
      <w:pPr>
        <w:pStyle w:val="Subtitle"/>
        <w:spacing w:line="240" w:lineRule="auto"/>
        <w:rPr>
          <w:noProof w:val="0"/>
        </w:rPr>
      </w:pPr>
      <w:r w:rsidRPr="00DA2128">
        <w:rPr>
          <w:noProof w:val="0"/>
        </w:rPr>
        <w:t>Role of Representation in the Alliance</w:t>
      </w:r>
    </w:p>
    <w:p w14:paraId="35BFD13E" w14:textId="77777777" w:rsidR="001F31D9" w:rsidRPr="00DA2128" w:rsidRDefault="001F31D9" w:rsidP="00A937C6">
      <w:pPr>
        <w:pStyle w:val="Sub-subheading"/>
        <w:spacing w:line="240" w:lineRule="auto"/>
      </w:pPr>
      <w:r w:rsidRPr="00DA2128">
        <w:t>Student Representation and IMAGINE Events</w:t>
      </w:r>
    </w:p>
    <w:p w14:paraId="1ACB0839" w14:textId="77777777" w:rsidR="001F31D9" w:rsidRPr="00DA2128" w:rsidRDefault="001F31D9" w:rsidP="00A937C6">
      <w:pPr>
        <w:spacing w:line="240" w:lineRule="auto"/>
        <w:rPr>
          <w:sz w:val="22"/>
          <w:szCs w:val="22"/>
        </w:rPr>
      </w:pPr>
      <w:r w:rsidRPr="00DA2128">
        <w:rPr>
          <w:sz w:val="22"/>
          <w:szCs w:val="22"/>
        </w:rPr>
        <w:t>Student representation has been a consistent feature of COLOURS activities. However, one of the persistent challenges is the transitional nature of the student body: graduations, exchanges, and changing responsibilities complicate continuity and can make sustained representation on committees difficult to achieve. Traditional models of student representation tend to rely on small groups of already highly engaged individuals, which risks creating an “elite of super-engaged students” who may not reflect the diversity of the broader student population (Bovill, 2020).</w:t>
      </w:r>
    </w:p>
    <w:p w14:paraId="7A073E3B" w14:textId="77777777" w:rsidR="001F31D9" w:rsidRPr="00DA2128" w:rsidRDefault="001F31D9" w:rsidP="00A937C6">
      <w:pPr>
        <w:spacing w:line="240" w:lineRule="auto"/>
        <w:rPr>
          <w:sz w:val="22"/>
          <w:szCs w:val="22"/>
        </w:rPr>
      </w:pPr>
      <w:r w:rsidRPr="00DA2128">
        <w:rPr>
          <w:sz w:val="22"/>
          <w:szCs w:val="22"/>
        </w:rPr>
        <w:t>To address these challenges, the IMAGINE events provide a more comprehensive mechanism for engaging a broad cross-section of students at each partner university. With 392 students participating over two days, these events extend far beyond tokenistic consultation. They create spaces for reflection, structured dialogue, and creative expression around EDI themes. The findings are systematically evaluated and directly inform project outputs, ensuring that student perspectives are embedded within EDI strategies rather than treated as supplementary.</w:t>
      </w:r>
    </w:p>
    <w:p w14:paraId="02EB613D" w14:textId="77777777" w:rsidR="001F31D9" w:rsidRPr="00DA2128" w:rsidRDefault="001F31D9" w:rsidP="00A937C6">
      <w:pPr>
        <w:spacing w:line="240" w:lineRule="auto"/>
        <w:rPr>
          <w:sz w:val="22"/>
          <w:szCs w:val="22"/>
        </w:rPr>
      </w:pPr>
      <w:r w:rsidRPr="00DA2128">
        <w:rPr>
          <w:sz w:val="22"/>
          <w:szCs w:val="22"/>
        </w:rPr>
        <w:t>This approach aligns with the argument for whole-class co-creation in higher education, which emphasises moving beyond consultation with a small, often unrepresentative group of students to instead involve all learners in shaping teaching, learning, and institutional practices. By embedding participation at the collective level, whole-class co-creation fosters inclusivity, ensures a wider diversity of perspectives, and reduces the risk of privileging only the voices of already highly engaged students. (Bovill, 2020). Whereas many student partnership initiatives focus on small, pre-selected groups of already-privileged students, whole-class approaches actively involve all participants in negotiating aspects of teaching, learning, and institutional practice. Such methods are inherently more inclusive, offering opportunities for students who might otherwise be marginalised or overlooked to shape outcomes (Mercer-Mapstone and Bovill, 2020).</w:t>
      </w:r>
    </w:p>
    <w:p w14:paraId="1AFE01C2" w14:textId="77777777" w:rsidR="001F31D9" w:rsidRPr="00DA2128" w:rsidRDefault="001F31D9" w:rsidP="00A937C6">
      <w:pPr>
        <w:spacing w:line="240" w:lineRule="auto"/>
        <w:rPr>
          <w:sz w:val="22"/>
          <w:szCs w:val="22"/>
        </w:rPr>
      </w:pPr>
      <w:r w:rsidRPr="00DA2128">
        <w:rPr>
          <w:sz w:val="22"/>
          <w:szCs w:val="22"/>
        </w:rPr>
        <w:t>Evidence from co-creation studies shows that whole-class engagement has several benefits: students report greater confidence, motivation, and ownership of outcomes; improved skills such as teamwork and critical reflection; and a stronger sense of belonging to a learning community (Bovill et al., 2011, Deeley and Bovill, 2017). Crucially, it also fosters positive staff–student and student–student relationships, which are central to sustainable engagement (Cook-Sather et al., 2014). By situating IMAGINE within this pedagogical framework, the Alliance ensures that participation is not confined to a token few but extends to a vast, diverse student body in line with principles of inclusion and equity.</w:t>
      </w:r>
    </w:p>
    <w:p w14:paraId="1D96237B" w14:textId="77777777" w:rsidR="001F31D9" w:rsidRPr="00DA2128" w:rsidRDefault="001F31D9" w:rsidP="00A937C6">
      <w:pPr>
        <w:spacing w:line="240" w:lineRule="auto"/>
        <w:rPr>
          <w:sz w:val="22"/>
          <w:szCs w:val="22"/>
        </w:rPr>
      </w:pPr>
      <w:r w:rsidRPr="00DA2128">
        <w:rPr>
          <w:sz w:val="22"/>
          <w:szCs w:val="22"/>
        </w:rPr>
        <w:t>In this way, IMAGINE events operate as a practical expression of whole-class co-creation principles. They demonstrate that it is possible to scale up meaningful student involvement, ensuring that insights from nearly 400 students directly shape project development. This not only enhances the quality of the outputs but also models a democratic and participatory approach to EDI, countering the risks of tokenism inherent in narrow or selective student representation models.</w:t>
      </w:r>
    </w:p>
    <w:p w14:paraId="23DBF26A" w14:textId="77777777" w:rsidR="001F31D9" w:rsidRPr="00DA2128" w:rsidRDefault="001F31D9" w:rsidP="00A937C6">
      <w:pPr>
        <w:pStyle w:val="Sub-subheading"/>
        <w:spacing w:line="240" w:lineRule="auto"/>
      </w:pPr>
      <w:r w:rsidRPr="00DA2128">
        <w:t>Representation in Power Structures</w:t>
      </w:r>
    </w:p>
    <w:p w14:paraId="47EF7FFC" w14:textId="77777777" w:rsidR="001F31D9" w:rsidRPr="00DA2128" w:rsidRDefault="001F31D9" w:rsidP="00A937C6">
      <w:pPr>
        <w:spacing w:line="240" w:lineRule="auto"/>
        <w:rPr>
          <w:sz w:val="22"/>
          <w:szCs w:val="22"/>
        </w:rPr>
      </w:pPr>
      <w:r w:rsidRPr="00DA2128">
        <w:rPr>
          <w:sz w:val="22"/>
          <w:szCs w:val="22"/>
        </w:rPr>
        <w:t>Proposals to convene hybrid meetings of minority representatives in leadership roles across all nine partner universities are not feasible or effective. Contextual differences make it difficult to define “minority representation” consistently, and such meetings risk reinforcing hierarchical dynamics rather than enabling genuine co-creation.</w:t>
      </w:r>
    </w:p>
    <w:p w14:paraId="4A0DB838" w14:textId="77777777" w:rsidR="001F31D9" w:rsidRPr="00DA2128" w:rsidRDefault="001F31D9" w:rsidP="00A937C6">
      <w:pPr>
        <w:spacing w:line="240" w:lineRule="auto"/>
        <w:rPr>
          <w:sz w:val="22"/>
          <w:szCs w:val="22"/>
        </w:rPr>
      </w:pPr>
      <w:r w:rsidRPr="00DA2128">
        <w:rPr>
          <w:sz w:val="22"/>
          <w:szCs w:val="22"/>
        </w:rPr>
        <w:t>Embedding inclusive mechanisms into institutional processes, rather than convening one-off symbolic gatherings, ensures that representation is meaningful and sustainable.</w:t>
      </w:r>
    </w:p>
    <w:p w14:paraId="0B6115BD" w14:textId="77777777" w:rsidR="001F31D9" w:rsidRPr="00DA2128" w:rsidRDefault="001F31D9" w:rsidP="00A937C6">
      <w:pPr>
        <w:spacing w:line="240" w:lineRule="auto"/>
        <w:rPr>
          <w:sz w:val="22"/>
          <w:szCs w:val="22"/>
        </w:rPr>
      </w:pPr>
    </w:p>
    <w:p w14:paraId="268B9B86" w14:textId="77777777" w:rsidR="001F31D9" w:rsidRPr="00DA2128" w:rsidRDefault="001F31D9" w:rsidP="00A937C6">
      <w:pPr>
        <w:pStyle w:val="Subtitle"/>
        <w:spacing w:line="240" w:lineRule="auto"/>
        <w:rPr>
          <w:noProof w:val="0"/>
        </w:rPr>
      </w:pPr>
      <w:r w:rsidRPr="00DA2128">
        <w:rPr>
          <w:noProof w:val="0"/>
        </w:rPr>
        <w:t>Ethical &amp; Legal Analysis</w:t>
      </w:r>
    </w:p>
    <w:p w14:paraId="54DA2F6E" w14:textId="77777777" w:rsidR="001F31D9" w:rsidRPr="00DA2128" w:rsidRDefault="001F31D9" w:rsidP="00A937C6">
      <w:pPr>
        <w:pStyle w:val="Sub-subheading"/>
        <w:spacing w:line="240" w:lineRule="auto"/>
      </w:pPr>
      <w:r w:rsidRPr="00DA2128">
        <w:t>Tokenistic Risks in Data Disclosure</w:t>
      </w:r>
    </w:p>
    <w:p w14:paraId="515A814D" w14:textId="77777777" w:rsidR="001F31D9" w:rsidRPr="00DA2128" w:rsidRDefault="001F31D9" w:rsidP="00A937C6">
      <w:pPr>
        <w:spacing w:line="240" w:lineRule="auto"/>
        <w:rPr>
          <w:sz w:val="22"/>
          <w:szCs w:val="22"/>
        </w:rPr>
      </w:pPr>
      <w:r w:rsidRPr="00DA2128">
        <w:rPr>
          <w:sz w:val="22"/>
          <w:szCs w:val="22"/>
        </w:rPr>
        <w:t>Publishing demographic headcounts, especially in small departments, risks reducing individuals to tokens. Research has long shown that individuals from minority groups can experience disproportionate visibility and pressure when they are the only representatives of their identity within an organisation. More recent studies confirm that this remains a persistent problem, with evidence demonstrating that tokenism has enduring negative consequences for wellbeing, career progression, and sense of belonging, while also heightening stigma consciousness and undermining empowerment in academic settings. Taken together, these insights confirm that disclosing raw headcounts risks exacerbating the very dynamics EDI seeks to overcome (Kanter, 1977, Childress et al., 2024, Lambert et al., 2025, Liu et al., 2024).</w:t>
      </w:r>
    </w:p>
    <w:p w14:paraId="181F47DC" w14:textId="77777777" w:rsidR="001F31D9" w:rsidRPr="00DA2128" w:rsidRDefault="001F31D9" w:rsidP="00A937C6">
      <w:pPr>
        <w:spacing w:line="240" w:lineRule="auto"/>
        <w:rPr>
          <w:color w:val="595959" w:themeColor="text1" w:themeTint="A6"/>
          <w:sz w:val="28"/>
          <w:szCs w:val="28"/>
        </w:rPr>
      </w:pPr>
      <w:r w:rsidRPr="00DA2128">
        <w:rPr>
          <w:color w:val="595959" w:themeColor="text1" w:themeTint="A6"/>
          <w:sz w:val="28"/>
          <w:szCs w:val="28"/>
        </w:rPr>
        <w:t>Legal Frameworks</w:t>
      </w:r>
    </w:p>
    <w:p w14:paraId="03147115" w14:textId="534BCA7C" w:rsidR="001F31D9" w:rsidRPr="00DA2128" w:rsidRDefault="001F31D9" w:rsidP="00A937C6">
      <w:pPr>
        <w:spacing w:line="240" w:lineRule="auto"/>
        <w:rPr>
          <w:sz w:val="22"/>
          <w:szCs w:val="22"/>
        </w:rPr>
      </w:pPr>
      <w:r w:rsidRPr="00DA2128">
        <w:rPr>
          <w:sz w:val="22"/>
          <w:szCs w:val="22"/>
        </w:rPr>
        <w:t>•</w:t>
      </w:r>
      <w:r w:rsidR="00AB5CF6" w:rsidRPr="00DA2128">
        <w:rPr>
          <w:sz w:val="22"/>
          <w:szCs w:val="22"/>
        </w:rPr>
        <w:t xml:space="preserve"> </w:t>
      </w:r>
      <w:r w:rsidRPr="00DA2128">
        <w:rPr>
          <w:sz w:val="22"/>
          <w:szCs w:val="22"/>
        </w:rPr>
        <w:t>Equality Act 2010: Requires proportionality in addressing equality issues and mandates that equality data collection respect dignity and confidentiality (https://www.legislation.gov.uk/ukpga/2010/15/contents).</w:t>
      </w:r>
    </w:p>
    <w:p w14:paraId="4242E1E9" w14:textId="2F1BB6F3" w:rsidR="001F31D9" w:rsidRPr="00DA2128" w:rsidRDefault="001F31D9" w:rsidP="00A937C6">
      <w:pPr>
        <w:spacing w:line="240" w:lineRule="auto"/>
        <w:rPr>
          <w:sz w:val="22"/>
          <w:szCs w:val="22"/>
        </w:rPr>
      </w:pPr>
      <w:r w:rsidRPr="00DA2128">
        <w:rPr>
          <w:sz w:val="22"/>
          <w:szCs w:val="22"/>
        </w:rPr>
        <w:t>•</w:t>
      </w:r>
      <w:r w:rsidR="00AB5CF6" w:rsidRPr="00DA2128">
        <w:rPr>
          <w:sz w:val="22"/>
          <w:szCs w:val="22"/>
        </w:rPr>
        <w:t xml:space="preserve"> </w:t>
      </w:r>
      <w:r w:rsidRPr="00DA2128">
        <w:rPr>
          <w:sz w:val="22"/>
          <w:szCs w:val="22"/>
        </w:rPr>
        <w:t>GDPR: Special category data, such as ethnic origin, disability, or sexual orientation, must only be processed with strict safeguards, including necessity, consent, and anonymisation. Publishing identifiable headcounts in small cohorts may constitute unlawful processing (https://gdpr-info.eu).</w:t>
      </w:r>
    </w:p>
    <w:p w14:paraId="1AE172BA" w14:textId="07E9EDAE" w:rsidR="001F31D9" w:rsidRPr="00DA2128" w:rsidRDefault="001F31D9" w:rsidP="00A937C6">
      <w:pPr>
        <w:spacing w:line="240" w:lineRule="auto"/>
        <w:rPr>
          <w:sz w:val="22"/>
          <w:szCs w:val="22"/>
        </w:rPr>
      </w:pPr>
      <w:r w:rsidRPr="00DA2128">
        <w:rPr>
          <w:sz w:val="22"/>
          <w:szCs w:val="22"/>
        </w:rPr>
        <w:t>•</w:t>
      </w:r>
      <w:r w:rsidR="00AB5CF6" w:rsidRPr="00DA2128">
        <w:rPr>
          <w:sz w:val="22"/>
          <w:szCs w:val="22"/>
        </w:rPr>
        <w:t xml:space="preserve"> </w:t>
      </w:r>
      <w:r w:rsidRPr="00DA2128">
        <w:rPr>
          <w:sz w:val="22"/>
          <w:szCs w:val="22"/>
        </w:rPr>
        <w:t>EU Anti-Racism Action Plan (2020–2025): Calls for disaggregated equality data but stresses safeguards against misuse and overexposure (European Commission, 2020a).</w:t>
      </w:r>
    </w:p>
    <w:p w14:paraId="55FB1433" w14:textId="74C71151" w:rsidR="001F31D9" w:rsidRPr="00DA2128" w:rsidRDefault="001F31D9" w:rsidP="00A937C6">
      <w:pPr>
        <w:spacing w:line="240" w:lineRule="auto"/>
        <w:rPr>
          <w:sz w:val="22"/>
          <w:szCs w:val="22"/>
        </w:rPr>
      </w:pPr>
      <w:r w:rsidRPr="00DA2128">
        <w:rPr>
          <w:sz w:val="22"/>
          <w:szCs w:val="22"/>
        </w:rPr>
        <w:t>•</w:t>
      </w:r>
      <w:r w:rsidR="00AB5CF6" w:rsidRPr="00DA2128">
        <w:rPr>
          <w:sz w:val="22"/>
          <w:szCs w:val="22"/>
        </w:rPr>
        <w:t xml:space="preserve"> </w:t>
      </w:r>
      <w:r w:rsidRPr="00DA2128">
        <w:rPr>
          <w:sz w:val="22"/>
          <w:szCs w:val="22"/>
        </w:rPr>
        <w:t>European Commission Guidance Note: Stresses proportionality, anonymisation, and the “do no harm” principle (European Commission, 2021).</w:t>
      </w:r>
    </w:p>
    <w:p w14:paraId="1C42BF12" w14:textId="04608D1A" w:rsidR="001F31D9" w:rsidRPr="00DA2128" w:rsidRDefault="001F31D9" w:rsidP="00A937C6">
      <w:pPr>
        <w:spacing w:line="240" w:lineRule="auto"/>
        <w:rPr>
          <w:sz w:val="22"/>
          <w:szCs w:val="22"/>
        </w:rPr>
      </w:pPr>
      <w:r w:rsidRPr="00DA2128">
        <w:rPr>
          <w:sz w:val="22"/>
          <w:szCs w:val="22"/>
        </w:rPr>
        <w:t>•</w:t>
      </w:r>
      <w:r w:rsidR="00AB5CF6" w:rsidRPr="00DA2128">
        <w:rPr>
          <w:sz w:val="22"/>
          <w:szCs w:val="22"/>
        </w:rPr>
        <w:t xml:space="preserve"> </w:t>
      </w:r>
      <w:r w:rsidRPr="00DA2128">
        <w:rPr>
          <w:sz w:val="22"/>
          <w:szCs w:val="22"/>
        </w:rPr>
        <w:t>Sector Charters: Initiatives such as Athena SWAN (https://www.advance-he.ac.uk/equality-charters/athena-swan-charter) and the Race Equality Charter (https://www.advance-he.ac.uk/equality-charters/race-equality-charter) also caution against narrow or tokenistic metrics, instead requiring aggregated and contextualised data.</w:t>
      </w:r>
    </w:p>
    <w:p w14:paraId="47A8E783" w14:textId="77777777" w:rsidR="001F31D9" w:rsidRPr="00DA2128" w:rsidRDefault="001F31D9" w:rsidP="00A937C6">
      <w:pPr>
        <w:spacing w:line="240" w:lineRule="auto"/>
        <w:rPr>
          <w:color w:val="595959" w:themeColor="text1" w:themeTint="A6"/>
          <w:sz w:val="28"/>
          <w:szCs w:val="28"/>
        </w:rPr>
      </w:pPr>
      <w:r w:rsidRPr="00DA2128">
        <w:rPr>
          <w:color w:val="595959" w:themeColor="text1" w:themeTint="A6"/>
          <w:sz w:val="28"/>
          <w:szCs w:val="28"/>
        </w:rPr>
        <w:t>Ethical Balancing</w:t>
      </w:r>
    </w:p>
    <w:p w14:paraId="35C65B7E" w14:textId="77777777" w:rsidR="001F31D9" w:rsidRPr="00DA2128" w:rsidRDefault="001F31D9" w:rsidP="00A937C6">
      <w:pPr>
        <w:spacing w:line="240" w:lineRule="auto"/>
        <w:rPr>
          <w:sz w:val="22"/>
          <w:szCs w:val="22"/>
        </w:rPr>
      </w:pPr>
      <w:r w:rsidRPr="00DA2128">
        <w:rPr>
          <w:sz w:val="22"/>
          <w:szCs w:val="22"/>
        </w:rPr>
        <w:t>The ethical challenge is balancing the imperative of transparency with the obligation to protect individuals from harm. On one hand, data disclosure can support accountability and signal institutional commitment to change. On the other hand, it can produce tokenistic visibility, breach confidentiality, and erode trust. Evidence from corporate governance shows that the appointment of a small number of women to boards often creates symbolic rather than substantive change, a pattern that mirrors the risks in higher education if demographic counts are prioritised over structural reform (Nakajima et al., 2025). The Eurydice report emphasises the importance of contextualised, aggregated, and intersectional approaches (Crosier, 2022).</w:t>
      </w:r>
    </w:p>
    <w:p w14:paraId="15B0AE84" w14:textId="77777777" w:rsidR="001F31D9" w:rsidRPr="00DA2128" w:rsidRDefault="001F31D9" w:rsidP="00A937C6">
      <w:pPr>
        <w:spacing w:line="240" w:lineRule="auto"/>
        <w:rPr>
          <w:sz w:val="22"/>
          <w:szCs w:val="22"/>
        </w:rPr>
      </w:pPr>
      <w:r w:rsidRPr="00DA2128">
        <w:rPr>
          <w:sz w:val="22"/>
          <w:szCs w:val="22"/>
        </w:rPr>
        <w:t>Taken together, the contemporary evidence shows that tokenistic disclosure is both ethically hazardous and legally precarious. It undermines equity by shifting attention to symbolic numbers rather than systemic barriers. A rights-based and intersectional approach to EDI, therefore, requires resisting reductive demographic counts and instead embedding inclusion through structural, cultural, and participatory practices.</w:t>
      </w:r>
    </w:p>
    <w:p w14:paraId="3623CB35" w14:textId="77777777" w:rsidR="001F31D9" w:rsidRPr="00DA2128" w:rsidRDefault="001F31D9" w:rsidP="00A937C6">
      <w:pPr>
        <w:spacing w:line="240" w:lineRule="auto"/>
        <w:rPr>
          <w:sz w:val="22"/>
          <w:szCs w:val="22"/>
        </w:rPr>
      </w:pPr>
    </w:p>
    <w:p w14:paraId="16376E26" w14:textId="77777777" w:rsidR="001F31D9" w:rsidRPr="00DA2128" w:rsidRDefault="001F31D9" w:rsidP="00A937C6">
      <w:pPr>
        <w:pStyle w:val="Subtitle"/>
        <w:spacing w:line="240" w:lineRule="auto"/>
        <w:rPr>
          <w:noProof w:val="0"/>
        </w:rPr>
      </w:pPr>
      <w:r w:rsidRPr="00DA2128">
        <w:rPr>
          <w:noProof w:val="0"/>
        </w:rPr>
        <w:t>Methodological Critique</w:t>
      </w:r>
    </w:p>
    <w:p w14:paraId="67895CA1" w14:textId="77777777" w:rsidR="001F31D9" w:rsidRPr="00DA2128" w:rsidRDefault="001F31D9" w:rsidP="00A937C6">
      <w:pPr>
        <w:spacing w:line="240" w:lineRule="auto"/>
        <w:rPr>
          <w:color w:val="595959" w:themeColor="text1" w:themeTint="A6"/>
          <w:sz w:val="28"/>
          <w:szCs w:val="28"/>
        </w:rPr>
      </w:pPr>
      <w:r w:rsidRPr="00DA2128">
        <w:rPr>
          <w:color w:val="595959" w:themeColor="text1" w:themeTint="A6"/>
          <w:sz w:val="28"/>
          <w:szCs w:val="28"/>
        </w:rPr>
        <w:t>Tokenism and Numerical Reduction</w:t>
      </w:r>
    </w:p>
    <w:p w14:paraId="1BB36881" w14:textId="77777777" w:rsidR="001F31D9" w:rsidRPr="00DA2128" w:rsidRDefault="001F31D9" w:rsidP="00A937C6">
      <w:pPr>
        <w:spacing w:line="240" w:lineRule="auto"/>
        <w:rPr>
          <w:sz w:val="22"/>
          <w:szCs w:val="22"/>
        </w:rPr>
      </w:pPr>
      <w:r w:rsidRPr="00DA2128">
        <w:rPr>
          <w:sz w:val="22"/>
          <w:szCs w:val="22"/>
        </w:rPr>
        <w:t>Raw demographic counts can reduce individuals to symbols of diversity and obscure systemic barriers. They risk reinforcing stereotypes (“diversity box-ticking”) and flattening complex identities into single categories.</w:t>
      </w:r>
    </w:p>
    <w:p w14:paraId="4CBCD270" w14:textId="77777777" w:rsidR="001F31D9" w:rsidRPr="00DA2128" w:rsidRDefault="001F31D9" w:rsidP="00A937C6">
      <w:pPr>
        <w:spacing w:line="240" w:lineRule="auto"/>
        <w:rPr>
          <w:color w:val="595959" w:themeColor="text1" w:themeTint="A6"/>
          <w:sz w:val="28"/>
          <w:szCs w:val="28"/>
        </w:rPr>
      </w:pPr>
      <w:r w:rsidRPr="00DA2128">
        <w:rPr>
          <w:color w:val="595959" w:themeColor="text1" w:themeTint="A6"/>
          <w:sz w:val="28"/>
          <w:szCs w:val="28"/>
        </w:rPr>
        <w:t>Expanded Tokenism Risks</w:t>
      </w:r>
    </w:p>
    <w:p w14:paraId="02E1E7A9" w14:textId="77777777" w:rsidR="001F31D9" w:rsidRPr="00DA2128" w:rsidRDefault="001F31D9" w:rsidP="00A937C6">
      <w:pPr>
        <w:spacing w:line="240" w:lineRule="auto"/>
        <w:rPr>
          <w:sz w:val="22"/>
          <w:szCs w:val="22"/>
        </w:rPr>
      </w:pPr>
      <w:r w:rsidRPr="00DA2128">
        <w:rPr>
          <w:sz w:val="22"/>
          <w:szCs w:val="22"/>
        </w:rPr>
        <w:t>Recent scholarship provides compelling evidence that tokenism remains a significant risk when institutions rely on superficial mechanisms such as publishing raw demographic headcounts or implementing narrow participation schemes to demonstrate progress on EDI. One study argues that higher education institutions often default to box-ticking frameworks, where diversity and inclusion are demonstrated through symbolic gestures rather than substantive structural reform (Graham and Lindsay, 2025). Their analysis highlights how the voices of marginalised students are frequently absent in assessment design, governance, and curriculum development. Instead of engaging in genuine co-creation, universities risk presenting token participation as evidence of inclusivity, thereby reproducing the very hierarchies and exclusions they claim to challenge.</w:t>
      </w:r>
    </w:p>
    <w:p w14:paraId="2F80F11F" w14:textId="77777777" w:rsidR="001F31D9" w:rsidRPr="00DA2128" w:rsidRDefault="001F31D9" w:rsidP="00A937C6">
      <w:pPr>
        <w:spacing w:line="240" w:lineRule="auto"/>
        <w:rPr>
          <w:sz w:val="22"/>
          <w:szCs w:val="22"/>
        </w:rPr>
      </w:pPr>
      <w:r w:rsidRPr="00DA2128">
        <w:rPr>
          <w:sz w:val="22"/>
          <w:szCs w:val="22"/>
        </w:rPr>
        <w:t xml:space="preserve">This critique echoes in another study, which cautions that student voice initiatives can easily devolve into tick-box exercises when institutions prioritise metrics and compliance over authentic dialogue and shared decision-making (Louth et al., 2019). These thoughts resonate in another study that likewise emphasises that engaging students as partners in learning and teaching requires a fundamental shift in power relations; anything less risks positioning students as passive consultees rather than active collaborators (Cook-Sather et al., 2014). This reinforces the position by showing that genuine co-creation at the whole-class level can transform higher education practices, but only if institutions are prepared to confront the embedded structural inequalities that constrain participation (Bovill, 2020). </w:t>
      </w:r>
    </w:p>
    <w:p w14:paraId="00AF0AFC" w14:textId="77777777" w:rsidR="001F31D9" w:rsidRPr="00DA2128" w:rsidRDefault="001F31D9" w:rsidP="00A937C6">
      <w:pPr>
        <w:spacing w:line="240" w:lineRule="auto"/>
        <w:rPr>
          <w:sz w:val="22"/>
          <w:szCs w:val="22"/>
        </w:rPr>
      </w:pPr>
      <w:r w:rsidRPr="00DA2128">
        <w:rPr>
          <w:sz w:val="22"/>
          <w:szCs w:val="22"/>
        </w:rPr>
        <w:t>Applied to EDI monitoring, these insights reveal that publishing demographic headcounts operates in the same tokenistic mode. Statements such as “three professors from ethnic minority backgrounds” or “two Roma students enrolled in this programme” do not illuminate systemic barriers; rather, they present individuals as symbols of diversity, reinforcing the impression that their value is tied to demographic identity rather than their academic contributions or learning potential. For students in particular, such practices risk intensifying stigma by positioning them as representatives of their community, rather than as learners with diverse, individual experiences. This visibility can exacerbate pressure, reinforce stereotypes, and legitimise deficit narratives suggesting that under-representation stems from a lack of capability or aspiration, rather than systemic exclusion.</w:t>
      </w:r>
    </w:p>
    <w:p w14:paraId="56450C0F" w14:textId="77777777" w:rsidR="001F31D9" w:rsidRPr="00DA2128" w:rsidRDefault="001F31D9" w:rsidP="00A937C6">
      <w:pPr>
        <w:spacing w:line="240" w:lineRule="auto"/>
        <w:rPr>
          <w:sz w:val="22"/>
          <w:szCs w:val="22"/>
        </w:rPr>
      </w:pPr>
      <w:r w:rsidRPr="00DA2128">
        <w:rPr>
          <w:sz w:val="22"/>
          <w:szCs w:val="22"/>
        </w:rPr>
        <w:t>Moreover, when demographic counts are reported at the level of small departments or faculties, there is a clear risk of re-identification and breaches of confidentiality under GDPR. Such practices undermine dignity and can erode trust, particularly where disclosure of personal characteristics depends on whether individuals feel safe from discrimination (Claeys-Kulik et al., 2019). Importantly, these headcount approaches also conflict with an intersectional EDI perspective by flattening overlapping and multidimensional identities into singular categories such as “gender” or “ethnicity.” This risks erasing those who live at the intersections of multiple disadvantages, including, for instance, women of colour, LGBTQ+ students with disabilities, or first-generation migrants from low-income backgrounds.</w:t>
      </w:r>
    </w:p>
    <w:p w14:paraId="31EC833A" w14:textId="77777777" w:rsidR="001F31D9" w:rsidRPr="00DA2128" w:rsidRDefault="001F31D9" w:rsidP="00A937C6">
      <w:pPr>
        <w:spacing w:line="240" w:lineRule="auto"/>
        <w:rPr>
          <w:sz w:val="22"/>
          <w:szCs w:val="22"/>
        </w:rPr>
      </w:pPr>
      <w:r w:rsidRPr="00DA2128">
        <w:rPr>
          <w:sz w:val="22"/>
          <w:szCs w:val="22"/>
        </w:rPr>
        <w:t>The European Commission’s Anti-Racism Action Plan (European Commission, 2020a) and Guidance Note on Equality Data (European Commission, 2021) both reinforce these concerns. While stressing the importance of equality data to expose discrimination and support accountability, they equally underscore the principles of proportionality, anonymisation, and the “do no harm” approach, warning that careless use of statistics can perpetuate rather than dismantle inequalities. When numbers are presented without nuance, context, or safeguards, they risk reinforcing tokenism, obscuring structural inequities, and creating the appearance of inclusivity without addressing the underlying cultural and institutional barriers that sustain inequality.</w:t>
      </w:r>
    </w:p>
    <w:p w14:paraId="59731CF6" w14:textId="77777777" w:rsidR="001F31D9" w:rsidRPr="00DA2128" w:rsidRDefault="001F31D9" w:rsidP="00A937C6">
      <w:pPr>
        <w:spacing w:line="240" w:lineRule="auto"/>
        <w:rPr>
          <w:color w:val="595959" w:themeColor="text1" w:themeTint="A6"/>
          <w:sz w:val="28"/>
          <w:szCs w:val="28"/>
        </w:rPr>
      </w:pPr>
      <w:r w:rsidRPr="00DA2128">
        <w:rPr>
          <w:color w:val="595959" w:themeColor="text1" w:themeTint="A6"/>
          <w:sz w:val="28"/>
          <w:szCs w:val="28"/>
        </w:rPr>
        <w:t>Contextual and Comparative Challenges</w:t>
      </w:r>
    </w:p>
    <w:p w14:paraId="302B01DA" w14:textId="77777777" w:rsidR="001F31D9" w:rsidRPr="00DA2128" w:rsidRDefault="001F31D9" w:rsidP="00A937C6">
      <w:pPr>
        <w:spacing w:line="240" w:lineRule="auto"/>
        <w:rPr>
          <w:sz w:val="22"/>
          <w:szCs w:val="22"/>
        </w:rPr>
      </w:pPr>
      <w:r w:rsidRPr="00DA2128">
        <w:rPr>
          <w:sz w:val="22"/>
          <w:szCs w:val="22"/>
        </w:rPr>
        <w:t>The  INVITED report (Claeys-Kulik et al., 2019) shows that underrepresentation varies across Europe: in some contexts, gender dominates, in others, socio-economic or ethnic dimensions are more prominent. Applying a one-size-fits-all metric across nine partner universities would be misleading and ultimately not functional, as it would obscure the significant cultural, legal, and demographic differences between institutions. Such an approach risks flattening complex realities into a single framework, producing data that lacks validity, comparability, and practical value for guiding meaningful EDI strategies. From an intersectional perspective, this is particularly problematic because it erases the overlapping and context-specific identities that shape how exclusion and discrimination are experienced. Metrics that focus narrowly on isolated categories, such as gender or ethnicity in isolation, fail to account for the compounded disadvantages faced by, for example, migrant women from low-income backgrounds or LGBTQ+ students with disabilities. By imposing uniform indicators, institutions risk both misrepresenting the lived realities of underrepresented groups and overlooking the structural barriers that differ across local contexts.</w:t>
      </w:r>
    </w:p>
    <w:p w14:paraId="7CF2E507" w14:textId="77777777" w:rsidR="001F31D9" w:rsidRPr="00DA2128" w:rsidRDefault="001F31D9" w:rsidP="00A937C6">
      <w:pPr>
        <w:spacing w:line="240" w:lineRule="auto"/>
        <w:rPr>
          <w:color w:val="595959" w:themeColor="text1" w:themeTint="A6"/>
          <w:sz w:val="28"/>
          <w:szCs w:val="28"/>
        </w:rPr>
      </w:pPr>
      <w:r w:rsidRPr="00DA2128">
        <w:rPr>
          <w:color w:val="595959" w:themeColor="text1" w:themeTint="A6"/>
          <w:sz w:val="28"/>
          <w:szCs w:val="28"/>
        </w:rPr>
        <w:t>Data and Monitoring</w:t>
      </w:r>
    </w:p>
    <w:p w14:paraId="0D493FC6" w14:textId="77777777" w:rsidR="001F31D9" w:rsidRPr="00DA2128" w:rsidRDefault="001F31D9" w:rsidP="00A937C6">
      <w:pPr>
        <w:spacing w:line="240" w:lineRule="auto"/>
        <w:rPr>
          <w:sz w:val="22"/>
          <w:szCs w:val="22"/>
        </w:rPr>
      </w:pPr>
      <w:r w:rsidRPr="00DA2128">
        <w:rPr>
          <w:sz w:val="22"/>
          <w:szCs w:val="22"/>
        </w:rPr>
        <w:t>The INVITED report notes that while most universities collect gender/age data, far fewer collect socio-economic (35%), ethnic/cultural (28%), migration (27%), or sexual identity data (9%) (Claeys-Kulik et al., 2019). This reflects both legal restrictions and ethical sensitivities. As the report states:</w:t>
      </w:r>
    </w:p>
    <w:p w14:paraId="4E2036B7" w14:textId="77777777" w:rsidR="001F31D9" w:rsidRPr="00DA2128" w:rsidRDefault="001F31D9" w:rsidP="00A937C6">
      <w:pPr>
        <w:spacing w:line="240" w:lineRule="auto"/>
        <w:rPr>
          <w:sz w:val="22"/>
          <w:szCs w:val="22"/>
        </w:rPr>
      </w:pPr>
      <w:r w:rsidRPr="00DA2128">
        <w:rPr>
          <w:sz w:val="22"/>
          <w:szCs w:val="22"/>
        </w:rPr>
        <w:t>“Besides legal restrictions with regard to the collection of certain data, questions about data protection and sensitivities around disclosure also play an important role in this regard. While some personal characteristics, such as physical disabilities, might be visible to everyone, others, such as sexual orientation or socio-economic background, might not be, and disclosure depends on how safe from discrimination the person feels. This also points to the question what and in which cases data is actually needed for the purpose of fostering diversity, equity and inclusion” (Claeys-Kulik et al., 2019, p. 32).</w:t>
      </w:r>
    </w:p>
    <w:p w14:paraId="44DFF5A1" w14:textId="77777777" w:rsidR="001F31D9" w:rsidRPr="00DA2128" w:rsidRDefault="001F31D9" w:rsidP="00A937C6">
      <w:pPr>
        <w:spacing w:line="240" w:lineRule="auto"/>
        <w:rPr>
          <w:sz w:val="22"/>
          <w:szCs w:val="22"/>
        </w:rPr>
      </w:pPr>
      <w:r w:rsidRPr="00DA2128">
        <w:rPr>
          <w:sz w:val="22"/>
          <w:szCs w:val="22"/>
        </w:rPr>
        <w:t>Practical barriers are also significant: 53% of HEIs find data collection challenging, and 58% struggle to identify target groups. These limitations reinforce the risks of tokenistic interpretation and highlight the need for careful contextualisation.</w:t>
      </w:r>
    </w:p>
    <w:p w14:paraId="5EDEF196" w14:textId="77777777" w:rsidR="001F31D9" w:rsidRPr="00DA2128" w:rsidRDefault="001F31D9" w:rsidP="00A937C6">
      <w:pPr>
        <w:spacing w:line="240" w:lineRule="auto"/>
        <w:rPr>
          <w:color w:val="595959" w:themeColor="text1" w:themeTint="A6"/>
          <w:sz w:val="28"/>
          <w:szCs w:val="28"/>
        </w:rPr>
      </w:pPr>
      <w:r w:rsidRPr="00DA2128">
        <w:rPr>
          <w:color w:val="595959" w:themeColor="text1" w:themeTint="A6"/>
          <w:sz w:val="28"/>
          <w:szCs w:val="28"/>
        </w:rPr>
        <w:t>Proportionality and Safeguarding Against Harm</w:t>
      </w:r>
    </w:p>
    <w:p w14:paraId="29E6E800" w14:textId="77777777" w:rsidR="001F31D9" w:rsidRPr="00DA2128" w:rsidRDefault="001F31D9" w:rsidP="00A937C6">
      <w:pPr>
        <w:spacing w:line="240" w:lineRule="auto"/>
        <w:rPr>
          <w:sz w:val="22"/>
          <w:szCs w:val="22"/>
        </w:rPr>
      </w:pPr>
      <w:r w:rsidRPr="00DA2128">
        <w:rPr>
          <w:sz w:val="22"/>
          <w:szCs w:val="22"/>
        </w:rPr>
        <w:t>The European Commission’s Guidance Note (European Commission, 2021) underscores that equality data must be collected proportionately, with safeguards against misuse. The “do no harm” principle prohibits data practices that could reinforce stigma or discrimination.</w:t>
      </w:r>
    </w:p>
    <w:p w14:paraId="1A5F200B" w14:textId="77777777" w:rsidR="001F31D9" w:rsidRPr="00DA2128" w:rsidRDefault="001F31D9" w:rsidP="00A937C6">
      <w:pPr>
        <w:spacing w:line="240" w:lineRule="auto"/>
        <w:rPr>
          <w:sz w:val="22"/>
          <w:szCs w:val="22"/>
        </w:rPr>
      </w:pPr>
      <w:r w:rsidRPr="00DA2128">
        <w:rPr>
          <w:sz w:val="22"/>
          <w:szCs w:val="22"/>
        </w:rPr>
        <w:t>Static headcounts fail this test: they erase intersectionality, obscure systemic inequities, and risk re-identification in small academic contexts. The EU aligns with the OHCHR’s human rights-based approach to data, which stresses participation, transparency, accountability, and privacy (Office of the United Nations High Commissioner for Human Rights (OHCHR), 2018). Therefore, equality data should be employed to empower individuals and communities, safeguarding their dignity and building trust, rather than exposing or isolating those it seeks to support.</w:t>
      </w:r>
    </w:p>
    <w:p w14:paraId="4E5D09E1" w14:textId="77777777" w:rsidR="001F31D9" w:rsidRPr="00DA2128" w:rsidRDefault="001F31D9" w:rsidP="00A937C6">
      <w:pPr>
        <w:pStyle w:val="Subtitle"/>
        <w:spacing w:line="240" w:lineRule="auto"/>
        <w:rPr>
          <w:noProof w:val="0"/>
        </w:rPr>
      </w:pPr>
      <w:r w:rsidRPr="00DA2128">
        <w:rPr>
          <w:noProof w:val="0"/>
        </w:rPr>
        <w:t>Conclusion</w:t>
      </w:r>
    </w:p>
    <w:p w14:paraId="6250EC4E" w14:textId="77777777" w:rsidR="001F31D9" w:rsidRPr="00DA2128" w:rsidRDefault="001F31D9" w:rsidP="00A937C6">
      <w:pPr>
        <w:spacing w:line="240" w:lineRule="auto"/>
        <w:rPr>
          <w:sz w:val="22"/>
          <w:szCs w:val="22"/>
        </w:rPr>
      </w:pPr>
      <w:r w:rsidRPr="00DA2128">
        <w:rPr>
          <w:sz w:val="22"/>
          <w:szCs w:val="22"/>
        </w:rPr>
        <w:t>The COLOURS Alliance deliberately chose not to define numerical headcounts of underrepresented groups or assess minority representation in positions of power across partner universities. This decision aligns with EU and international guidance, responds to legal and ethical constraints, and prevents tokenism.</w:t>
      </w:r>
    </w:p>
    <w:p w14:paraId="558657EF" w14:textId="77777777" w:rsidR="001F31D9" w:rsidRPr="00DA2128" w:rsidRDefault="001F31D9" w:rsidP="00A937C6">
      <w:pPr>
        <w:spacing w:line="240" w:lineRule="auto"/>
        <w:rPr>
          <w:sz w:val="22"/>
          <w:szCs w:val="22"/>
        </w:rPr>
      </w:pPr>
      <w:r w:rsidRPr="00DA2128">
        <w:rPr>
          <w:sz w:val="22"/>
          <w:szCs w:val="22"/>
        </w:rPr>
        <w:t>Our EDI strategy prioritises systemic, intersectional change rather than symbolic optics. By embedding inclusivity into structures and processes, we ensure that equity and dignity are upheld, avoiding reductive practices that risk harming those we seek to support.</w:t>
      </w:r>
    </w:p>
    <w:p w14:paraId="1DE83F5F" w14:textId="77777777" w:rsidR="001F31D9" w:rsidRPr="00DA2128" w:rsidRDefault="001F31D9" w:rsidP="00A937C6">
      <w:pPr>
        <w:spacing w:line="240" w:lineRule="auto"/>
        <w:rPr>
          <w:sz w:val="22"/>
          <w:szCs w:val="22"/>
        </w:rPr>
      </w:pPr>
      <w:r w:rsidRPr="00DA2128">
        <w:rPr>
          <w:sz w:val="22"/>
          <w:szCs w:val="22"/>
        </w:rPr>
        <w:t>Assessing EDI in Relation to the Quadruple Helix Framework</w:t>
      </w:r>
    </w:p>
    <w:p w14:paraId="71D3E74A" w14:textId="77777777" w:rsidR="001F31D9" w:rsidRPr="00DA2128" w:rsidRDefault="001F31D9" w:rsidP="00A937C6">
      <w:pPr>
        <w:spacing w:line="240" w:lineRule="auto"/>
        <w:rPr>
          <w:sz w:val="22"/>
          <w:szCs w:val="22"/>
        </w:rPr>
      </w:pPr>
      <w:r w:rsidRPr="00DA2128">
        <w:rPr>
          <w:sz w:val="22"/>
          <w:szCs w:val="22"/>
        </w:rPr>
        <w:t>The Quadruple Helix framework emphasises collaboration between four key societal actors: academia, industry, government, and civil society. Assessing equity, diversity and inclusion (EDI) within this model requires examining how inclusivity is conceptualised, implemented, and safeguarded across these spheres, and how power relations shape participation.</w:t>
      </w:r>
    </w:p>
    <w:p w14:paraId="695D0288" w14:textId="77777777" w:rsidR="001F31D9" w:rsidRPr="00DA2128" w:rsidRDefault="001F31D9" w:rsidP="00A937C6">
      <w:pPr>
        <w:spacing w:line="240" w:lineRule="auto"/>
        <w:rPr>
          <w:sz w:val="22"/>
          <w:szCs w:val="22"/>
        </w:rPr>
      </w:pPr>
    </w:p>
    <w:p w14:paraId="303716F7" w14:textId="77777777" w:rsidR="001F31D9" w:rsidRPr="00DA2128" w:rsidRDefault="001F31D9" w:rsidP="00A937C6">
      <w:pPr>
        <w:pStyle w:val="Sub-subheading"/>
        <w:spacing w:line="240" w:lineRule="auto"/>
      </w:pPr>
      <w:r w:rsidRPr="00DA2128">
        <w:t>Academia</w:t>
      </w:r>
    </w:p>
    <w:p w14:paraId="4C78C95D" w14:textId="77777777" w:rsidR="001F31D9" w:rsidRPr="00DA2128" w:rsidRDefault="001F31D9" w:rsidP="00A937C6">
      <w:pPr>
        <w:spacing w:line="240" w:lineRule="auto"/>
        <w:rPr>
          <w:sz w:val="22"/>
          <w:szCs w:val="22"/>
        </w:rPr>
      </w:pPr>
      <w:r w:rsidRPr="00DA2128">
        <w:rPr>
          <w:sz w:val="22"/>
          <w:szCs w:val="22"/>
        </w:rPr>
        <w:t>Universities play a critical role in shaping EDI through research, education, and institutional culture. However, as highlighted in the INVITED Report (Claeys-Kulik et al., 2019), EDI in higher education is often constrained by challenges in data collection, varying national legal frameworks, and the risks of tokenism if underrepresentation is measured solely through headcounts. The IMAGINE events within the COLOURS Alliance exemplify how whole-class co-creation can operationalise EDI, embedding diverse student voices into project outputs in ways that resist elite or tokenistic representation. This aligns with the broader human rights–based approach to data, which prioritises participation, dignity, and proportionality (Office of the United Nations High Commissioner for Human Rights (OHCHR), 2018).</w:t>
      </w:r>
    </w:p>
    <w:p w14:paraId="50D1C123" w14:textId="77777777" w:rsidR="001F31D9" w:rsidRPr="00DA2128" w:rsidRDefault="001F31D9" w:rsidP="00A937C6">
      <w:pPr>
        <w:spacing w:line="240" w:lineRule="auto"/>
        <w:rPr>
          <w:sz w:val="22"/>
          <w:szCs w:val="22"/>
        </w:rPr>
      </w:pPr>
    </w:p>
    <w:p w14:paraId="19EB3914" w14:textId="77777777" w:rsidR="001F31D9" w:rsidRPr="00DA2128" w:rsidRDefault="001F31D9" w:rsidP="00A937C6">
      <w:pPr>
        <w:pStyle w:val="Sub-subheading"/>
        <w:spacing w:line="240" w:lineRule="auto"/>
      </w:pPr>
      <w:r w:rsidRPr="00DA2128">
        <w:t>Industry</w:t>
      </w:r>
    </w:p>
    <w:p w14:paraId="6FF9742D" w14:textId="77777777" w:rsidR="001F31D9" w:rsidRPr="00DA2128" w:rsidRDefault="001F31D9" w:rsidP="00A937C6">
      <w:pPr>
        <w:spacing w:line="240" w:lineRule="auto"/>
        <w:rPr>
          <w:sz w:val="22"/>
          <w:szCs w:val="22"/>
        </w:rPr>
      </w:pPr>
      <w:r w:rsidRPr="00DA2128">
        <w:rPr>
          <w:sz w:val="22"/>
          <w:szCs w:val="22"/>
        </w:rPr>
        <w:t>Within the industry, EDI often manifests as diversity targets in recruitment or representation at the board level. However, evidence suggests that numerical targets alone risk tokenism, as appointments can become symbolic rather than transformative (Nakajima et al., 2025). The challenge, therefore, is to move from compliance-driven diversity metrics towards systemic inclusion, where workplace cultures enable equal participation, progression, and innovation. In knowledge-intensive industries, this means recognising the value of intersectional perspectives as drivers of creativity and resilience.</w:t>
      </w:r>
    </w:p>
    <w:p w14:paraId="4FEAE03A" w14:textId="77777777" w:rsidR="001F31D9" w:rsidRPr="00DA2128" w:rsidRDefault="001F31D9" w:rsidP="00A937C6">
      <w:pPr>
        <w:spacing w:line="240" w:lineRule="auto"/>
        <w:rPr>
          <w:sz w:val="22"/>
          <w:szCs w:val="22"/>
        </w:rPr>
      </w:pPr>
    </w:p>
    <w:p w14:paraId="00A8F0E8" w14:textId="77777777" w:rsidR="001F31D9" w:rsidRPr="00DA2128" w:rsidRDefault="001F31D9" w:rsidP="00A937C6">
      <w:pPr>
        <w:pStyle w:val="Sub-subheading"/>
        <w:spacing w:line="240" w:lineRule="auto"/>
      </w:pPr>
      <w:r w:rsidRPr="00DA2128">
        <w:t>Government</w:t>
      </w:r>
    </w:p>
    <w:p w14:paraId="6C2EB3F8" w14:textId="77777777" w:rsidR="001F31D9" w:rsidRPr="00DA2128" w:rsidRDefault="001F31D9" w:rsidP="00A937C6">
      <w:pPr>
        <w:spacing w:line="240" w:lineRule="auto"/>
        <w:rPr>
          <w:sz w:val="22"/>
          <w:szCs w:val="22"/>
        </w:rPr>
      </w:pPr>
      <w:r w:rsidRPr="00DA2128">
        <w:rPr>
          <w:sz w:val="22"/>
          <w:szCs w:val="22"/>
        </w:rPr>
        <w:t>Governments set the regulatory and policy frameworks for EDI. The EU Anti-Racism Action Plan (2020–2025) (European Commission, 2020a)and Gender Equality Strategy (2020–2025) (European Commission, 2020c) provide strong foundations, underscoring the importance of disaggregated equality data while also stressing proportionality and safeguards against harm. The implementation reports based on the two frameworks indicate progress, but also highlight persistent barriers in translating commitments into local practice (European Commission, 2024, European Commission and Directorate-General for Justice Consumers, 2025). In the Quadruple Helix context, governments must strike a balance between accountability and protection, ensuring that equality data collection empowers communities rather than exposing individuals.</w:t>
      </w:r>
    </w:p>
    <w:p w14:paraId="56BB1A12" w14:textId="77777777" w:rsidR="001F31D9" w:rsidRPr="00DA2128" w:rsidRDefault="001F31D9" w:rsidP="00A937C6">
      <w:pPr>
        <w:spacing w:line="240" w:lineRule="auto"/>
        <w:rPr>
          <w:sz w:val="22"/>
          <w:szCs w:val="22"/>
        </w:rPr>
      </w:pPr>
    </w:p>
    <w:p w14:paraId="62E3F5FC" w14:textId="77777777" w:rsidR="001F31D9" w:rsidRPr="00DA2128" w:rsidRDefault="001F31D9" w:rsidP="00A937C6">
      <w:pPr>
        <w:pStyle w:val="Sub-subheading"/>
        <w:spacing w:line="240" w:lineRule="auto"/>
      </w:pPr>
      <w:r w:rsidRPr="00DA2128">
        <w:t>Civil Society</w:t>
      </w:r>
    </w:p>
    <w:p w14:paraId="5E60AF65" w14:textId="77777777" w:rsidR="001F31D9" w:rsidRPr="00DA2128" w:rsidRDefault="001F31D9" w:rsidP="00A937C6">
      <w:pPr>
        <w:spacing w:line="240" w:lineRule="auto"/>
        <w:rPr>
          <w:sz w:val="22"/>
          <w:szCs w:val="22"/>
        </w:rPr>
      </w:pPr>
      <w:r w:rsidRPr="00DA2128">
        <w:rPr>
          <w:sz w:val="22"/>
          <w:szCs w:val="22"/>
        </w:rPr>
        <w:t>Civil society organisations, including NGOs, advocacy groups, and patient organisations for example, are often at the forefront of driving EDI agendas by amplifying marginalised voices and holding institutions accountable. Evidence indicates that when marginalised groups are included only in symbolic or “box-ticking” ways, their contributions are often sidelined, leaving them without real influence over decisions. This kind of superficial inclusion reflects the dynamics of tokenism, where representation is achieved in numbers but not in substance, creating the appearance of progress without addressing structural inequalities. Such practices risk reinforcing existing power hierarchies and undermining the transformative potential of EDI initiatives (Graham and Lindsay, 2025). Civil society thus plays a corrective role, challenging tokenism and pushing for structural transformation. In the Quadruple Helix, their involvement ensures that EDI is grounded in lived experience, not just institutional optics.</w:t>
      </w:r>
    </w:p>
    <w:p w14:paraId="3E359048" w14:textId="77777777" w:rsidR="001F31D9" w:rsidRPr="00DA2128" w:rsidRDefault="001F31D9" w:rsidP="00A937C6">
      <w:pPr>
        <w:spacing w:line="240" w:lineRule="auto"/>
        <w:rPr>
          <w:sz w:val="22"/>
          <w:szCs w:val="22"/>
        </w:rPr>
      </w:pPr>
    </w:p>
    <w:p w14:paraId="27ECE4C9" w14:textId="77777777" w:rsidR="001F31D9" w:rsidRPr="00DA2128" w:rsidRDefault="001F31D9" w:rsidP="00A937C6">
      <w:pPr>
        <w:pStyle w:val="Sub-subheading"/>
        <w:spacing w:line="240" w:lineRule="auto"/>
      </w:pPr>
      <w:r w:rsidRPr="00DA2128">
        <w:t>Integrative Assessment</w:t>
      </w:r>
    </w:p>
    <w:p w14:paraId="336E6B49" w14:textId="6887325F" w:rsidR="001F31D9" w:rsidRPr="00DA2128" w:rsidRDefault="001F31D9" w:rsidP="00A937C6">
      <w:pPr>
        <w:spacing w:line="240" w:lineRule="auto"/>
        <w:rPr>
          <w:sz w:val="22"/>
          <w:szCs w:val="22"/>
        </w:rPr>
      </w:pPr>
      <w:r w:rsidRPr="00DA2128">
        <w:rPr>
          <w:sz w:val="22"/>
          <w:szCs w:val="22"/>
        </w:rPr>
        <w:t xml:space="preserve">Across the Quadruple Helix, a key risk is that EDI becomes a symbolic performance, demonstrated through headcounts, diversity statements, or compliance reports, rather than a transformative practice. Tokenism undermines trust, erodes dignity, and reinforces the very inequalities it seeks to dismantle (Childress et al., 2024, Liu et al., 2024, Lambert et al., 2025). </w:t>
      </w:r>
    </w:p>
    <w:p w14:paraId="34C852FA" w14:textId="66042AB4" w:rsidR="001F31D9" w:rsidRPr="00DA2128" w:rsidRDefault="001F31D9" w:rsidP="00A937C6">
      <w:pPr>
        <w:spacing w:line="240" w:lineRule="auto"/>
        <w:rPr>
          <w:sz w:val="22"/>
          <w:szCs w:val="22"/>
        </w:rPr>
      </w:pPr>
      <w:r w:rsidRPr="00DA2128">
        <w:rPr>
          <w:sz w:val="22"/>
          <w:szCs w:val="22"/>
        </w:rPr>
        <w:t>To achieve a meaningful impact, EDI must be integrated across all activities, rather than being treated as an isolated add-on. This requires genuine participation of diverse groups in shaping decisions, a proportional approach that balances benefits and risks, attention to the intersecting identities that shape lived experiences, and strong safeguards to ensure that actions do not inadvertently cause harm. Genuine participation, in this context, goes beyond the symbolic presence of underrepresented individuals. It is characterised by processes that enable participants to actively influence outcomes, rather than being invited merely to demonstrate diversity. Unlike tokenism, which produces the appearance of inclusion without redistributing power, genuine participation is substantive, sustained, and grounded in power-sharing. It involves ensuring that diverse voices are not only heard but are embedded into decisions, policies, and practices through mechanisms such as co-creation workshops, structured feedback loops, and ongoing collaboration. The IMAGINE events within the COLOURS Alliance provide an example of this approach: rather than relying on a small group of student representatives, they engage hundreds of students in structured dialogue and creative exercises, with findings systematically integrated into project outputs. This ensures that student perspectives shape outcomes in a meaningful way, demonstrating participation that is both authentic and transformative.</w:t>
      </w:r>
    </w:p>
    <w:p w14:paraId="04240E13" w14:textId="77777777" w:rsidR="001F31D9" w:rsidRPr="00DA2128" w:rsidRDefault="001F31D9" w:rsidP="00A937C6">
      <w:pPr>
        <w:spacing w:line="240" w:lineRule="auto"/>
        <w:rPr>
          <w:sz w:val="22"/>
          <w:szCs w:val="22"/>
        </w:rPr>
      </w:pPr>
      <w:r w:rsidRPr="00DA2128">
        <w:rPr>
          <w:sz w:val="22"/>
          <w:szCs w:val="22"/>
        </w:rPr>
        <w:t>When these principles are applied, the Quadruple Helix becomes a powerful framework for advancing EDI. It enables academia, industry, government, and civil society to act not in isolation, but as partners in systemic change, ensuring that inclusivity is not reduced to symbolic representation, but becomes a driver of innovation, legitimacy, and social justice.</w:t>
      </w:r>
    </w:p>
    <w:p w14:paraId="763CACCA" w14:textId="77777777" w:rsidR="001F31D9" w:rsidRPr="00DA2128" w:rsidRDefault="001F31D9" w:rsidP="00A937C6">
      <w:pPr>
        <w:spacing w:line="240" w:lineRule="auto"/>
        <w:rPr>
          <w:sz w:val="22"/>
          <w:szCs w:val="22"/>
        </w:rPr>
      </w:pPr>
    </w:p>
    <w:p w14:paraId="10BDC2F0" w14:textId="77777777" w:rsidR="001F31D9" w:rsidRPr="00DA2128" w:rsidRDefault="001F31D9" w:rsidP="00A937C6">
      <w:pPr>
        <w:pStyle w:val="Sub-subheading"/>
        <w:spacing w:line="240" w:lineRule="auto"/>
      </w:pPr>
      <w:r w:rsidRPr="00DA2128">
        <w:t>Beyond Tokenistic Representation</w:t>
      </w:r>
    </w:p>
    <w:p w14:paraId="309D9B8D" w14:textId="4C425003" w:rsidR="001F31D9" w:rsidRPr="00DA2128" w:rsidRDefault="001F31D9" w:rsidP="00A937C6">
      <w:pPr>
        <w:spacing w:line="240" w:lineRule="auto"/>
        <w:rPr>
          <w:sz w:val="22"/>
          <w:szCs w:val="22"/>
        </w:rPr>
      </w:pPr>
      <w:r w:rsidRPr="00DA2128">
        <w:rPr>
          <w:sz w:val="22"/>
          <w:szCs w:val="22"/>
        </w:rPr>
        <w:t>As part of the objective to evaluate the use of diversity-sensitive language across partner universities’ websites, HKR developed a guiding framework that assesses both language and imagery and translates this evaluation into a practical guidance document. The purpose of this framework is not only diagnostic but also developmental: it provides partners with concrete tools for improving inclusivity in digital communication. Importantly, the approach is forward-looking. Rather than imposing the burden of retroactively revising extensive archives of existing material, which may be both impractical and risk being perceived as symbolic gestures, the framework prioritises the integration of inclusive practices into all future communications. This aligns with broader European equality strategies, such as the EU Anti-Racism Action Plan 2020–2025 and the EU Gender Equality Strategy 2020–2025, which emphasise the importance of embedding inclusivity systematically into institutional practices (European Commission, 2020a, European Commission, 2020b). It also reflects international and European guidance on equality data, which emphasises proportionality, participation, and safeguards against harm (European Commission, 2021, Office of the United Nations High Commissioner for Human Rights (OHCHR), 2018). By avoiding superficial updates to legacy content, the consortium reduces the risk of tokenistic representation, where individuals or groups are highlighted in ways that create the appearance of inclusion without addressing underlying systemic issues. Research demonstrates that such practices can undermine trust, stigmatise participants, and reinforce existing hierarchies, whereas forward-looking integration fosters authenticity and structural change (Childress et al., 2024, Graham and Lindsay, 2025, Lambert et al., 2025, Liu et al., 2024). In this way, the consortium not only aligns with European policy priorities but also signals to internal and external stakeholders that inclusivity is a guiding value embedded in institutional practice, rather than a performative add-on.</w:t>
      </w:r>
    </w:p>
    <w:p w14:paraId="2C7E2901" w14:textId="2D7F53F1" w:rsidR="001F31D9" w:rsidRPr="00DA2128" w:rsidRDefault="001F31D9" w:rsidP="00A937C6">
      <w:pPr>
        <w:spacing w:line="240" w:lineRule="auto"/>
        <w:rPr>
          <w:sz w:val="22"/>
          <w:szCs w:val="22"/>
        </w:rPr>
      </w:pPr>
      <w:r w:rsidRPr="00DA2128">
        <w:rPr>
          <w:sz w:val="22"/>
          <w:szCs w:val="22"/>
        </w:rPr>
        <w:t>Following the drafting of the document Enhancing Equality, Diversity, and Inclusion (EDI) on University Websites: Best Practices for Language and Visual Representation, a carefully designed process of consultation and approval was undertaken within the consortium to ensure both quality and legitimacy. All members of Work Package 5 were invited to review the draft in detail, contribute feedback, and propose revisions. This open approach allowed the work package to draw on the diverse expertise of its members, who represent a range of disciplinary backgrounds, institutional contexts, and national frameworks. By providing every partner with the opportunity to contribute, the process avoided privileging particular voices and instead fostered a genuinely collaborative ethos. Importantly, the consultation was not a symbolic exercise but a meaningful engagement that resulted in substantive changes to the text. As a result, the final version reflected a collective perspective, embedding the insights and priorities of multiple stakeholders rather than a single authorial vision. Once this stage was completed, consensus was reached within the work package, and formal approval was secured.</w:t>
      </w:r>
    </w:p>
    <w:p w14:paraId="7EF7E08E" w14:textId="77777777" w:rsidR="001F31D9" w:rsidRPr="00DA2128" w:rsidRDefault="001F31D9" w:rsidP="00A937C6">
      <w:pPr>
        <w:spacing w:line="240" w:lineRule="auto"/>
        <w:rPr>
          <w:sz w:val="22"/>
          <w:szCs w:val="22"/>
        </w:rPr>
      </w:pPr>
      <w:r w:rsidRPr="00DA2128">
        <w:rPr>
          <w:sz w:val="22"/>
          <w:szCs w:val="22"/>
        </w:rPr>
        <w:t>The next step was to ensure that the document had practical impact across the consortium. To this end, the text was presented to Work Package 6, which carries responsibility for communication and dissemination activities. Their role in the project includes developing guidelines for external communication, ensuring coherence across outputs, and safeguarding compliance with wider European requirements for inclusivity and accessibility. After a thorough review, Work Package 6 endorsed the document, acknowledging its strategic value as a resource for embedding EDI principles into communication practices. Endorsement at this level signified recognition that inclusive language and imagery are not only ethical imperatives but also essential components of effective communication in international, multi-stakeholder projects. The guidance was therefore formally integrated into the consortium’s communication framework, elevating it from a stand-alone piece of work to an operational standard that will shape all public-facing outputs.</w:t>
      </w:r>
    </w:p>
    <w:p w14:paraId="066E9596" w14:textId="77777777" w:rsidR="001F31D9" w:rsidRPr="00DA2128" w:rsidRDefault="001F31D9" w:rsidP="00A937C6">
      <w:pPr>
        <w:spacing w:line="240" w:lineRule="auto"/>
        <w:rPr>
          <w:sz w:val="22"/>
          <w:szCs w:val="22"/>
        </w:rPr>
      </w:pPr>
      <w:r w:rsidRPr="00DA2128">
        <w:rPr>
          <w:sz w:val="22"/>
          <w:szCs w:val="22"/>
        </w:rPr>
        <w:t>The significance of this process extends beyond procedural approval. First, it demonstrates participatory governance, where authority is not centralised but shared across the partnership. This reflects best practice in collaborative international projects, where accountability and ownership are strengthened by inclusive decision-making processes. Second, it evidences a commitment to mainstreaming EDI. Rather than treating equity, diversity, and inclusion as the responsibility of a single work package, the integration of the guidelines into the communication framework ensures that EDI becomes a cross-cutting principle shaping the project as a whole. This mainstreaming approach prevents EDI from being siloed and ensures that its influence reaches areas such as branding, website design, and external dissemination. Third, the process provides an important safeguard against tokenistic representation. Communication strategies that focus on simply showcasing diversity through images or isolated demographic statistics risk reproducing stereotypes or reducing individuals to symbols of inclusion. By contrast, the adopted guidelines emphasise systemic integration, encouraging partners to consider how language and imagery can promote dignity, respect, and authenticity. The fact that these guidelines are now embedded within the official dissemination framework means that the consortium has moved decisively away from ad hoc or superficial adjustments towards a sustainable model of inclusive communication. Finally, the process highlights the importance of sustainability and scalability. By aligning the specialist knowledge of Work Package 5 with the dissemination remit of Work Package 6, the consortium has ensured that inclusive practices are not confined to internal documents but extend to the project’s public identity. This not only enhances internal coherence but also strengthens the project’s credibility when engaging external stakeholders, including universities, policymakers, civil society actors, and the wider public. The integration of EDI guidelines into communication practices positions the consortium as a model of good practice within the European Higher Education Area, demonstrating how inclusivity can be operationalised at both governance and dissemination levels.</w:t>
      </w:r>
    </w:p>
    <w:p w14:paraId="0975E90C" w14:textId="439F41D4" w:rsidR="001F31D9" w:rsidRPr="00DA2128" w:rsidRDefault="001F31D9" w:rsidP="00A937C6">
      <w:pPr>
        <w:spacing w:line="240" w:lineRule="auto"/>
        <w:rPr>
          <w:sz w:val="22"/>
          <w:szCs w:val="22"/>
        </w:rPr>
      </w:pPr>
      <w:r w:rsidRPr="00DA2128">
        <w:rPr>
          <w:sz w:val="22"/>
          <w:szCs w:val="22"/>
        </w:rPr>
        <w:t>The development and adoption of the guidance document on diversity-sensitive language and imagery also demonstrates how EDI principles can be operationalised in ways that move beyond tokenistic gestures. Genuine participation is achieved when diverse groups are not only represented symbolically but actively shape the standards and practices that govern communication. In this case, the consultative process within Work Package 5 and the subsequent endorsement by Work Package 6 ensured that the guidance reflected collective expertise rather than the perspective of a narrow group. By embedding these principles into future-facing communication practices, the consortium avoided the pitfalls of performative inclusion, where diversity is showcased superficially without redistributing power or addressing structural barriers. Instead, the approach provides a concrete mechanism for embedding inclusivity as an ongoing, participatory practice, reinforcing the distinction between authentic integration and tokenism.</w:t>
      </w:r>
    </w:p>
    <w:p w14:paraId="0B7A3147" w14:textId="77777777" w:rsidR="001F31D9" w:rsidRPr="00DA2128" w:rsidRDefault="001F31D9" w:rsidP="00A937C6">
      <w:pPr>
        <w:spacing w:line="240" w:lineRule="auto"/>
        <w:rPr>
          <w:sz w:val="22"/>
          <w:szCs w:val="22"/>
        </w:rPr>
      </w:pPr>
      <w:r w:rsidRPr="00DA2128">
        <w:rPr>
          <w:sz w:val="22"/>
          <w:szCs w:val="22"/>
        </w:rPr>
        <w:t>The consortium’s approach is further detailed in the guidance document Enhancing Equality, Diversity, and Inclusion (EDI) on University Websites: Best Practices for Language and Visual Representation. This document provides the practical foundation for the strategy by outlining concrete principles and recommendations on inclusive language and imagery. It emphasises the importance of respectful, precise, and non-stereotypical communication, and sets out detailed guidance on areas such as gender-inclusive terms, culturally sensitive phrasing, ability-inclusive expressions, and LGBTQ+ respectful language. Equally, it highlights the role of inclusive imagery in portraying authentic diversity, avoiding tokenism, and ensuring accessibility through practices such as descriptive alt text and community involvement in image selection. By embedding these guidelines into communication practices, the consortium translates its high-level EDI commitments into actionable standards that directly influence how partner universities present themselves to their communities and the wider public.</w:t>
      </w:r>
    </w:p>
    <w:p w14:paraId="69C121F2" w14:textId="77777777" w:rsidR="001F31D9" w:rsidRPr="00DA2128" w:rsidRDefault="001F31D9" w:rsidP="00A937C6">
      <w:pPr>
        <w:spacing w:line="240" w:lineRule="auto"/>
        <w:rPr>
          <w:sz w:val="22"/>
          <w:szCs w:val="22"/>
        </w:rPr>
      </w:pPr>
    </w:p>
    <w:p w14:paraId="314020C0" w14:textId="77777777" w:rsidR="001F31D9" w:rsidRPr="00DA2128" w:rsidRDefault="001F31D9" w:rsidP="00A937C6">
      <w:pPr>
        <w:pStyle w:val="Subtitle"/>
        <w:spacing w:line="240" w:lineRule="auto"/>
      </w:pPr>
      <w:r w:rsidRPr="00DA2128">
        <w:t>Enhancing Equality, Diversity, and Inclusion (EDI) on University Websites: Best Practices for Language and Visual Representation</w:t>
      </w:r>
    </w:p>
    <w:p w14:paraId="04352571" w14:textId="77777777" w:rsidR="001F31D9" w:rsidRPr="00DA2128" w:rsidRDefault="001F31D9" w:rsidP="00A937C6">
      <w:pPr>
        <w:spacing w:line="240" w:lineRule="auto"/>
        <w:rPr>
          <w:sz w:val="22"/>
          <w:szCs w:val="22"/>
        </w:rPr>
      </w:pPr>
    </w:p>
    <w:p w14:paraId="05EA22AA" w14:textId="77777777" w:rsidR="001F31D9" w:rsidRPr="00DA2128" w:rsidRDefault="001F31D9" w:rsidP="00A937C6">
      <w:pPr>
        <w:pStyle w:val="Sub-subheading"/>
        <w:spacing w:line="240" w:lineRule="auto"/>
      </w:pPr>
      <w:r w:rsidRPr="00DA2128">
        <w:t>Equality, Diversity, and Inclusion</w:t>
      </w:r>
    </w:p>
    <w:p w14:paraId="02409998" w14:textId="77777777" w:rsidR="001F31D9" w:rsidRPr="00DA2128" w:rsidRDefault="001F31D9" w:rsidP="00A937C6">
      <w:pPr>
        <w:spacing w:line="240" w:lineRule="auto"/>
        <w:rPr>
          <w:sz w:val="22"/>
          <w:szCs w:val="22"/>
        </w:rPr>
      </w:pPr>
      <w:r w:rsidRPr="00DA2128">
        <w:rPr>
          <w:sz w:val="22"/>
          <w:szCs w:val="22"/>
        </w:rPr>
        <w:t>Equality, Diversity, and Inclusion (EDI) are foundational principles that aim to create fair and respectful environments where every individual has the opportunity to thrive. These principles are particularly vital in university settings, where diverse populations of students, faculty, and staff come together to learn, teach, and conduct research.</w:t>
      </w:r>
    </w:p>
    <w:p w14:paraId="03511ACA" w14:textId="27A72246" w:rsidR="001F31D9" w:rsidRPr="00DA2128" w:rsidRDefault="001F31D9" w:rsidP="00A937C6">
      <w:pPr>
        <w:spacing w:line="240" w:lineRule="auto"/>
        <w:rPr>
          <w:sz w:val="22"/>
          <w:szCs w:val="22"/>
        </w:rPr>
      </w:pPr>
      <w:r w:rsidRPr="00DA2128">
        <w:rPr>
          <w:sz w:val="22"/>
          <w:szCs w:val="22"/>
        </w:rPr>
        <w:t>1.</w:t>
      </w:r>
      <w:r w:rsidR="00AB5CF6" w:rsidRPr="00DA2128">
        <w:rPr>
          <w:sz w:val="22"/>
          <w:szCs w:val="22"/>
        </w:rPr>
        <w:t xml:space="preserve"> </w:t>
      </w:r>
      <w:r w:rsidRPr="00DA2128">
        <w:rPr>
          <w:sz w:val="22"/>
          <w:szCs w:val="22"/>
        </w:rPr>
        <w:t>Equality refers to ensuring that everyone has equal access to opportunities and resources, enabling them to achieve their full potential. This involves identifying and removing barriers that can prevent certain groups from fully participating in academic and professional life.</w:t>
      </w:r>
    </w:p>
    <w:p w14:paraId="597D5E32" w14:textId="4C7C4500" w:rsidR="001F31D9" w:rsidRPr="00DA2128" w:rsidRDefault="001F31D9" w:rsidP="00A937C6">
      <w:pPr>
        <w:spacing w:line="240" w:lineRule="auto"/>
        <w:rPr>
          <w:sz w:val="22"/>
          <w:szCs w:val="22"/>
        </w:rPr>
      </w:pPr>
      <w:r w:rsidRPr="00DA2128">
        <w:rPr>
          <w:sz w:val="22"/>
          <w:szCs w:val="22"/>
        </w:rPr>
        <w:t>2.</w:t>
      </w:r>
      <w:r w:rsidR="00AB5CF6" w:rsidRPr="00DA2128">
        <w:rPr>
          <w:sz w:val="22"/>
          <w:szCs w:val="22"/>
        </w:rPr>
        <w:t xml:space="preserve"> </w:t>
      </w:r>
      <w:r w:rsidRPr="00DA2128">
        <w:rPr>
          <w:sz w:val="22"/>
          <w:szCs w:val="22"/>
        </w:rPr>
        <w:t>Diversity encompasses the presence of differences within a given setting, including but not limited to race, ethnicity, gender, age, sexual orientation, disability, socioeconomic status, and cultural background. A diverse university community brings diverse perspectives and experiences, enhancing the educational experience for all.</w:t>
      </w:r>
    </w:p>
    <w:p w14:paraId="39939873" w14:textId="1CA2A206" w:rsidR="001F31D9" w:rsidRPr="00DA2128" w:rsidRDefault="001F31D9" w:rsidP="00A937C6">
      <w:pPr>
        <w:spacing w:line="240" w:lineRule="auto"/>
        <w:rPr>
          <w:sz w:val="22"/>
          <w:szCs w:val="22"/>
        </w:rPr>
      </w:pPr>
      <w:r w:rsidRPr="00DA2128">
        <w:rPr>
          <w:sz w:val="22"/>
          <w:szCs w:val="22"/>
        </w:rPr>
        <w:t>3.</w:t>
      </w:r>
      <w:r w:rsidR="00AB5CF6" w:rsidRPr="00DA2128">
        <w:rPr>
          <w:sz w:val="22"/>
          <w:szCs w:val="22"/>
        </w:rPr>
        <w:t xml:space="preserve"> </w:t>
      </w:r>
      <w:r w:rsidRPr="00DA2128">
        <w:rPr>
          <w:sz w:val="22"/>
          <w:szCs w:val="22"/>
        </w:rPr>
        <w:t>Inclusion is creating environments where any individual or group can feel welcomed, respected, supported, and valued. Inclusive practices ensure that diverse individuals can fully participate and are given equal footing to contribute and succeed.</w:t>
      </w:r>
    </w:p>
    <w:p w14:paraId="6E4C4260" w14:textId="77777777" w:rsidR="001F31D9" w:rsidRPr="00DA2128" w:rsidRDefault="001F31D9" w:rsidP="00A937C6">
      <w:pPr>
        <w:spacing w:line="240" w:lineRule="auto"/>
        <w:rPr>
          <w:sz w:val="22"/>
          <w:szCs w:val="22"/>
        </w:rPr>
      </w:pPr>
    </w:p>
    <w:p w14:paraId="7E9B4B77" w14:textId="77777777" w:rsidR="001F31D9" w:rsidRPr="00DA2128" w:rsidRDefault="001F31D9" w:rsidP="00A937C6">
      <w:pPr>
        <w:pStyle w:val="Sub-subheading"/>
        <w:spacing w:line="240" w:lineRule="auto"/>
      </w:pPr>
      <w:r w:rsidRPr="00DA2128">
        <w:t>Importance of Inclusive Language in EDI</w:t>
      </w:r>
    </w:p>
    <w:p w14:paraId="26AB1855" w14:textId="77777777" w:rsidR="001F31D9" w:rsidRPr="00DA2128" w:rsidRDefault="001F31D9" w:rsidP="00A937C6">
      <w:pPr>
        <w:spacing w:line="240" w:lineRule="auto"/>
        <w:rPr>
          <w:sz w:val="22"/>
          <w:szCs w:val="22"/>
        </w:rPr>
      </w:pPr>
      <w:r w:rsidRPr="00DA2128">
        <w:rPr>
          <w:sz w:val="22"/>
          <w:szCs w:val="22"/>
        </w:rPr>
        <w:t>Inclusive language is a critical component of EDI. It refers to language that is free from words, phrases, or tones that reflect prejudiced, stereotyped, or discriminatory views of particular people or groups. Inclusive language promotes respect, acknowledges diversity, and avoids exclusion or marginalisation of different identity groups.</w:t>
      </w:r>
    </w:p>
    <w:p w14:paraId="0CD13159" w14:textId="77777777" w:rsidR="001F31D9" w:rsidRPr="00DA2128" w:rsidRDefault="001F31D9" w:rsidP="00A937C6">
      <w:pPr>
        <w:spacing w:line="240" w:lineRule="auto"/>
        <w:rPr>
          <w:sz w:val="22"/>
          <w:szCs w:val="22"/>
        </w:rPr>
      </w:pPr>
    </w:p>
    <w:p w14:paraId="505EED36" w14:textId="77777777" w:rsidR="001F31D9" w:rsidRPr="00DA2128" w:rsidRDefault="001F31D9" w:rsidP="00A937C6">
      <w:pPr>
        <w:pStyle w:val="Sub-subheading"/>
        <w:spacing w:line="240" w:lineRule="auto"/>
      </w:pPr>
      <w:r w:rsidRPr="00DA2128">
        <w:t>Inclusive Language</w:t>
      </w:r>
    </w:p>
    <w:p w14:paraId="64BF0E33" w14:textId="6F108333" w:rsidR="001F31D9" w:rsidRPr="00DA2128" w:rsidRDefault="001F31D9" w:rsidP="00A937C6">
      <w:pPr>
        <w:spacing w:line="240" w:lineRule="auto"/>
        <w:rPr>
          <w:sz w:val="22"/>
          <w:szCs w:val="22"/>
        </w:rPr>
      </w:pPr>
      <w:r w:rsidRPr="00DA2128">
        <w:rPr>
          <w:sz w:val="22"/>
          <w:szCs w:val="22"/>
        </w:rPr>
        <w:t>1.</w:t>
      </w:r>
      <w:r w:rsidR="00AB5CF6" w:rsidRPr="00DA2128">
        <w:rPr>
          <w:sz w:val="22"/>
          <w:szCs w:val="22"/>
        </w:rPr>
        <w:t xml:space="preserve"> </w:t>
      </w:r>
      <w:r w:rsidRPr="00DA2128">
        <w:rPr>
          <w:sz w:val="22"/>
          <w:szCs w:val="22"/>
        </w:rPr>
        <w:t>General Principles</w:t>
      </w:r>
    </w:p>
    <w:p w14:paraId="1090B5B6" w14:textId="5BAB50AF" w:rsidR="001F31D9" w:rsidRPr="00DA2128" w:rsidRDefault="001F31D9" w:rsidP="00027F5B">
      <w:pPr>
        <w:pStyle w:val="ListParagraph"/>
        <w:numPr>
          <w:ilvl w:val="0"/>
          <w:numId w:val="1"/>
        </w:numPr>
        <w:spacing w:line="240" w:lineRule="auto"/>
        <w:rPr>
          <w:sz w:val="22"/>
          <w:szCs w:val="22"/>
        </w:rPr>
      </w:pPr>
      <w:r w:rsidRPr="00DA2128">
        <w:rPr>
          <w:sz w:val="22"/>
          <w:szCs w:val="22"/>
        </w:rPr>
        <w:t>Respect and Dignity: Use language that respects and dignifies all individuals, avoiding terms that may be considered offensive or derogatory.</w:t>
      </w:r>
    </w:p>
    <w:p w14:paraId="1A97D246" w14:textId="6AEEFFA7" w:rsidR="001F31D9" w:rsidRPr="00DA2128" w:rsidRDefault="001F31D9" w:rsidP="00027F5B">
      <w:pPr>
        <w:pStyle w:val="ListParagraph"/>
        <w:numPr>
          <w:ilvl w:val="0"/>
          <w:numId w:val="1"/>
        </w:numPr>
        <w:spacing w:line="240" w:lineRule="auto"/>
        <w:rPr>
          <w:sz w:val="22"/>
          <w:szCs w:val="22"/>
        </w:rPr>
      </w:pPr>
      <w:r w:rsidRPr="00DA2128">
        <w:rPr>
          <w:sz w:val="22"/>
          <w:szCs w:val="22"/>
        </w:rPr>
        <w:t>Avoid Assumptions: Do not make assumptions about a person's gender, race, ethnicity, sexual orientation, ability, or other identity factors based on their name, appearance, or other characteristics.</w:t>
      </w:r>
    </w:p>
    <w:p w14:paraId="4D6A8206" w14:textId="5F6EC212" w:rsidR="001F31D9" w:rsidRPr="00DA2128" w:rsidRDefault="001F31D9" w:rsidP="00027F5B">
      <w:pPr>
        <w:pStyle w:val="ListParagraph"/>
        <w:numPr>
          <w:ilvl w:val="0"/>
          <w:numId w:val="1"/>
        </w:numPr>
        <w:spacing w:line="240" w:lineRule="auto"/>
        <w:rPr>
          <w:sz w:val="22"/>
          <w:szCs w:val="22"/>
        </w:rPr>
      </w:pPr>
      <w:r w:rsidRPr="00DA2128">
        <w:rPr>
          <w:sz w:val="22"/>
          <w:szCs w:val="22"/>
        </w:rPr>
        <w:t>Clarity and Precision: Use clear and precise language to avoid ambiguity and ensure that all users understand the content.</w:t>
      </w:r>
    </w:p>
    <w:p w14:paraId="0A0AFBAC" w14:textId="77777777" w:rsidR="001F31D9" w:rsidRPr="00DA2128" w:rsidRDefault="001F31D9" w:rsidP="00A937C6">
      <w:pPr>
        <w:spacing w:line="240" w:lineRule="auto"/>
        <w:rPr>
          <w:sz w:val="22"/>
          <w:szCs w:val="22"/>
        </w:rPr>
      </w:pPr>
    </w:p>
    <w:p w14:paraId="6265A0A4" w14:textId="5844340A" w:rsidR="001F31D9" w:rsidRPr="00DA2128" w:rsidRDefault="001F31D9" w:rsidP="00A937C6">
      <w:pPr>
        <w:spacing w:line="240" w:lineRule="auto"/>
        <w:rPr>
          <w:sz w:val="22"/>
          <w:szCs w:val="22"/>
        </w:rPr>
      </w:pPr>
      <w:r w:rsidRPr="00DA2128">
        <w:rPr>
          <w:sz w:val="22"/>
          <w:szCs w:val="22"/>
        </w:rPr>
        <w:t>2.</w:t>
      </w:r>
      <w:r w:rsidR="00AB5CF6" w:rsidRPr="00DA2128">
        <w:rPr>
          <w:sz w:val="22"/>
          <w:szCs w:val="22"/>
        </w:rPr>
        <w:t xml:space="preserve"> </w:t>
      </w:r>
      <w:r w:rsidRPr="00DA2128">
        <w:rPr>
          <w:sz w:val="22"/>
          <w:szCs w:val="22"/>
        </w:rPr>
        <w:t>Gender-Inclusive Language</w:t>
      </w:r>
    </w:p>
    <w:p w14:paraId="6FD0A564" w14:textId="38593FDA" w:rsidR="001F31D9" w:rsidRPr="00DA2128" w:rsidRDefault="001F31D9" w:rsidP="00027F5B">
      <w:pPr>
        <w:pStyle w:val="ListParagraph"/>
        <w:numPr>
          <w:ilvl w:val="0"/>
          <w:numId w:val="1"/>
        </w:numPr>
        <w:spacing w:line="240" w:lineRule="auto"/>
        <w:rPr>
          <w:sz w:val="22"/>
          <w:szCs w:val="22"/>
        </w:rPr>
      </w:pPr>
      <w:r w:rsidRPr="00DA2128">
        <w:rPr>
          <w:sz w:val="22"/>
          <w:szCs w:val="22"/>
        </w:rPr>
        <w:t>Gender-Neutral Terms: Use gender-neutral terms whenever possible. For example, use "spouse" instead of "husband/wife," "parent" instead of "mother/father," and "firefighter" instead of "fireman."</w:t>
      </w:r>
    </w:p>
    <w:p w14:paraId="3265EA29" w14:textId="485F23E0" w:rsidR="001F31D9" w:rsidRPr="00DA2128" w:rsidRDefault="001F31D9" w:rsidP="00027F5B">
      <w:pPr>
        <w:pStyle w:val="ListParagraph"/>
        <w:numPr>
          <w:ilvl w:val="0"/>
          <w:numId w:val="1"/>
        </w:numPr>
        <w:spacing w:line="240" w:lineRule="auto"/>
        <w:rPr>
          <w:sz w:val="22"/>
          <w:szCs w:val="22"/>
        </w:rPr>
      </w:pPr>
      <w:r w:rsidRPr="00DA2128">
        <w:rPr>
          <w:sz w:val="22"/>
          <w:szCs w:val="22"/>
        </w:rPr>
        <w:t>Pronouns: Use gender-neutral pronouns such as "they/them" when referring to a person whose gender is unknown or unspecified. Respect the pronouns that individuals use to identify themselves.</w:t>
      </w:r>
    </w:p>
    <w:p w14:paraId="0AD4F20D" w14:textId="5E1064A6" w:rsidR="001F31D9" w:rsidRPr="00DA2128" w:rsidRDefault="001F31D9" w:rsidP="00027F5B">
      <w:pPr>
        <w:pStyle w:val="ListParagraph"/>
        <w:numPr>
          <w:ilvl w:val="0"/>
          <w:numId w:val="1"/>
        </w:numPr>
        <w:spacing w:line="240" w:lineRule="auto"/>
        <w:rPr>
          <w:sz w:val="22"/>
          <w:szCs w:val="22"/>
        </w:rPr>
      </w:pPr>
      <w:r w:rsidRPr="00DA2128">
        <w:rPr>
          <w:sz w:val="22"/>
          <w:szCs w:val="22"/>
        </w:rPr>
        <w:t>Titles and Honorifics: Use inclusive titles and honorifics. For example, use "Mx." as a gender-neutral title and avoid gendered titles such as "Mr." or "Ms." unless the individual's preference is known.</w:t>
      </w:r>
    </w:p>
    <w:p w14:paraId="26569752" w14:textId="4BED2FDF" w:rsidR="001F31D9" w:rsidRPr="00DA2128" w:rsidRDefault="001F31D9" w:rsidP="00027F5B">
      <w:pPr>
        <w:pStyle w:val="ListParagraph"/>
        <w:numPr>
          <w:ilvl w:val="0"/>
          <w:numId w:val="1"/>
        </w:numPr>
        <w:spacing w:line="240" w:lineRule="auto"/>
        <w:rPr>
          <w:sz w:val="22"/>
          <w:szCs w:val="22"/>
        </w:rPr>
      </w:pPr>
      <w:r w:rsidRPr="00DA2128">
        <w:rPr>
          <w:sz w:val="22"/>
          <w:szCs w:val="22"/>
        </w:rPr>
        <w:t>Avoid Gendered Language: Avoid language that unnecessarily distinguishes between genders. For example, use "students" instead of "male and female students".</w:t>
      </w:r>
    </w:p>
    <w:p w14:paraId="62F7D9E9" w14:textId="77777777" w:rsidR="001F31D9" w:rsidRPr="00DA2128" w:rsidRDefault="001F31D9" w:rsidP="00A937C6">
      <w:pPr>
        <w:spacing w:line="240" w:lineRule="auto"/>
        <w:rPr>
          <w:sz w:val="22"/>
          <w:szCs w:val="22"/>
        </w:rPr>
      </w:pPr>
    </w:p>
    <w:p w14:paraId="596FB787" w14:textId="3CEC7753" w:rsidR="001F31D9" w:rsidRPr="00DA2128" w:rsidRDefault="001F31D9" w:rsidP="00A937C6">
      <w:pPr>
        <w:spacing w:line="240" w:lineRule="auto"/>
        <w:rPr>
          <w:sz w:val="22"/>
          <w:szCs w:val="22"/>
        </w:rPr>
      </w:pPr>
      <w:r w:rsidRPr="00DA2128">
        <w:rPr>
          <w:sz w:val="22"/>
          <w:szCs w:val="22"/>
        </w:rPr>
        <w:t>3.</w:t>
      </w:r>
      <w:r w:rsidR="00AB5CF6" w:rsidRPr="00DA2128">
        <w:rPr>
          <w:sz w:val="22"/>
          <w:szCs w:val="22"/>
        </w:rPr>
        <w:t xml:space="preserve"> </w:t>
      </w:r>
      <w:r w:rsidRPr="00DA2128">
        <w:rPr>
          <w:sz w:val="22"/>
          <w:szCs w:val="22"/>
        </w:rPr>
        <w:t>Culturally Sensitive Language</w:t>
      </w:r>
    </w:p>
    <w:p w14:paraId="2DE0A7DC" w14:textId="6BB71C8B" w:rsidR="001F31D9" w:rsidRPr="00DA2128" w:rsidRDefault="001F31D9" w:rsidP="00027F5B">
      <w:pPr>
        <w:pStyle w:val="ListParagraph"/>
        <w:numPr>
          <w:ilvl w:val="0"/>
          <w:numId w:val="1"/>
        </w:numPr>
        <w:spacing w:line="240" w:lineRule="auto"/>
        <w:rPr>
          <w:sz w:val="22"/>
          <w:szCs w:val="22"/>
        </w:rPr>
      </w:pPr>
      <w:r w:rsidRPr="00DA2128">
        <w:rPr>
          <w:sz w:val="22"/>
          <w:szCs w:val="22"/>
        </w:rPr>
        <w:t>Ethnic and Racial Identity: Use the terms that individuals and communities prefer to describe their ethnic and racial identities. Be aware that these terms can vary and evolve over time.</w:t>
      </w:r>
    </w:p>
    <w:p w14:paraId="1E947964" w14:textId="53AACDBA" w:rsidR="001F31D9" w:rsidRPr="00DA2128" w:rsidRDefault="001F31D9" w:rsidP="00027F5B">
      <w:pPr>
        <w:pStyle w:val="ListParagraph"/>
        <w:numPr>
          <w:ilvl w:val="0"/>
          <w:numId w:val="1"/>
        </w:numPr>
        <w:spacing w:line="240" w:lineRule="auto"/>
        <w:rPr>
          <w:sz w:val="22"/>
          <w:szCs w:val="22"/>
        </w:rPr>
      </w:pPr>
      <w:r w:rsidRPr="00DA2128">
        <w:rPr>
          <w:sz w:val="22"/>
          <w:szCs w:val="22"/>
        </w:rPr>
        <w:t>Avoid Stereotypes: Do not use language that reinforces stereotypes about any cultural, racial, or ethnic group. Be mindful of the context and connotations of the words used.</w:t>
      </w:r>
    </w:p>
    <w:p w14:paraId="4101BC55" w14:textId="733BFB1D" w:rsidR="001F31D9" w:rsidRPr="00DA2128" w:rsidRDefault="001F31D9" w:rsidP="00027F5B">
      <w:pPr>
        <w:pStyle w:val="ListParagraph"/>
        <w:numPr>
          <w:ilvl w:val="0"/>
          <w:numId w:val="1"/>
        </w:numPr>
        <w:spacing w:line="240" w:lineRule="auto"/>
        <w:rPr>
          <w:sz w:val="22"/>
          <w:szCs w:val="22"/>
        </w:rPr>
      </w:pPr>
      <w:r w:rsidRPr="00DA2128">
        <w:rPr>
          <w:sz w:val="22"/>
          <w:szCs w:val="22"/>
        </w:rPr>
        <w:t>Respect for Names: Respect the proper pronunciation and spelling of names from different cultures. Avoid anglicising names unless specifically requested by the individual.</w:t>
      </w:r>
    </w:p>
    <w:p w14:paraId="7AA2DBE5" w14:textId="77777777" w:rsidR="001F31D9" w:rsidRPr="00DA2128" w:rsidRDefault="001F31D9" w:rsidP="00A937C6">
      <w:pPr>
        <w:spacing w:line="240" w:lineRule="auto"/>
        <w:rPr>
          <w:sz w:val="22"/>
          <w:szCs w:val="22"/>
        </w:rPr>
      </w:pPr>
    </w:p>
    <w:p w14:paraId="54DAEA49" w14:textId="633EDE2A" w:rsidR="001F31D9" w:rsidRPr="00DA2128" w:rsidRDefault="001F31D9" w:rsidP="00A937C6">
      <w:pPr>
        <w:spacing w:line="240" w:lineRule="auto"/>
        <w:rPr>
          <w:sz w:val="22"/>
          <w:szCs w:val="22"/>
        </w:rPr>
      </w:pPr>
      <w:r w:rsidRPr="00DA2128">
        <w:rPr>
          <w:sz w:val="22"/>
          <w:szCs w:val="22"/>
        </w:rPr>
        <w:t>4.</w:t>
      </w:r>
      <w:r w:rsidR="00AB5CF6" w:rsidRPr="00DA2128">
        <w:rPr>
          <w:sz w:val="22"/>
          <w:szCs w:val="22"/>
        </w:rPr>
        <w:t xml:space="preserve"> </w:t>
      </w:r>
      <w:r w:rsidRPr="00DA2128">
        <w:rPr>
          <w:sz w:val="22"/>
          <w:szCs w:val="22"/>
        </w:rPr>
        <w:t>Ability-Inclusive Language</w:t>
      </w:r>
    </w:p>
    <w:p w14:paraId="6D5AC35D" w14:textId="79B560F6" w:rsidR="001F31D9" w:rsidRPr="00DA2128" w:rsidRDefault="001F31D9" w:rsidP="00027F5B">
      <w:pPr>
        <w:pStyle w:val="ListParagraph"/>
        <w:numPr>
          <w:ilvl w:val="0"/>
          <w:numId w:val="1"/>
        </w:numPr>
        <w:spacing w:line="240" w:lineRule="auto"/>
        <w:rPr>
          <w:sz w:val="22"/>
          <w:szCs w:val="22"/>
        </w:rPr>
      </w:pPr>
      <w:r w:rsidRPr="00DA2128">
        <w:rPr>
          <w:sz w:val="22"/>
          <w:szCs w:val="22"/>
        </w:rPr>
        <w:t>Person-First Language: Use person-first language to emphasise the individual rather than the disability. For example, say "person with a disability" instead of "disabled person."</w:t>
      </w:r>
    </w:p>
    <w:p w14:paraId="4E05C69D" w14:textId="77E7BABC" w:rsidR="001F31D9" w:rsidRPr="00DA2128" w:rsidRDefault="001F31D9" w:rsidP="00027F5B">
      <w:pPr>
        <w:pStyle w:val="ListParagraph"/>
        <w:numPr>
          <w:ilvl w:val="0"/>
          <w:numId w:val="1"/>
        </w:numPr>
        <w:spacing w:line="240" w:lineRule="auto"/>
        <w:rPr>
          <w:sz w:val="22"/>
          <w:szCs w:val="22"/>
        </w:rPr>
      </w:pPr>
      <w:r w:rsidRPr="00DA2128">
        <w:rPr>
          <w:sz w:val="22"/>
          <w:szCs w:val="22"/>
        </w:rPr>
        <w:t>Avoid Negative Connotations: Avoid terms that imply pity, helplessness, or negative connotations, such as "suffering from" or "victim of." Instead, use neutral terms like "living with" or "has."</w:t>
      </w:r>
    </w:p>
    <w:p w14:paraId="4EA14A61" w14:textId="0F1C579B" w:rsidR="001F31D9" w:rsidRPr="00DA2128" w:rsidRDefault="001F31D9" w:rsidP="00027F5B">
      <w:pPr>
        <w:pStyle w:val="ListParagraph"/>
        <w:numPr>
          <w:ilvl w:val="0"/>
          <w:numId w:val="1"/>
        </w:numPr>
        <w:spacing w:line="240" w:lineRule="auto"/>
        <w:rPr>
          <w:sz w:val="22"/>
          <w:szCs w:val="22"/>
        </w:rPr>
      </w:pPr>
      <w:r w:rsidRPr="00DA2128">
        <w:rPr>
          <w:sz w:val="22"/>
          <w:szCs w:val="22"/>
        </w:rPr>
        <w:t>Specificity and Accuracy: Be specific and accurate when describing disabilities. For example, say "person with a visual impairment" instead of "blind person" if the individual is not completely blind.</w:t>
      </w:r>
    </w:p>
    <w:p w14:paraId="1CAF40CF" w14:textId="77777777" w:rsidR="001F31D9" w:rsidRPr="00DA2128" w:rsidRDefault="001F31D9" w:rsidP="00A937C6">
      <w:pPr>
        <w:spacing w:line="240" w:lineRule="auto"/>
        <w:rPr>
          <w:sz w:val="22"/>
          <w:szCs w:val="22"/>
        </w:rPr>
      </w:pPr>
    </w:p>
    <w:p w14:paraId="0A560950" w14:textId="065F338B" w:rsidR="001F31D9" w:rsidRPr="00DA2128" w:rsidRDefault="001F31D9" w:rsidP="00A937C6">
      <w:pPr>
        <w:spacing w:line="240" w:lineRule="auto"/>
        <w:rPr>
          <w:sz w:val="22"/>
          <w:szCs w:val="22"/>
        </w:rPr>
      </w:pPr>
      <w:r w:rsidRPr="00DA2128">
        <w:rPr>
          <w:sz w:val="22"/>
          <w:szCs w:val="22"/>
        </w:rPr>
        <w:t>5.</w:t>
      </w:r>
      <w:r w:rsidR="00AB5CF6" w:rsidRPr="00DA2128">
        <w:rPr>
          <w:sz w:val="22"/>
          <w:szCs w:val="22"/>
        </w:rPr>
        <w:t xml:space="preserve"> </w:t>
      </w:r>
      <w:r w:rsidRPr="00DA2128">
        <w:rPr>
          <w:sz w:val="22"/>
          <w:szCs w:val="22"/>
        </w:rPr>
        <w:t>LGBTQ+ Inclusive Language</w:t>
      </w:r>
    </w:p>
    <w:p w14:paraId="21AFF9D0" w14:textId="3DCD8EA9" w:rsidR="001F31D9" w:rsidRPr="00DA2128" w:rsidRDefault="001F31D9" w:rsidP="00027F5B">
      <w:pPr>
        <w:pStyle w:val="ListParagraph"/>
        <w:numPr>
          <w:ilvl w:val="0"/>
          <w:numId w:val="1"/>
        </w:numPr>
        <w:spacing w:line="240" w:lineRule="auto"/>
        <w:rPr>
          <w:sz w:val="22"/>
          <w:szCs w:val="22"/>
        </w:rPr>
      </w:pPr>
      <w:r w:rsidRPr="00DA2128">
        <w:rPr>
          <w:sz w:val="22"/>
          <w:szCs w:val="22"/>
        </w:rPr>
        <w:t>Inclusive Terms: Use terms that are inclusive of all sexual orientations and gender identities. For example, use "partner" instead of "boyfriend/girlfriend" or "husband/wife."</w:t>
      </w:r>
    </w:p>
    <w:p w14:paraId="770F596E" w14:textId="41C258AF" w:rsidR="001F31D9" w:rsidRPr="00DA2128" w:rsidRDefault="001F31D9" w:rsidP="00027F5B">
      <w:pPr>
        <w:pStyle w:val="ListParagraph"/>
        <w:numPr>
          <w:ilvl w:val="0"/>
          <w:numId w:val="1"/>
        </w:numPr>
        <w:spacing w:line="240" w:lineRule="auto"/>
        <w:rPr>
          <w:sz w:val="22"/>
          <w:szCs w:val="22"/>
        </w:rPr>
      </w:pPr>
      <w:r w:rsidRPr="00DA2128">
        <w:rPr>
          <w:sz w:val="22"/>
          <w:szCs w:val="22"/>
        </w:rPr>
        <w:t xml:space="preserve">Avoid Assumptions: Do not assume someone's sexual orientation or gender identity based on their appearance or behaviour. Use inclusive language that acknowledges all possibilities. </w:t>
      </w:r>
    </w:p>
    <w:p w14:paraId="22E6CBFF" w14:textId="5A9C3DCD" w:rsidR="001F31D9" w:rsidRPr="00DA2128" w:rsidRDefault="001F31D9" w:rsidP="00027F5B">
      <w:pPr>
        <w:pStyle w:val="ListParagraph"/>
        <w:numPr>
          <w:ilvl w:val="0"/>
          <w:numId w:val="1"/>
        </w:numPr>
        <w:spacing w:line="240" w:lineRule="auto"/>
        <w:rPr>
          <w:sz w:val="22"/>
          <w:szCs w:val="22"/>
        </w:rPr>
      </w:pPr>
      <w:r w:rsidRPr="00DA2128">
        <w:rPr>
          <w:sz w:val="22"/>
          <w:szCs w:val="22"/>
        </w:rPr>
        <w:t>Respect for Identity: Respect and use the terms and pronouns that individuals use to describe their own sexual orientation and gender identity. Avoid outdated or offensive terms.</w:t>
      </w:r>
    </w:p>
    <w:p w14:paraId="0B2CB302" w14:textId="77777777" w:rsidR="001F31D9" w:rsidRPr="00DA2128" w:rsidRDefault="001F31D9" w:rsidP="00A937C6">
      <w:pPr>
        <w:spacing w:line="240" w:lineRule="auto"/>
        <w:rPr>
          <w:sz w:val="22"/>
          <w:szCs w:val="22"/>
        </w:rPr>
      </w:pPr>
    </w:p>
    <w:p w14:paraId="4CDBFE23" w14:textId="34439B5E" w:rsidR="001F31D9" w:rsidRPr="00DA2128" w:rsidRDefault="001F31D9" w:rsidP="00A937C6">
      <w:pPr>
        <w:spacing w:line="240" w:lineRule="auto"/>
        <w:rPr>
          <w:sz w:val="22"/>
          <w:szCs w:val="22"/>
        </w:rPr>
      </w:pPr>
      <w:r w:rsidRPr="00DA2128">
        <w:rPr>
          <w:sz w:val="22"/>
          <w:szCs w:val="22"/>
        </w:rPr>
        <w:t>6.</w:t>
      </w:r>
      <w:r w:rsidR="00AB5CF6" w:rsidRPr="00DA2128">
        <w:rPr>
          <w:sz w:val="22"/>
          <w:szCs w:val="22"/>
        </w:rPr>
        <w:t xml:space="preserve"> </w:t>
      </w:r>
      <w:r w:rsidRPr="00DA2128">
        <w:rPr>
          <w:sz w:val="22"/>
          <w:szCs w:val="22"/>
        </w:rPr>
        <w:t>Age-Inclusive Language</w:t>
      </w:r>
    </w:p>
    <w:p w14:paraId="2EB15736" w14:textId="26BD3B59" w:rsidR="001F31D9" w:rsidRPr="00DA2128" w:rsidRDefault="001F31D9" w:rsidP="00027F5B">
      <w:pPr>
        <w:pStyle w:val="ListParagraph"/>
        <w:numPr>
          <w:ilvl w:val="0"/>
          <w:numId w:val="1"/>
        </w:numPr>
        <w:spacing w:line="240" w:lineRule="auto"/>
        <w:rPr>
          <w:sz w:val="22"/>
          <w:szCs w:val="22"/>
        </w:rPr>
      </w:pPr>
      <w:r w:rsidRPr="00DA2128">
        <w:rPr>
          <w:sz w:val="22"/>
          <w:szCs w:val="22"/>
        </w:rPr>
        <w:t>Avoid Ageism: Use language that respects people of all ages and avoids stereotypes related to age. Avoid terms like "elderly" or "senior citizens" and instead use "older adults" or "people of all ages."</w:t>
      </w:r>
    </w:p>
    <w:p w14:paraId="646B8BEE" w14:textId="2109153D" w:rsidR="001F31D9" w:rsidRPr="00DA2128" w:rsidRDefault="001F31D9" w:rsidP="00027F5B">
      <w:pPr>
        <w:pStyle w:val="ListParagraph"/>
        <w:numPr>
          <w:ilvl w:val="0"/>
          <w:numId w:val="1"/>
        </w:numPr>
        <w:spacing w:line="240" w:lineRule="auto"/>
        <w:rPr>
          <w:sz w:val="22"/>
          <w:szCs w:val="22"/>
        </w:rPr>
      </w:pPr>
      <w:r w:rsidRPr="00DA2128">
        <w:rPr>
          <w:sz w:val="22"/>
          <w:szCs w:val="22"/>
        </w:rPr>
        <w:t>Age-Neutral Terms: When age is not relevant, use age-neutral terms. For example, use "person" instead of "young person" or "older person" unless age is a necessary distinction.</w:t>
      </w:r>
    </w:p>
    <w:p w14:paraId="0CE41716" w14:textId="77777777" w:rsidR="001F31D9" w:rsidRPr="00DA2128" w:rsidRDefault="001F31D9" w:rsidP="00A937C6">
      <w:pPr>
        <w:spacing w:line="240" w:lineRule="auto"/>
        <w:rPr>
          <w:sz w:val="22"/>
          <w:szCs w:val="22"/>
        </w:rPr>
      </w:pPr>
    </w:p>
    <w:p w14:paraId="25565081" w14:textId="77777777" w:rsidR="001F31D9" w:rsidRPr="00DA2128" w:rsidRDefault="001F31D9" w:rsidP="00A937C6">
      <w:pPr>
        <w:pStyle w:val="Sub-subheading"/>
        <w:spacing w:line="240" w:lineRule="auto"/>
      </w:pPr>
      <w:r w:rsidRPr="00DA2128">
        <w:t>Inclusive Images</w:t>
      </w:r>
    </w:p>
    <w:p w14:paraId="7B5B3076" w14:textId="77777777" w:rsidR="001F31D9" w:rsidRPr="00DA2128" w:rsidRDefault="001F31D9" w:rsidP="00A937C6">
      <w:pPr>
        <w:spacing w:line="240" w:lineRule="auto"/>
        <w:rPr>
          <w:sz w:val="22"/>
          <w:szCs w:val="22"/>
        </w:rPr>
      </w:pPr>
      <w:r w:rsidRPr="00DA2128">
        <w:rPr>
          <w:sz w:val="22"/>
          <w:szCs w:val="22"/>
        </w:rPr>
        <w:t>Inclusive images are vital to promoting Equality, Diversity, and Inclusion (EDI) on university websites. Visual representation can significantly impact how individuals perceive their inclusion and belonging within an academic community. Here, we outline the principles, best practices, and strategies for using inclusive images effectively.</w:t>
      </w:r>
    </w:p>
    <w:p w14:paraId="745F29A2" w14:textId="77777777" w:rsidR="001F31D9" w:rsidRPr="00DA2128" w:rsidRDefault="001F31D9" w:rsidP="00A937C6">
      <w:pPr>
        <w:spacing w:line="240" w:lineRule="auto"/>
        <w:rPr>
          <w:sz w:val="22"/>
          <w:szCs w:val="22"/>
        </w:rPr>
      </w:pPr>
    </w:p>
    <w:p w14:paraId="01CD14FB" w14:textId="77777777" w:rsidR="001F31D9" w:rsidRPr="00DA2128" w:rsidRDefault="001F31D9" w:rsidP="00A937C6">
      <w:pPr>
        <w:pStyle w:val="Sub-subheading"/>
        <w:spacing w:line="240" w:lineRule="auto"/>
      </w:pPr>
      <w:r w:rsidRPr="00DA2128">
        <w:t>Principles of Inclusive Images</w:t>
      </w:r>
    </w:p>
    <w:p w14:paraId="33AA8EAB" w14:textId="61868333" w:rsidR="001F31D9" w:rsidRPr="00DA2128" w:rsidRDefault="001F31D9" w:rsidP="00A937C6">
      <w:pPr>
        <w:spacing w:line="240" w:lineRule="auto"/>
        <w:rPr>
          <w:sz w:val="22"/>
          <w:szCs w:val="22"/>
        </w:rPr>
      </w:pPr>
      <w:r w:rsidRPr="00DA2128">
        <w:rPr>
          <w:sz w:val="22"/>
          <w:szCs w:val="22"/>
        </w:rPr>
        <w:t>1.</w:t>
      </w:r>
      <w:r w:rsidR="00AB5CF6" w:rsidRPr="00DA2128">
        <w:rPr>
          <w:sz w:val="22"/>
          <w:szCs w:val="22"/>
        </w:rPr>
        <w:t xml:space="preserve"> </w:t>
      </w:r>
      <w:r w:rsidRPr="00DA2128">
        <w:rPr>
          <w:sz w:val="22"/>
          <w:szCs w:val="22"/>
        </w:rPr>
        <w:t>Diverse Representation</w:t>
      </w:r>
    </w:p>
    <w:p w14:paraId="312FF36A" w14:textId="62179328" w:rsidR="001F31D9" w:rsidRPr="00DA2128" w:rsidRDefault="001F31D9" w:rsidP="00027F5B">
      <w:pPr>
        <w:pStyle w:val="ListParagraph"/>
        <w:numPr>
          <w:ilvl w:val="0"/>
          <w:numId w:val="1"/>
        </w:numPr>
        <w:spacing w:line="240" w:lineRule="auto"/>
        <w:rPr>
          <w:sz w:val="22"/>
          <w:szCs w:val="22"/>
        </w:rPr>
      </w:pPr>
      <w:r w:rsidRPr="00DA2128">
        <w:rPr>
          <w:sz w:val="22"/>
          <w:szCs w:val="22"/>
        </w:rPr>
        <w:t xml:space="preserve">Reflecting Reality: Ensure that images represent the actual diversity of the university community. This includes showing people of different races, ethnicities, genders, ages, abilities, socioeconomic backgrounds, and sexual orientations. For example, implement the Inclusive Photography Sessions in the section Community Involvement to generate a true representation of the university community. </w:t>
      </w:r>
    </w:p>
    <w:p w14:paraId="179A0A51" w14:textId="24A745CB" w:rsidR="001F31D9" w:rsidRPr="00DA2128" w:rsidRDefault="001F31D9" w:rsidP="00027F5B">
      <w:pPr>
        <w:pStyle w:val="ListParagraph"/>
        <w:numPr>
          <w:ilvl w:val="0"/>
          <w:numId w:val="1"/>
        </w:numPr>
        <w:spacing w:line="240" w:lineRule="auto"/>
        <w:rPr>
          <w:sz w:val="22"/>
          <w:szCs w:val="22"/>
        </w:rPr>
      </w:pPr>
      <w:r w:rsidRPr="00DA2128">
        <w:rPr>
          <w:sz w:val="22"/>
          <w:szCs w:val="22"/>
        </w:rPr>
        <w:t>Avoiding Tokenism: Include diverse individuals in meaningful and natural contexts rather than as mere tokens. Tokenism can be counterproductive and may reinforce stereotypes rather than challenge them.</w:t>
      </w:r>
    </w:p>
    <w:p w14:paraId="0B8A92FB" w14:textId="77777777" w:rsidR="001F31D9" w:rsidRPr="00DA2128" w:rsidRDefault="001F31D9" w:rsidP="00A937C6">
      <w:pPr>
        <w:spacing w:line="240" w:lineRule="auto"/>
        <w:rPr>
          <w:sz w:val="22"/>
          <w:szCs w:val="22"/>
        </w:rPr>
      </w:pPr>
    </w:p>
    <w:p w14:paraId="5E355A95" w14:textId="0F138595" w:rsidR="001F31D9" w:rsidRPr="00DA2128" w:rsidRDefault="001F31D9" w:rsidP="00A937C6">
      <w:pPr>
        <w:spacing w:line="240" w:lineRule="auto"/>
        <w:rPr>
          <w:sz w:val="22"/>
          <w:szCs w:val="22"/>
        </w:rPr>
      </w:pPr>
      <w:r w:rsidRPr="00DA2128">
        <w:rPr>
          <w:sz w:val="22"/>
          <w:szCs w:val="22"/>
        </w:rPr>
        <w:t>2.</w:t>
      </w:r>
      <w:r w:rsidR="006A5A2C" w:rsidRPr="00DA2128">
        <w:rPr>
          <w:sz w:val="22"/>
          <w:szCs w:val="22"/>
        </w:rPr>
        <w:t xml:space="preserve"> </w:t>
      </w:r>
      <w:r w:rsidRPr="00DA2128">
        <w:rPr>
          <w:sz w:val="22"/>
          <w:szCs w:val="22"/>
        </w:rPr>
        <w:t>Contextual Sensitivity</w:t>
      </w:r>
    </w:p>
    <w:p w14:paraId="3FE0F732" w14:textId="36B90CC4" w:rsidR="001F31D9" w:rsidRPr="00DA2128" w:rsidRDefault="001F31D9" w:rsidP="00027F5B">
      <w:pPr>
        <w:pStyle w:val="ListParagraph"/>
        <w:numPr>
          <w:ilvl w:val="0"/>
          <w:numId w:val="1"/>
        </w:numPr>
        <w:spacing w:line="240" w:lineRule="auto"/>
        <w:rPr>
          <w:sz w:val="22"/>
          <w:szCs w:val="22"/>
        </w:rPr>
      </w:pPr>
      <w:r w:rsidRPr="00DA2128">
        <w:rPr>
          <w:sz w:val="22"/>
          <w:szCs w:val="22"/>
        </w:rPr>
        <w:t>Cultural Relevance: Use images that are culturally appropriate and relevant. Avoid images that perpetuate cultural stereotypes or misrepresent cultural practices.</w:t>
      </w:r>
    </w:p>
    <w:p w14:paraId="347816AD" w14:textId="2DE61810" w:rsidR="001F31D9" w:rsidRPr="00DA2128" w:rsidRDefault="001F31D9" w:rsidP="00027F5B">
      <w:pPr>
        <w:pStyle w:val="ListParagraph"/>
        <w:numPr>
          <w:ilvl w:val="0"/>
          <w:numId w:val="1"/>
        </w:numPr>
        <w:spacing w:line="240" w:lineRule="auto"/>
        <w:rPr>
          <w:sz w:val="22"/>
          <w:szCs w:val="22"/>
        </w:rPr>
      </w:pPr>
      <w:r w:rsidRPr="00DA2128">
        <w:rPr>
          <w:sz w:val="22"/>
          <w:szCs w:val="22"/>
        </w:rPr>
        <w:t>Avoiding Stereotypes: Select images that challenge and move beyond traditional stereotypes. For example, portray women in leadership roles and men in caregiving roles to promote gender equality.</w:t>
      </w:r>
    </w:p>
    <w:p w14:paraId="7E0AB8B2" w14:textId="77777777" w:rsidR="001F31D9" w:rsidRPr="00DA2128" w:rsidRDefault="001F31D9" w:rsidP="00A937C6">
      <w:pPr>
        <w:spacing w:line="240" w:lineRule="auto"/>
        <w:rPr>
          <w:sz w:val="22"/>
          <w:szCs w:val="22"/>
        </w:rPr>
      </w:pPr>
    </w:p>
    <w:p w14:paraId="7C5C7A4C" w14:textId="25159C5A" w:rsidR="001F31D9" w:rsidRPr="00DA2128" w:rsidRDefault="001F31D9" w:rsidP="00A937C6">
      <w:pPr>
        <w:spacing w:line="240" w:lineRule="auto"/>
        <w:rPr>
          <w:sz w:val="22"/>
          <w:szCs w:val="22"/>
        </w:rPr>
      </w:pPr>
      <w:r w:rsidRPr="00DA2128">
        <w:rPr>
          <w:sz w:val="22"/>
          <w:szCs w:val="22"/>
        </w:rPr>
        <w:t>3.</w:t>
      </w:r>
      <w:r w:rsidR="006A5A2C" w:rsidRPr="00DA2128">
        <w:rPr>
          <w:sz w:val="22"/>
          <w:szCs w:val="22"/>
        </w:rPr>
        <w:t xml:space="preserve"> </w:t>
      </w:r>
      <w:r w:rsidRPr="00DA2128">
        <w:rPr>
          <w:sz w:val="22"/>
          <w:szCs w:val="22"/>
        </w:rPr>
        <w:t>Accessibility</w:t>
      </w:r>
    </w:p>
    <w:p w14:paraId="02CCBCB6" w14:textId="45066FF3" w:rsidR="001F31D9" w:rsidRPr="00DA2128" w:rsidRDefault="001F31D9" w:rsidP="00027F5B">
      <w:pPr>
        <w:pStyle w:val="ListParagraph"/>
        <w:numPr>
          <w:ilvl w:val="0"/>
          <w:numId w:val="1"/>
        </w:numPr>
        <w:spacing w:line="240" w:lineRule="auto"/>
        <w:rPr>
          <w:sz w:val="22"/>
          <w:szCs w:val="22"/>
        </w:rPr>
      </w:pPr>
      <w:r w:rsidRPr="00DA2128">
        <w:rPr>
          <w:sz w:val="22"/>
          <w:szCs w:val="22"/>
        </w:rPr>
        <w:t>Alt Text Descriptions: Provide accurate and descriptive alt text for all images to ensure accessibility for individuals using screen readers. The alt text should describe the image content and its context.</w:t>
      </w:r>
    </w:p>
    <w:p w14:paraId="0370326A" w14:textId="0D69ED5F" w:rsidR="001F31D9" w:rsidRPr="00DA2128" w:rsidRDefault="001F31D9" w:rsidP="00027F5B">
      <w:pPr>
        <w:pStyle w:val="ListParagraph"/>
        <w:numPr>
          <w:ilvl w:val="0"/>
          <w:numId w:val="1"/>
        </w:numPr>
        <w:spacing w:line="240" w:lineRule="auto"/>
        <w:rPr>
          <w:sz w:val="22"/>
          <w:szCs w:val="22"/>
        </w:rPr>
      </w:pPr>
      <w:r w:rsidRPr="00DA2128">
        <w:rPr>
          <w:sz w:val="22"/>
          <w:szCs w:val="22"/>
        </w:rPr>
        <w:t>Visual Clarity: Choose images that are clear and not overly complex to ensure they are accessible to individuals with visual impairments. High contrast and simple composition can aid visibility.</w:t>
      </w:r>
    </w:p>
    <w:p w14:paraId="024ACB01" w14:textId="77777777" w:rsidR="001F31D9" w:rsidRPr="00DA2128" w:rsidRDefault="001F31D9" w:rsidP="00A937C6">
      <w:pPr>
        <w:spacing w:line="240" w:lineRule="auto"/>
        <w:rPr>
          <w:sz w:val="22"/>
          <w:szCs w:val="22"/>
        </w:rPr>
      </w:pPr>
    </w:p>
    <w:p w14:paraId="0A5A9C34" w14:textId="509A6A76" w:rsidR="001F31D9" w:rsidRPr="00DA2128" w:rsidRDefault="001F31D9" w:rsidP="00A937C6">
      <w:pPr>
        <w:spacing w:line="240" w:lineRule="auto"/>
        <w:rPr>
          <w:sz w:val="22"/>
          <w:szCs w:val="22"/>
        </w:rPr>
      </w:pPr>
      <w:r w:rsidRPr="00DA2128">
        <w:rPr>
          <w:sz w:val="22"/>
          <w:szCs w:val="22"/>
        </w:rPr>
        <w:t>4.</w:t>
      </w:r>
      <w:r w:rsidR="006A5A2C" w:rsidRPr="00DA2128">
        <w:rPr>
          <w:sz w:val="22"/>
          <w:szCs w:val="22"/>
        </w:rPr>
        <w:t xml:space="preserve"> </w:t>
      </w:r>
      <w:r w:rsidRPr="00DA2128">
        <w:rPr>
          <w:sz w:val="22"/>
          <w:szCs w:val="22"/>
        </w:rPr>
        <w:t>Positive Representation</w:t>
      </w:r>
    </w:p>
    <w:p w14:paraId="51273FFA" w14:textId="5F8FB8F2" w:rsidR="001F31D9" w:rsidRPr="00DA2128" w:rsidRDefault="001F31D9" w:rsidP="00027F5B">
      <w:pPr>
        <w:pStyle w:val="ListParagraph"/>
        <w:numPr>
          <w:ilvl w:val="0"/>
          <w:numId w:val="1"/>
        </w:numPr>
        <w:spacing w:line="240" w:lineRule="auto"/>
        <w:rPr>
          <w:sz w:val="22"/>
          <w:szCs w:val="22"/>
        </w:rPr>
      </w:pPr>
      <w:r w:rsidRPr="00DA2128">
        <w:rPr>
          <w:sz w:val="22"/>
          <w:szCs w:val="22"/>
        </w:rPr>
        <w:t>Empowering Portrayals: Use images that portray individuals in a positive and empowering light. Highlight achievements, strengths, and contributions rather than deficits or needs.</w:t>
      </w:r>
    </w:p>
    <w:p w14:paraId="69CE2F84" w14:textId="518CC331" w:rsidR="001F31D9" w:rsidRPr="00DA2128" w:rsidRDefault="001F31D9" w:rsidP="00027F5B">
      <w:pPr>
        <w:pStyle w:val="ListParagraph"/>
        <w:numPr>
          <w:ilvl w:val="0"/>
          <w:numId w:val="1"/>
        </w:numPr>
        <w:spacing w:line="240" w:lineRule="auto"/>
        <w:rPr>
          <w:sz w:val="22"/>
          <w:szCs w:val="22"/>
        </w:rPr>
      </w:pPr>
      <w:r w:rsidRPr="00DA2128">
        <w:rPr>
          <w:sz w:val="22"/>
          <w:szCs w:val="22"/>
        </w:rPr>
        <w:t>Inclusive Settings: Show diverse individuals participating in various university activities, such as studying, teaching, conducting research, and engaging in campus life, to reflect the inclusivity of the academic environment.</w:t>
      </w:r>
    </w:p>
    <w:p w14:paraId="2601DB3B" w14:textId="77777777" w:rsidR="001F31D9" w:rsidRPr="00DA2128" w:rsidRDefault="001F31D9" w:rsidP="00A937C6">
      <w:pPr>
        <w:spacing w:line="240" w:lineRule="auto"/>
        <w:rPr>
          <w:sz w:val="22"/>
          <w:szCs w:val="22"/>
        </w:rPr>
      </w:pPr>
    </w:p>
    <w:p w14:paraId="30443F13" w14:textId="77777777" w:rsidR="001F31D9" w:rsidRPr="00DA2128" w:rsidRDefault="001F31D9" w:rsidP="00A937C6">
      <w:pPr>
        <w:pStyle w:val="Sub-subheading"/>
        <w:spacing w:line="240" w:lineRule="auto"/>
      </w:pPr>
      <w:r w:rsidRPr="00DA2128">
        <w:t>Best Practices for Using Inclusive Images</w:t>
      </w:r>
    </w:p>
    <w:p w14:paraId="4534912C" w14:textId="27BBCA9B" w:rsidR="001F31D9" w:rsidRPr="00DA2128" w:rsidRDefault="001F31D9" w:rsidP="00A937C6">
      <w:pPr>
        <w:spacing w:line="240" w:lineRule="auto"/>
        <w:rPr>
          <w:sz w:val="22"/>
          <w:szCs w:val="22"/>
        </w:rPr>
      </w:pPr>
      <w:r w:rsidRPr="00DA2128">
        <w:rPr>
          <w:sz w:val="22"/>
          <w:szCs w:val="22"/>
        </w:rPr>
        <w:t>1.</w:t>
      </w:r>
      <w:r w:rsidR="008E433A" w:rsidRPr="00DA2128">
        <w:rPr>
          <w:sz w:val="22"/>
          <w:szCs w:val="22"/>
        </w:rPr>
        <w:t xml:space="preserve"> </w:t>
      </w:r>
      <w:r w:rsidRPr="00DA2128">
        <w:rPr>
          <w:sz w:val="22"/>
          <w:szCs w:val="22"/>
        </w:rPr>
        <w:t>Diverse Photo Libraries</w:t>
      </w:r>
    </w:p>
    <w:p w14:paraId="0CB21396" w14:textId="56A508B2" w:rsidR="001F31D9" w:rsidRPr="00DA2128" w:rsidRDefault="001F31D9" w:rsidP="00027F5B">
      <w:pPr>
        <w:pStyle w:val="ListParagraph"/>
        <w:numPr>
          <w:ilvl w:val="0"/>
          <w:numId w:val="1"/>
        </w:numPr>
        <w:spacing w:line="240" w:lineRule="auto"/>
        <w:rPr>
          <w:sz w:val="22"/>
          <w:szCs w:val="22"/>
        </w:rPr>
      </w:pPr>
      <w:r w:rsidRPr="00DA2128">
        <w:rPr>
          <w:sz w:val="22"/>
          <w:szCs w:val="22"/>
        </w:rPr>
        <w:t>Curated Collections: Develop or source photo libraries that include diverse and inclusive images. These collections should be regularly updated to reflect current diversity standards and university demographics.</w:t>
      </w:r>
    </w:p>
    <w:p w14:paraId="26A629BA" w14:textId="1DCC0CEB" w:rsidR="001F31D9" w:rsidRPr="00DA2128" w:rsidRDefault="001F31D9" w:rsidP="00027F5B">
      <w:pPr>
        <w:pStyle w:val="ListParagraph"/>
        <w:numPr>
          <w:ilvl w:val="0"/>
          <w:numId w:val="1"/>
        </w:numPr>
        <w:spacing w:line="240" w:lineRule="auto"/>
        <w:rPr>
          <w:sz w:val="22"/>
          <w:szCs w:val="22"/>
        </w:rPr>
      </w:pPr>
      <w:r w:rsidRPr="00DA2128">
        <w:rPr>
          <w:sz w:val="22"/>
          <w:szCs w:val="22"/>
        </w:rPr>
        <w:t>Inclusive Stock Images: When using stock images, select collections known for their commitment to diversity and inclusion. Platforms specialising in diverse representation can be valuable resources.</w:t>
      </w:r>
    </w:p>
    <w:p w14:paraId="4F9B7BF1" w14:textId="77777777" w:rsidR="001F31D9" w:rsidRPr="00DA2128" w:rsidRDefault="001F31D9" w:rsidP="00A937C6">
      <w:pPr>
        <w:spacing w:line="240" w:lineRule="auto"/>
        <w:rPr>
          <w:sz w:val="22"/>
          <w:szCs w:val="22"/>
        </w:rPr>
      </w:pPr>
    </w:p>
    <w:p w14:paraId="1AEEAF4F" w14:textId="57EE93CC" w:rsidR="001F31D9" w:rsidRPr="00DA2128" w:rsidRDefault="001F31D9" w:rsidP="00A937C6">
      <w:pPr>
        <w:spacing w:line="240" w:lineRule="auto"/>
        <w:rPr>
          <w:sz w:val="22"/>
          <w:szCs w:val="22"/>
        </w:rPr>
      </w:pPr>
      <w:r w:rsidRPr="00DA2128">
        <w:rPr>
          <w:sz w:val="22"/>
          <w:szCs w:val="22"/>
        </w:rPr>
        <w:t>2.</w:t>
      </w:r>
      <w:r w:rsidR="00F32C7D" w:rsidRPr="00DA2128">
        <w:rPr>
          <w:sz w:val="22"/>
          <w:szCs w:val="22"/>
        </w:rPr>
        <w:t xml:space="preserve"> </w:t>
      </w:r>
      <w:r w:rsidRPr="00DA2128">
        <w:rPr>
          <w:sz w:val="22"/>
          <w:szCs w:val="22"/>
        </w:rPr>
        <w:t>Image Selection Criteria</w:t>
      </w:r>
    </w:p>
    <w:p w14:paraId="51C82C9C" w14:textId="0B5A3777" w:rsidR="001F31D9" w:rsidRPr="00DA2128" w:rsidRDefault="001F31D9" w:rsidP="00027F5B">
      <w:pPr>
        <w:pStyle w:val="ListParagraph"/>
        <w:numPr>
          <w:ilvl w:val="0"/>
          <w:numId w:val="1"/>
        </w:numPr>
        <w:spacing w:line="240" w:lineRule="auto"/>
        <w:rPr>
          <w:sz w:val="22"/>
          <w:szCs w:val="22"/>
        </w:rPr>
      </w:pPr>
      <w:r w:rsidRPr="00DA2128">
        <w:rPr>
          <w:sz w:val="22"/>
          <w:szCs w:val="22"/>
        </w:rPr>
        <w:t>Relevance to Content: Ensure that images are relevant to the accompanying content. For example, use images of students during discussions for articles about classroom engagement or collaborative learning.</w:t>
      </w:r>
    </w:p>
    <w:p w14:paraId="07643E62" w14:textId="335EFCDB" w:rsidR="001F31D9" w:rsidRPr="00DA2128" w:rsidRDefault="001F31D9" w:rsidP="00027F5B">
      <w:pPr>
        <w:pStyle w:val="ListParagraph"/>
        <w:numPr>
          <w:ilvl w:val="0"/>
          <w:numId w:val="1"/>
        </w:numPr>
        <w:spacing w:line="240" w:lineRule="auto"/>
        <w:rPr>
          <w:sz w:val="22"/>
          <w:szCs w:val="22"/>
        </w:rPr>
      </w:pPr>
      <w:r w:rsidRPr="00DA2128">
        <w:rPr>
          <w:sz w:val="22"/>
          <w:szCs w:val="22"/>
        </w:rPr>
        <w:t>Balanced Representation: Strive for balance in representation across different pages and sections of the website. Avoid over-representation of any single group, ensuring a holistic view of diversity.</w:t>
      </w:r>
    </w:p>
    <w:p w14:paraId="2BB9E3AF" w14:textId="77777777" w:rsidR="001F31D9" w:rsidRPr="00DA2128" w:rsidRDefault="001F31D9" w:rsidP="00A937C6">
      <w:pPr>
        <w:spacing w:line="240" w:lineRule="auto"/>
        <w:rPr>
          <w:sz w:val="22"/>
          <w:szCs w:val="22"/>
        </w:rPr>
      </w:pPr>
    </w:p>
    <w:p w14:paraId="15607F40" w14:textId="39135D7B" w:rsidR="001F31D9" w:rsidRPr="00DA2128" w:rsidRDefault="001F31D9" w:rsidP="00A937C6">
      <w:pPr>
        <w:spacing w:line="240" w:lineRule="auto"/>
        <w:rPr>
          <w:sz w:val="22"/>
          <w:szCs w:val="22"/>
        </w:rPr>
      </w:pPr>
      <w:r w:rsidRPr="00DA2128">
        <w:rPr>
          <w:sz w:val="22"/>
          <w:szCs w:val="22"/>
        </w:rPr>
        <w:t>3.</w:t>
      </w:r>
      <w:r w:rsidR="00F32C7D" w:rsidRPr="00DA2128">
        <w:rPr>
          <w:sz w:val="22"/>
          <w:szCs w:val="22"/>
        </w:rPr>
        <w:t xml:space="preserve"> </w:t>
      </w:r>
      <w:r w:rsidRPr="00DA2128">
        <w:rPr>
          <w:sz w:val="22"/>
          <w:szCs w:val="22"/>
        </w:rPr>
        <w:t>Community Involvement</w:t>
      </w:r>
    </w:p>
    <w:p w14:paraId="31FE8973" w14:textId="4082370A" w:rsidR="001F31D9" w:rsidRPr="00DA2128" w:rsidRDefault="001F31D9" w:rsidP="00027F5B">
      <w:pPr>
        <w:pStyle w:val="ListParagraph"/>
        <w:numPr>
          <w:ilvl w:val="0"/>
          <w:numId w:val="1"/>
        </w:numPr>
        <w:spacing w:line="240" w:lineRule="auto"/>
        <w:rPr>
          <w:sz w:val="22"/>
          <w:szCs w:val="22"/>
        </w:rPr>
      </w:pPr>
      <w:r w:rsidRPr="00DA2128">
        <w:rPr>
          <w:sz w:val="22"/>
          <w:szCs w:val="22"/>
        </w:rPr>
        <w:t>Feedback and Consultation: Involve members of the university community in the selection and review of images. This can help ensure that the images resonate with the community and accurately reflect its diversity.</w:t>
      </w:r>
    </w:p>
    <w:p w14:paraId="0CEBDA65" w14:textId="22C0DFCB" w:rsidR="001F31D9" w:rsidRPr="00DA2128" w:rsidRDefault="001F31D9" w:rsidP="00027F5B">
      <w:pPr>
        <w:pStyle w:val="ListParagraph"/>
        <w:numPr>
          <w:ilvl w:val="0"/>
          <w:numId w:val="1"/>
        </w:numPr>
        <w:spacing w:line="240" w:lineRule="auto"/>
        <w:rPr>
          <w:sz w:val="22"/>
          <w:szCs w:val="22"/>
        </w:rPr>
      </w:pPr>
      <w:r w:rsidRPr="00DA2128">
        <w:rPr>
          <w:sz w:val="22"/>
          <w:szCs w:val="22"/>
        </w:rPr>
        <w:t>Inclusive Photography Sessions: Conduct photography sessions that involve a wide range of participants from different backgrounds. Encourage voluntary participation to capture authentic and diverse moments.</w:t>
      </w:r>
    </w:p>
    <w:p w14:paraId="4F261175" w14:textId="77777777" w:rsidR="001F31D9" w:rsidRPr="00DA2128" w:rsidRDefault="001F31D9" w:rsidP="00A937C6">
      <w:pPr>
        <w:spacing w:line="240" w:lineRule="auto"/>
        <w:rPr>
          <w:sz w:val="22"/>
          <w:szCs w:val="22"/>
        </w:rPr>
      </w:pPr>
    </w:p>
    <w:p w14:paraId="02789B43" w14:textId="15FA56A9" w:rsidR="001F31D9" w:rsidRPr="00DA2128" w:rsidRDefault="001F31D9" w:rsidP="00A937C6">
      <w:pPr>
        <w:spacing w:line="240" w:lineRule="auto"/>
        <w:rPr>
          <w:sz w:val="22"/>
          <w:szCs w:val="22"/>
        </w:rPr>
      </w:pPr>
      <w:r w:rsidRPr="00DA2128">
        <w:rPr>
          <w:sz w:val="22"/>
          <w:szCs w:val="22"/>
        </w:rPr>
        <w:t>4.</w:t>
      </w:r>
      <w:r w:rsidR="00F32C7D" w:rsidRPr="00DA2128">
        <w:rPr>
          <w:sz w:val="22"/>
          <w:szCs w:val="22"/>
        </w:rPr>
        <w:t xml:space="preserve"> </w:t>
      </w:r>
      <w:r w:rsidRPr="00DA2128">
        <w:rPr>
          <w:sz w:val="22"/>
          <w:szCs w:val="22"/>
        </w:rPr>
        <w:t>Regular Review and Updates</w:t>
      </w:r>
    </w:p>
    <w:p w14:paraId="67E90013" w14:textId="6CF93D38" w:rsidR="001F31D9" w:rsidRPr="00DA2128" w:rsidRDefault="001F31D9" w:rsidP="00027F5B">
      <w:pPr>
        <w:pStyle w:val="ListParagraph"/>
        <w:numPr>
          <w:ilvl w:val="0"/>
          <w:numId w:val="1"/>
        </w:numPr>
        <w:spacing w:line="240" w:lineRule="auto"/>
        <w:rPr>
          <w:sz w:val="22"/>
          <w:szCs w:val="22"/>
        </w:rPr>
      </w:pPr>
      <w:r w:rsidRPr="00DA2128">
        <w:rPr>
          <w:sz w:val="22"/>
          <w:szCs w:val="22"/>
        </w:rPr>
        <w:t>Continuous Improvement: Regularly review and update images on the website to maintain relevance and alignment with evolving diversity standards. Replace outdated images with more current and representative ones.</w:t>
      </w:r>
    </w:p>
    <w:p w14:paraId="70B4D595" w14:textId="31D61C6E" w:rsidR="001F31D9" w:rsidRPr="00DA2128" w:rsidRDefault="001F31D9" w:rsidP="00027F5B">
      <w:pPr>
        <w:pStyle w:val="ListParagraph"/>
        <w:numPr>
          <w:ilvl w:val="0"/>
          <w:numId w:val="1"/>
        </w:numPr>
        <w:spacing w:line="240" w:lineRule="auto"/>
        <w:rPr>
          <w:sz w:val="22"/>
          <w:szCs w:val="22"/>
        </w:rPr>
      </w:pPr>
      <w:r w:rsidRPr="00DA2128">
        <w:rPr>
          <w:sz w:val="22"/>
          <w:szCs w:val="22"/>
        </w:rPr>
        <w:t>Responding to Feedback: Act on feedback from the university community regarding the inclusivity of images. Address any concerns and make necessary adjustments to improve representation.</w:t>
      </w:r>
    </w:p>
    <w:p w14:paraId="6472AF8F" w14:textId="77777777" w:rsidR="001F31D9" w:rsidRPr="00DA2128" w:rsidRDefault="001F31D9" w:rsidP="00A937C6">
      <w:pPr>
        <w:spacing w:line="240" w:lineRule="auto"/>
        <w:rPr>
          <w:sz w:val="22"/>
          <w:szCs w:val="22"/>
        </w:rPr>
      </w:pPr>
    </w:p>
    <w:p w14:paraId="1EC5F9A9" w14:textId="77777777" w:rsidR="001F31D9" w:rsidRPr="00DA2128" w:rsidRDefault="001F31D9" w:rsidP="00A937C6">
      <w:pPr>
        <w:pStyle w:val="Subtitle"/>
        <w:spacing w:line="240" w:lineRule="auto"/>
        <w:rPr>
          <w:noProof w:val="0"/>
        </w:rPr>
      </w:pPr>
      <w:r w:rsidRPr="00DA2128">
        <w:rPr>
          <w:noProof w:val="0"/>
        </w:rPr>
        <w:t>Conclusion</w:t>
      </w:r>
    </w:p>
    <w:p w14:paraId="2C0793C6" w14:textId="77777777" w:rsidR="001F31D9" w:rsidRPr="00DA2128" w:rsidRDefault="001F31D9" w:rsidP="00A937C6">
      <w:pPr>
        <w:spacing w:line="240" w:lineRule="auto"/>
        <w:rPr>
          <w:sz w:val="22"/>
          <w:szCs w:val="22"/>
        </w:rPr>
      </w:pPr>
      <w:r w:rsidRPr="00DA2128">
        <w:rPr>
          <w:sz w:val="22"/>
          <w:szCs w:val="22"/>
        </w:rPr>
        <w:t>In conclusion, fostering Equality, Diversity, and Inclusion (EDI) within university settings is crucial for creating an environment where all individuals can thrive. By adopting inclusive language and imagery on university websites, institutions can better reflect their commitment to diversity and ensure that all members of their community feel valued and respected. Implementing best practices for inclusive language involves using respectful, clear, and precise terms that avoid stereotypes and acknowledge the diversity of identities. Similarly, using inclusive images that accurately represent the university's diverse population, avoid tokenism, and ensure accessibility can significantly enhance the sense of belonging among students, faculty, and staff. Continuous efforts to update and improve these practices are essential for aligning with evolving diversity standards and genuinely promoting an inclusive academic environment.</w:t>
      </w:r>
    </w:p>
    <w:p w14:paraId="39BCE26E" w14:textId="77777777" w:rsidR="001F31D9" w:rsidRPr="00DA2128" w:rsidRDefault="001F31D9" w:rsidP="00A937C6">
      <w:pPr>
        <w:spacing w:line="240" w:lineRule="auto"/>
        <w:rPr>
          <w:sz w:val="22"/>
          <w:szCs w:val="22"/>
        </w:rPr>
      </w:pPr>
    </w:p>
    <w:p w14:paraId="1E476516" w14:textId="77777777" w:rsidR="001F31D9" w:rsidRPr="00DA2128" w:rsidRDefault="001F31D9" w:rsidP="00A937C6">
      <w:pPr>
        <w:spacing w:line="240" w:lineRule="auto"/>
        <w:rPr>
          <w:sz w:val="22"/>
          <w:szCs w:val="22"/>
        </w:rPr>
      </w:pPr>
    </w:p>
    <w:p w14:paraId="33FDCFA4" w14:textId="77777777" w:rsidR="001F31D9" w:rsidRPr="00DA2128" w:rsidRDefault="001F31D9" w:rsidP="00A937C6">
      <w:pPr>
        <w:pStyle w:val="Sub-subheading"/>
        <w:spacing w:line="240" w:lineRule="auto"/>
        <w:rPr>
          <w:b/>
          <w:bCs/>
        </w:rPr>
      </w:pPr>
      <w:r w:rsidRPr="00DA2128">
        <w:rPr>
          <w:b/>
          <w:bCs/>
        </w:rPr>
        <w:t xml:space="preserve">References </w:t>
      </w:r>
    </w:p>
    <w:p w14:paraId="2B138778" w14:textId="77777777" w:rsidR="001F31D9" w:rsidRPr="00DA2128" w:rsidRDefault="001F31D9" w:rsidP="00A937C6">
      <w:pPr>
        <w:spacing w:line="240" w:lineRule="auto"/>
        <w:rPr>
          <w:sz w:val="22"/>
          <w:szCs w:val="22"/>
        </w:rPr>
      </w:pPr>
      <w:r w:rsidRPr="00DA2128">
        <w:rPr>
          <w:sz w:val="22"/>
          <w:szCs w:val="22"/>
        </w:rPr>
        <w:t>BOVILL, C. 2020. Co-creation in learning and teaching: The case for a whole-class approach in higher education. Higher education, 79, 1023-1037.</w:t>
      </w:r>
    </w:p>
    <w:p w14:paraId="2740C59C" w14:textId="77777777" w:rsidR="001F31D9" w:rsidRPr="00DA2128" w:rsidRDefault="001F31D9" w:rsidP="00A937C6">
      <w:pPr>
        <w:spacing w:line="240" w:lineRule="auto"/>
        <w:rPr>
          <w:sz w:val="22"/>
          <w:szCs w:val="22"/>
        </w:rPr>
      </w:pPr>
      <w:r w:rsidRPr="00DA2128">
        <w:rPr>
          <w:sz w:val="22"/>
          <w:szCs w:val="22"/>
        </w:rPr>
        <w:t>BOVILL, C., COOK</w:t>
      </w:r>
      <w:r w:rsidRPr="00DA2128">
        <w:rPr>
          <w:rFonts w:ascii="Cambria Math" w:hAnsi="Cambria Math" w:cs="Cambria Math"/>
          <w:sz w:val="22"/>
          <w:szCs w:val="22"/>
        </w:rPr>
        <w:t>‐</w:t>
      </w:r>
      <w:r w:rsidRPr="00DA2128">
        <w:rPr>
          <w:sz w:val="22"/>
          <w:szCs w:val="22"/>
        </w:rPr>
        <w:t>SATHER, A. &amp; FELTEN, P. 2011. Students as co</w:t>
      </w:r>
      <w:r w:rsidRPr="00DA2128">
        <w:rPr>
          <w:rFonts w:ascii="Cambria Math" w:hAnsi="Cambria Math" w:cs="Cambria Math"/>
          <w:sz w:val="22"/>
          <w:szCs w:val="22"/>
        </w:rPr>
        <w:t>‐</w:t>
      </w:r>
      <w:r w:rsidRPr="00DA2128">
        <w:rPr>
          <w:sz w:val="22"/>
          <w:szCs w:val="22"/>
        </w:rPr>
        <w:t>creators of teaching approaches, course design, and curricula: implications for academic developers. International Journal for academic development, 16, 133-145.</w:t>
      </w:r>
    </w:p>
    <w:p w14:paraId="7AE9C24B" w14:textId="77777777" w:rsidR="001F31D9" w:rsidRPr="00DA2128" w:rsidRDefault="001F31D9" w:rsidP="00A937C6">
      <w:pPr>
        <w:spacing w:line="240" w:lineRule="auto"/>
        <w:rPr>
          <w:sz w:val="22"/>
          <w:szCs w:val="22"/>
        </w:rPr>
      </w:pPr>
      <w:r w:rsidRPr="00DA2128">
        <w:rPr>
          <w:sz w:val="22"/>
          <w:szCs w:val="22"/>
        </w:rPr>
        <w:t>CHILDRESS, C., NAYYAR, J. &amp; GIBSON, I. 2024. Tokenism and its long-term consequences: Evidence from the literary field. American Sociological Review, 89, 31-59.</w:t>
      </w:r>
    </w:p>
    <w:p w14:paraId="74CFA22A" w14:textId="77777777" w:rsidR="001F31D9" w:rsidRPr="00DA2128" w:rsidRDefault="001F31D9" w:rsidP="00A937C6">
      <w:pPr>
        <w:spacing w:line="240" w:lineRule="auto"/>
        <w:rPr>
          <w:sz w:val="22"/>
          <w:szCs w:val="22"/>
        </w:rPr>
      </w:pPr>
      <w:r w:rsidRPr="00DA2128">
        <w:rPr>
          <w:sz w:val="22"/>
          <w:szCs w:val="22"/>
        </w:rPr>
        <w:t>CLAEYS-KULIK, A.-L., JØRGENSEN, T. E. &amp; STÖBER, H. 2019. Diversity, Equity and Inclusion in European Higher Education Institutions: Results from the INVITED Project. European University Association.</w:t>
      </w:r>
    </w:p>
    <w:p w14:paraId="5C8D2D40" w14:textId="77777777" w:rsidR="001F31D9" w:rsidRPr="00DA2128" w:rsidRDefault="001F31D9" w:rsidP="00A937C6">
      <w:pPr>
        <w:spacing w:line="240" w:lineRule="auto"/>
        <w:rPr>
          <w:sz w:val="22"/>
          <w:szCs w:val="22"/>
        </w:rPr>
      </w:pPr>
      <w:r w:rsidRPr="00DA2128">
        <w:rPr>
          <w:sz w:val="22"/>
          <w:szCs w:val="22"/>
        </w:rPr>
        <w:t>COOK-SATHER, A., BOVILL, C. &amp; FELTEN, P. 2014. Engaging students as partners in learning and teaching: A guide for faculty, John Wiley &amp; Sons.</w:t>
      </w:r>
    </w:p>
    <w:p w14:paraId="2F0DE42A" w14:textId="77777777" w:rsidR="001F31D9" w:rsidRPr="00DA2128" w:rsidRDefault="001F31D9" w:rsidP="00A937C6">
      <w:pPr>
        <w:spacing w:line="240" w:lineRule="auto"/>
        <w:rPr>
          <w:sz w:val="22"/>
          <w:szCs w:val="22"/>
        </w:rPr>
      </w:pPr>
      <w:r w:rsidRPr="00DA2128">
        <w:rPr>
          <w:sz w:val="22"/>
          <w:szCs w:val="22"/>
        </w:rPr>
        <w:t>CROSIER, D. 2022. Towards Equity and Inclusion in Higher Education in Europe. Eurydice Report. European Education and Culture Executive Agency, European Commission.</w:t>
      </w:r>
    </w:p>
    <w:p w14:paraId="42F6F906" w14:textId="77777777" w:rsidR="001F31D9" w:rsidRPr="00DA2128" w:rsidRDefault="001F31D9" w:rsidP="00A937C6">
      <w:pPr>
        <w:spacing w:line="240" w:lineRule="auto"/>
        <w:rPr>
          <w:sz w:val="22"/>
          <w:szCs w:val="22"/>
        </w:rPr>
      </w:pPr>
      <w:r w:rsidRPr="00DA2128">
        <w:rPr>
          <w:sz w:val="22"/>
          <w:szCs w:val="22"/>
        </w:rPr>
        <w:t>DEELEY, S. J. &amp; BOVILL, C. 2017. Staff student partnership in assessment: Enhancing assessment literacy through democratic practices. Assessment &amp; Evaluation in Higher Education, 42, 463-477.</w:t>
      </w:r>
    </w:p>
    <w:p w14:paraId="17BC25E3" w14:textId="77777777" w:rsidR="001F31D9" w:rsidRPr="00DA2128" w:rsidRDefault="001F31D9" w:rsidP="00A937C6">
      <w:pPr>
        <w:spacing w:line="240" w:lineRule="auto"/>
        <w:rPr>
          <w:sz w:val="22"/>
          <w:szCs w:val="22"/>
        </w:rPr>
      </w:pPr>
      <w:r w:rsidRPr="00DA2128">
        <w:rPr>
          <w:sz w:val="22"/>
          <w:szCs w:val="22"/>
        </w:rPr>
        <w:t>EUROPEAN COMMISSION. 2020a. A Union of equality : EU anti-racism action plan 2020-2025 [Online]. https://commission.europa.eu/document/download/beb25da4-e6b9-459e-89f7-bcdbd3a8f0c8_en?filename=a_union_of_equality_eu_action_plan_against_racism_2020_-2025_en.pdf.  [Accessed 17 September 2025].</w:t>
      </w:r>
    </w:p>
    <w:p w14:paraId="28062C9D" w14:textId="77777777" w:rsidR="001F31D9" w:rsidRPr="00DA2128" w:rsidRDefault="001F31D9" w:rsidP="00A937C6">
      <w:pPr>
        <w:spacing w:line="240" w:lineRule="auto"/>
        <w:rPr>
          <w:sz w:val="22"/>
          <w:szCs w:val="22"/>
        </w:rPr>
      </w:pPr>
      <w:r w:rsidRPr="00DA2128">
        <w:rPr>
          <w:sz w:val="22"/>
          <w:szCs w:val="22"/>
        </w:rPr>
        <w:t>EUROPEAN COMMISSION. 2020b. A Union of Equality: Gender Equality Strategy 2020-2025 [Online]. https://ec.europa.eu/newsroom/just/items/682425/en.  [Accessed 17 September 2025].</w:t>
      </w:r>
    </w:p>
    <w:p w14:paraId="0FEA50E4" w14:textId="77777777" w:rsidR="001F31D9" w:rsidRPr="00DA2128" w:rsidRDefault="001F31D9" w:rsidP="00A937C6">
      <w:pPr>
        <w:spacing w:line="240" w:lineRule="auto"/>
        <w:rPr>
          <w:sz w:val="22"/>
          <w:szCs w:val="22"/>
        </w:rPr>
      </w:pPr>
      <w:r w:rsidRPr="00DA2128">
        <w:rPr>
          <w:sz w:val="22"/>
          <w:szCs w:val="22"/>
        </w:rPr>
        <w:t>EUROPEAN COMMISSION 2020c. A Union of Equality: Gender Equality Strategy 2020–2025 (COM/2020/152 final). Brussels: European Commission.</w:t>
      </w:r>
    </w:p>
    <w:p w14:paraId="2B2DE3BE" w14:textId="77777777" w:rsidR="001F31D9" w:rsidRPr="00DA2128" w:rsidRDefault="001F31D9" w:rsidP="00A937C6">
      <w:pPr>
        <w:spacing w:line="240" w:lineRule="auto"/>
        <w:rPr>
          <w:sz w:val="22"/>
          <w:szCs w:val="22"/>
        </w:rPr>
      </w:pPr>
      <w:r w:rsidRPr="00DA2128">
        <w:rPr>
          <w:sz w:val="22"/>
          <w:szCs w:val="22"/>
        </w:rPr>
        <w:t>EUROPEAN COMMISSION 2021. Guidance Note on the Collection and Use of Equality Data Based on Racial or Ethnic Origin. Publications Office of the European Union Luxembourg.</w:t>
      </w:r>
    </w:p>
    <w:p w14:paraId="1A86AA3F" w14:textId="77777777" w:rsidR="001F31D9" w:rsidRPr="00DA2128" w:rsidRDefault="001F31D9" w:rsidP="00A937C6">
      <w:pPr>
        <w:spacing w:line="240" w:lineRule="auto"/>
        <w:rPr>
          <w:sz w:val="22"/>
          <w:szCs w:val="22"/>
        </w:rPr>
      </w:pPr>
      <w:r w:rsidRPr="00DA2128">
        <w:rPr>
          <w:sz w:val="22"/>
          <w:szCs w:val="22"/>
        </w:rPr>
        <w:t>EUROPEAN COMMISSION 2024. Report on the implementation of the EU anti-racism action plan 2020–2025 and on national action plans against racism and discrimination (COM/2024/419 final). Brussels: European Commission.</w:t>
      </w:r>
    </w:p>
    <w:p w14:paraId="3B3DEB88" w14:textId="77777777" w:rsidR="001F31D9" w:rsidRPr="00DA2128" w:rsidRDefault="001F31D9" w:rsidP="00A937C6">
      <w:pPr>
        <w:spacing w:line="240" w:lineRule="auto"/>
        <w:rPr>
          <w:sz w:val="22"/>
          <w:szCs w:val="22"/>
        </w:rPr>
      </w:pPr>
      <w:r w:rsidRPr="00DA2128">
        <w:rPr>
          <w:sz w:val="22"/>
          <w:szCs w:val="22"/>
        </w:rPr>
        <w:t>EUROPEAN COMMISSION &amp; DIRECTORATE-GENERAL FOR JUSTICE CONSUMERS 2025. 2025 report on gender equality in the EU, Publications Office of the European Union.</w:t>
      </w:r>
    </w:p>
    <w:p w14:paraId="5181A688" w14:textId="77777777" w:rsidR="001F31D9" w:rsidRPr="00DA2128" w:rsidRDefault="001F31D9" w:rsidP="00A937C6">
      <w:pPr>
        <w:spacing w:line="240" w:lineRule="auto"/>
        <w:rPr>
          <w:sz w:val="22"/>
          <w:szCs w:val="22"/>
        </w:rPr>
      </w:pPr>
      <w:r w:rsidRPr="00DA2128">
        <w:rPr>
          <w:sz w:val="22"/>
          <w:szCs w:val="22"/>
        </w:rPr>
        <w:t>GRAHAM, L. &amp; LINDSAY, S. 2025. From tokenism to transformation: Acknowledging the missing voices of marginalised students in higher education, beyond box-ticking frameworks. Open Scholarship of Teaching and Learning, 4.</w:t>
      </w:r>
    </w:p>
    <w:p w14:paraId="75DE9F59" w14:textId="77777777" w:rsidR="001F31D9" w:rsidRPr="00DA2128" w:rsidRDefault="001F31D9" w:rsidP="00A937C6">
      <w:pPr>
        <w:spacing w:line="240" w:lineRule="auto"/>
        <w:rPr>
          <w:sz w:val="22"/>
          <w:szCs w:val="22"/>
        </w:rPr>
      </w:pPr>
      <w:r w:rsidRPr="00DA2128">
        <w:rPr>
          <w:sz w:val="22"/>
          <w:szCs w:val="22"/>
        </w:rPr>
        <w:t>KANTER, R. M. 1977. Men and women of the corporation. New York, 209.</w:t>
      </w:r>
    </w:p>
    <w:p w14:paraId="78940168" w14:textId="77777777" w:rsidR="001F31D9" w:rsidRPr="00DA2128" w:rsidRDefault="001F31D9" w:rsidP="00A937C6">
      <w:pPr>
        <w:spacing w:line="240" w:lineRule="auto"/>
        <w:rPr>
          <w:sz w:val="22"/>
          <w:szCs w:val="22"/>
        </w:rPr>
      </w:pPr>
      <w:r w:rsidRPr="00DA2128">
        <w:rPr>
          <w:sz w:val="22"/>
          <w:szCs w:val="22"/>
        </w:rPr>
        <w:t>LAMBERT, J. R., SMITH, G. P., YEATTS, P. E. &amp; DZVURUMI, W. 2025. Token effect beliefs, stigma consciousness and the organizational attractiveness of homogeneous firms among women employees. Equality, Diversity and Inclusion: An International Journal, 44, 72-88.</w:t>
      </w:r>
    </w:p>
    <w:p w14:paraId="6106D828" w14:textId="77777777" w:rsidR="001F31D9" w:rsidRPr="00DA2128" w:rsidRDefault="001F31D9" w:rsidP="00A937C6">
      <w:pPr>
        <w:spacing w:line="240" w:lineRule="auto"/>
        <w:rPr>
          <w:sz w:val="22"/>
          <w:szCs w:val="22"/>
        </w:rPr>
      </w:pPr>
      <w:r w:rsidRPr="00DA2128">
        <w:rPr>
          <w:sz w:val="22"/>
          <w:szCs w:val="22"/>
        </w:rPr>
        <w:t>LIU, D., BJAALID, G., MENICHELLI, E. &amp; SUN, X. 2024. Empowering women in academia: navigating institutional dynamics, gender roles, and personal pursuits among female researchers in Norwegian higher education. Journal of Asian Public Policy, 1-17.</w:t>
      </w:r>
    </w:p>
    <w:p w14:paraId="5E9F6D97" w14:textId="77777777" w:rsidR="001F31D9" w:rsidRPr="00DA2128" w:rsidRDefault="001F31D9" w:rsidP="00A937C6">
      <w:pPr>
        <w:spacing w:line="240" w:lineRule="auto"/>
        <w:rPr>
          <w:sz w:val="22"/>
          <w:szCs w:val="22"/>
        </w:rPr>
      </w:pPr>
      <w:r w:rsidRPr="00DA2128">
        <w:rPr>
          <w:sz w:val="22"/>
          <w:szCs w:val="22"/>
        </w:rPr>
        <w:t>LOUTH, J., WALSH, K. &amp; GOODWIN-SMITH, I. 2019. “Making sure that the students aren’t just a tick box”: Evaluating the Student Voice Australia Pilot.</w:t>
      </w:r>
    </w:p>
    <w:p w14:paraId="253C2BC0" w14:textId="77777777" w:rsidR="001F31D9" w:rsidRPr="00DA2128" w:rsidRDefault="001F31D9" w:rsidP="00A937C6">
      <w:pPr>
        <w:spacing w:line="240" w:lineRule="auto"/>
        <w:rPr>
          <w:sz w:val="22"/>
          <w:szCs w:val="22"/>
        </w:rPr>
      </w:pPr>
      <w:r w:rsidRPr="008B5D20">
        <w:rPr>
          <w:sz w:val="22"/>
          <w:szCs w:val="22"/>
          <w:lang w:val="sv-SE"/>
        </w:rPr>
        <w:t xml:space="preserve">MERCER-MAPSTONE, L. &amp; BOVILL, C. 2020. </w:t>
      </w:r>
      <w:r w:rsidRPr="00DA2128">
        <w:rPr>
          <w:sz w:val="22"/>
          <w:szCs w:val="22"/>
        </w:rPr>
        <w:t>Equity and diversity in institutional approaches to student–staff partnership schemes in higher education. Studies in Higher Education, 45, 2541-2557.</w:t>
      </w:r>
    </w:p>
    <w:p w14:paraId="10671BD3" w14:textId="77777777" w:rsidR="001F31D9" w:rsidRPr="00DA2128" w:rsidRDefault="001F31D9" w:rsidP="00A937C6">
      <w:pPr>
        <w:spacing w:line="240" w:lineRule="auto"/>
        <w:rPr>
          <w:sz w:val="22"/>
          <w:szCs w:val="22"/>
        </w:rPr>
      </w:pPr>
      <w:r w:rsidRPr="00DA2128">
        <w:rPr>
          <w:sz w:val="22"/>
          <w:szCs w:val="22"/>
        </w:rPr>
        <w:t>NAKAJIMA, K., SHIRASU, Y. &amp; KODERA, E. 2025. Tokenism in gender diversity on board of directors. Journal of the Japanese and International Economies, 75, 101342.</w:t>
      </w:r>
    </w:p>
    <w:p w14:paraId="5EA33488" w14:textId="77777777" w:rsidR="001F31D9" w:rsidRPr="00DA2128" w:rsidRDefault="001F31D9" w:rsidP="00A937C6">
      <w:pPr>
        <w:spacing w:line="240" w:lineRule="auto"/>
        <w:rPr>
          <w:sz w:val="22"/>
          <w:szCs w:val="22"/>
        </w:rPr>
      </w:pPr>
      <w:r w:rsidRPr="00DA2128">
        <w:rPr>
          <w:sz w:val="22"/>
          <w:szCs w:val="22"/>
        </w:rPr>
        <w:t>OFFICE OF THE UNITED NATIONS HIGH COMMISSIONER FOR HUMAN RIGHTS (OHCHR) 2018. A Human Rights-Based Approach to Data: Leaving No One Behind in the 2030 Agenda for Sustainable Development. Guidance Note to Data Collection and Disaggregation. Geneva: United Nations.</w:t>
      </w:r>
    </w:p>
    <w:p w14:paraId="07EFA1EB" w14:textId="77777777" w:rsidR="00AE5867" w:rsidRPr="00DA2128" w:rsidRDefault="00AE5867" w:rsidP="00A937C6">
      <w:pPr>
        <w:spacing w:line="240" w:lineRule="auto"/>
        <w:rPr>
          <w:sz w:val="22"/>
          <w:szCs w:val="22"/>
        </w:rPr>
      </w:pPr>
    </w:p>
    <w:p w14:paraId="5E536A7B" w14:textId="77777777" w:rsidR="00C348B4" w:rsidRPr="00DA2128" w:rsidRDefault="00C348B4" w:rsidP="00A937C6">
      <w:pPr>
        <w:spacing w:line="240" w:lineRule="auto"/>
        <w:rPr>
          <w:sz w:val="22"/>
          <w:szCs w:val="22"/>
        </w:rPr>
      </w:pPr>
    </w:p>
    <w:p w14:paraId="4128EBCB" w14:textId="1C585C89" w:rsidR="00C348B4" w:rsidRPr="00DA2128" w:rsidRDefault="00C348B4" w:rsidP="00A937C6">
      <w:pPr>
        <w:pStyle w:val="Heading1"/>
        <w:spacing w:line="240" w:lineRule="auto"/>
      </w:pPr>
      <w:bookmarkStart w:id="15" w:name="_Toc211351793"/>
      <w:r w:rsidRPr="00DA2128">
        <w:t xml:space="preserve">Task number 5.6: </w:t>
      </w:r>
      <w:r w:rsidR="00DA0B42" w:rsidRPr="00DA2128">
        <w:t>Conduct EDI Policy Research (EDI Research Perspectives)</w:t>
      </w:r>
      <w:bookmarkEnd w:id="15"/>
      <w:r w:rsidRPr="00DA2128">
        <w:t xml:space="preserve"> </w:t>
      </w:r>
    </w:p>
    <w:p w14:paraId="24F6F3EA" w14:textId="77777777" w:rsidR="00C348B4" w:rsidRPr="00DA2128" w:rsidRDefault="00C348B4" w:rsidP="00A937C6">
      <w:pPr>
        <w:spacing w:line="240" w:lineRule="auto"/>
        <w:rPr>
          <w:sz w:val="22"/>
          <w:szCs w:val="22"/>
        </w:rPr>
      </w:pPr>
    </w:p>
    <w:p w14:paraId="10E26AC6" w14:textId="3ABBAC62" w:rsidR="000149D7" w:rsidRPr="00DA2128" w:rsidRDefault="000149D7" w:rsidP="00A937C6">
      <w:pPr>
        <w:spacing w:line="240" w:lineRule="auto"/>
        <w:rPr>
          <w:sz w:val="22"/>
          <w:szCs w:val="22"/>
        </w:rPr>
      </w:pPr>
      <w:r w:rsidRPr="00DA2128">
        <w:rPr>
          <w:sz w:val="22"/>
          <w:szCs w:val="22"/>
        </w:rPr>
        <w:t>Research and scientific evidence have been consistently integrated across all processes within WP5. This reflects the conviction that robust research perspectives are indispensable in guiding the alliance’s efforts, ensuring that EDI work is grounded in evidence and aligned with international guidelines as well as best practices. Research has thus been deliberately embedded in order to validate methods, discuss different approaches and evaluate outcomes, enabling the alliance to progress with confidence towards its objectives.</w:t>
      </w:r>
    </w:p>
    <w:p w14:paraId="434BE855" w14:textId="35CECD9F" w:rsidR="000149D7" w:rsidRPr="00DA2128" w:rsidRDefault="000149D7" w:rsidP="00A937C6">
      <w:pPr>
        <w:spacing w:line="240" w:lineRule="auto"/>
        <w:rPr>
          <w:sz w:val="22"/>
          <w:szCs w:val="22"/>
        </w:rPr>
      </w:pPr>
      <w:r w:rsidRPr="00DA2128">
        <w:rPr>
          <w:sz w:val="22"/>
          <w:szCs w:val="22"/>
        </w:rPr>
        <w:t>The overarching aim of WP5 has been to identify and dismantle barriers hindering the participation of underrepresented groups in higher education. Through a range of methods and research approaches, the alliance has worked towards creating a European University rooted in EDI principles. This framework ensures that institutions commit to providing equal access to education, value diversity as a reflection of society, and guarantee inclusive environments where all students and staff can reach their full potential.</w:t>
      </w:r>
    </w:p>
    <w:p w14:paraId="39CF7C8D" w14:textId="0F98C6E3" w:rsidR="000149D7" w:rsidRPr="00DA2128" w:rsidRDefault="000149D7" w:rsidP="00A937C6">
      <w:pPr>
        <w:spacing w:line="240" w:lineRule="auto"/>
        <w:rPr>
          <w:sz w:val="22"/>
          <w:szCs w:val="22"/>
        </w:rPr>
      </w:pPr>
      <w:r w:rsidRPr="00DA2128">
        <w:rPr>
          <w:sz w:val="22"/>
          <w:szCs w:val="22"/>
        </w:rPr>
        <w:t>Task 5.6 demonstrates that research permeates all aspects of WP5, informing both the processes undertaken and the outputs generated. This EDI Policy Report incorporates four different, thorough reports: the mapping of existing policies, the GCM summary, the Imagine summary, and the Indicators report. Each of these reports adheres to a structured format comprising an introduction, results, and discussion. The results were presented in pedagogical and accessible ways through graphs, thematic clusters, and tables, while the discussions situated findings within broader academic, scientific and policy debates. Good practice examples from other European universities, EU legislation, and international policy frameworks were integrated to ensure alignment with existing structures, avoid duplication, and reinforce legitimacy. This triangulation of research, practice, and policy provides a robust foundation for the joint COLOURS EDI policy.</w:t>
      </w:r>
    </w:p>
    <w:p w14:paraId="67E9EF88" w14:textId="77777777" w:rsidR="000149D7" w:rsidRPr="00DA2128" w:rsidRDefault="000149D7" w:rsidP="00A937C6">
      <w:pPr>
        <w:spacing w:line="240" w:lineRule="auto"/>
        <w:rPr>
          <w:sz w:val="22"/>
          <w:szCs w:val="22"/>
        </w:rPr>
      </w:pPr>
      <w:r w:rsidRPr="00DA2128">
        <w:rPr>
          <w:sz w:val="22"/>
          <w:szCs w:val="22"/>
        </w:rPr>
        <w:t>The first step in this process involved mapping the current state of EDI policies and guidelines across the partner universities. Each institution, through its dedicated EDI officer, contributed to a comprehensive review exercise. The findings, consolidated in the Summary of the Already Existing EDI-related Policies, demonstrated that all universities were already addressing major concerns. Those concerns included gender mainstreaming, anti-discrimination legislation, support for students with disabilities, and adaptations for those facing physical barriers. A notable gap, however, was the absence of mandatory education on EDI and its role in cultivating a university culture of belonging for all.</w:t>
      </w:r>
    </w:p>
    <w:p w14:paraId="14972B18" w14:textId="77777777" w:rsidR="000149D7" w:rsidRPr="00DA2128" w:rsidRDefault="000149D7" w:rsidP="00A937C6">
      <w:pPr>
        <w:spacing w:line="240" w:lineRule="auto"/>
        <w:rPr>
          <w:sz w:val="22"/>
          <w:szCs w:val="22"/>
        </w:rPr>
      </w:pPr>
    </w:p>
    <w:p w14:paraId="39D97F3F" w14:textId="0701E4C3" w:rsidR="000149D7" w:rsidRPr="00DA2128" w:rsidRDefault="000149D7" w:rsidP="00A937C6">
      <w:pPr>
        <w:spacing w:line="240" w:lineRule="auto"/>
        <w:rPr>
          <w:sz w:val="22"/>
          <w:szCs w:val="22"/>
        </w:rPr>
      </w:pPr>
      <w:r w:rsidRPr="00DA2128">
        <w:rPr>
          <w:sz w:val="22"/>
          <w:szCs w:val="22"/>
        </w:rPr>
        <w:t>To address this gap, research was conducted into shifting the focus from merely identifying underrepresented groups towards fostering an inclusive environment benefiting all members of the university community. By engaging large numbers of students and staff in co-creative processes, the objective was to strengthen authentic diversity practices while avoiding tokenism. All with the purpose of identifying the essence of what can be defined as an open and inclusive university environment for both staff and students.</w:t>
      </w:r>
    </w:p>
    <w:p w14:paraId="7DA62E31" w14:textId="65DFCD1E" w:rsidR="000149D7" w:rsidRPr="00DA2128" w:rsidRDefault="000149D7" w:rsidP="00A937C6">
      <w:pPr>
        <w:spacing w:line="240" w:lineRule="auto"/>
        <w:rPr>
          <w:sz w:val="22"/>
          <w:szCs w:val="22"/>
        </w:rPr>
      </w:pPr>
      <w:r w:rsidRPr="00DA2128">
        <w:rPr>
          <w:sz w:val="22"/>
          <w:szCs w:val="22"/>
        </w:rPr>
        <w:t>One of the key methodologies employed was the Imagine workshops, which engaged nearly 400 students across the alliance around the prompt: “</w:t>
      </w:r>
      <w:r w:rsidRPr="00DA2128">
        <w:rPr>
          <w:i/>
          <w:iCs/>
          <w:sz w:val="22"/>
          <w:szCs w:val="22"/>
        </w:rPr>
        <w:t>How can we make our university more inclusive for all?” </w:t>
      </w:r>
      <w:r w:rsidRPr="00DA2128">
        <w:rPr>
          <w:sz w:val="22"/>
          <w:szCs w:val="22"/>
        </w:rPr>
        <w:t xml:space="preserve">The Imagine workshops were based on scientifically validated co-creation methodology, utilising Design Thinking and a Human-Centred Approach as methods </w:t>
      </w:r>
      <w:r w:rsidR="00AA23E6" w:rsidRPr="00DA2128">
        <w:t>(Bender-Salazar, 2023, Brown, 2008)</w:t>
      </w:r>
      <w:r w:rsidRPr="00DA2128">
        <w:rPr>
          <w:sz w:val="22"/>
          <w:szCs w:val="22"/>
        </w:rPr>
        <w:t>. This approach enabled the generation of bottom-up solutions that reflected the lived realities of diverse students, while ensuring that inclusion was not reduced to numerical representation, as explained in Task 5.5. Feedback collected from participants has consistently been positive, reinforcing the practical value of the approach for shaping EDI policy in the alliance while using scientifically proven methods.</w:t>
      </w:r>
    </w:p>
    <w:p w14:paraId="1F1697F1" w14:textId="09D1D2CF" w:rsidR="000149D7" w:rsidRPr="00DA2128" w:rsidRDefault="000149D7" w:rsidP="00A937C6">
      <w:pPr>
        <w:spacing w:line="240" w:lineRule="auto"/>
        <w:rPr>
          <w:sz w:val="22"/>
          <w:szCs w:val="22"/>
        </w:rPr>
      </w:pPr>
      <w:r w:rsidRPr="00DA2128">
        <w:rPr>
          <w:sz w:val="22"/>
          <w:szCs w:val="22"/>
        </w:rPr>
        <w:t>In parallel, Group Concept Mapping </w:t>
      </w:r>
      <w:r w:rsidR="00406604" w:rsidRPr="00DA2128">
        <w:rPr>
          <w:sz w:val="22"/>
          <w:szCs w:val="22"/>
        </w:rPr>
        <w:t>(Kane and Rosas, 2017)</w:t>
      </w:r>
      <w:r w:rsidRPr="00DA2128">
        <w:rPr>
          <w:sz w:val="22"/>
          <w:szCs w:val="22"/>
        </w:rPr>
        <w:t xml:space="preserve"> was also applied as a research method, involving at least 35 staff participants from each of the nine universities. Through the prompt "</w:t>
      </w:r>
      <w:r w:rsidRPr="00DA2128">
        <w:rPr>
          <w:i/>
          <w:iCs/>
          <w:sz w:val="22"/>
          <w:szCs w:val="22"/>
        </w:rPr>
        <w:t>One important thing to improve Equity, Diversity, and Inclusion (EDI) at my university is to…</w:t>
      </w:r>
      <w:r w:rsidRPr="00DA2128">
        <w:rPr>
          <w:sz w:val="22"/>
          <w:szCs w:val="22"/>
        </w:rPr>
        <w:t>” staff members generated ideas that were subsequently clustered and prioritised, yielding insights into systemic and institutional challenges. Research evidence demonstrates that individuals engaged in participatory processes gain a stronger sense of ownership and are more likely to support implementation (</w:t>
      </w:r>
      <w:r w:rsidR="00C3761F" w:rsidRPr="00DA2128">
        <w:rPr>
          <w:sz w:val="22"/>
          <w:szCs w:val="22"/>
        </w:rPr>
        <w:t>Benci</w:t>
      </w:r>
      <w:r w:rsidR="00453CB6" w:rsidRPr="00DA2128">
        <w:rPr>
          <w:sz w:val="22"/>
          <w:szCs w:val="22"/>
        </w:rPr>
        <w:t>venga et al., 2025</w:t>
      </w:r>
      <w:r w:rsidRPr="00DA2128">
        <w:rPr>
          <w:sz w:val="22"/>
          <w:szCs w:val="22"/>
        </w:rPr>
        <w:t>), a finding that was clearly reflected in the engagement of staff. Participants of the GCM process are spread across teaching, administration, leadership, and governance roles. Importantly, the methodology ensured representation beyond those already engaged with EDI. Both the GCM and Imagine workshops engaged a wide range of participants, thereby broadening inclusivity within the process and enriching diversity.</w:t>
      </w:r>
    </w:p>
    <w:p w14:paraId="7BF5C3F8" w14:textId="7EAF03EF" w:rsidR="000149D7" w:rsidRPr="00DA2128" w:rsidRDefault="000149D7" w:rsidP="00A937C6">
      <w:pPr>
        <w:spacing w:line="240" w:lineRule="auto"/>
        <w:rPr>
          <w:sz w:val="22"/>
          <w:szCs w:val="22"/>
        </w:rPr>
      </w:pPr>
      <w:r w:rsidRPr="00DA2128">
        <w:rPr>
          <w:sz w:val="22"/>
          <w:szCs w:val="22"/>
        </w:rPr>
        <w:t>The research dimension also extended to the development of indicators for monitoring EDI initiatives. Collected and collaboratively reviewed across WP5, these indicators were refined through several iterations to ensure their applicability across the diverse institutional contexts of the alliances. By linking them to the quadruple helix model, spanning academia, industry, government, and civil society, the alliance positioned EDI not only as an academic concern but as a driver of societal transformation. This systemic framing strengthens the sustainability and adaptability of EDI work across the alliance and beyond, and is rooted in scientific argumentation. </w:t>
      </w:r>
    </w:p>
    <w:p w14:paraId="7993E921" w14:textId="77777777" w:rsidR="00A364C6" w:rsidRPr="00DA2128" w:rsidRDefault="00A364C6" w:rsidP="00A937C6">
      <w:pPr>
        <w:spacing w:line="240" w:lineRule="auto"/>
        <w:rPr>
          <w:sz w:val="22"/>
          <w:szCs w:val="22"/>
        </w:rPr>
      </w:pPr>
    </w:p>
    <w:p w14:paraId="17F9F801" w14:textId="45163673" w:rsidR="00A364C6" w:rsidRPr="00DA2128" w:rsidRDefault="00A364C6" w:rsidP="00A937C6">
      <w:pPr>
        <w:pStyle w:val="Sub-subheading"/>
        <w:spacing w:line="240" w:lineRule="auto"/>
      </w:pPr>
      <w:r w:rsidRPr="00DA2128">
        <w:t>Conclusion</w:t>
      </w:r>
    </w:p>
    <w:p w14:paraId="3747C0EF" w14:textId="1E6BEE91" w:rsidR="00C348B4" w:rsidRPr="00DA2128" w:rsidRDefault="000149D7" w:rsidP="00A937C6">
      <w:pPr>
        <w:spacing w:line="240" w:lineRule="auto"/>
        <w:rPr>
          <w:sz w:val="22"/>
          <w:szCs w:val="22"/>
        </w:rPr>
      </w:pPr>
      <w:r w:rsidRPr="00DA2128">
        <w:rPr>
          <w:sz w:val="22"/>
          <w:szCs w:val="22"/>
        </w:rPr>
        <w:t>By integrating the perspectives of staff and students, grounding decisions in scientific evidence, and aligning with broader European frameworks, the alliance has produced an EDI Policy Report that is both academically rigorous and contextually authentic. The work undertaken provides strong assurance that EDI is being advanced in a manner that is sustainable, inclusive, and impactful. Moreover, the alliance is confident that this sustained commitment to research-led EDI will foster more open mindsets towards diversity and inclusion, particularly through its engagement with the Quadruple Helix. In doing so, the COLOURS alliance will expand opportunities for underrepresented groups to access higher education and fully participate in academic life. This commitment is also expected to nurture more open mindsets towards diversity and inclusion, particularly within the Quadruple Helix framework, thereby further enhancing opportunities for underrepresented groups to access higher education.</w:t>
      </w:r>
    </w:p>
    <w:p w14:paraId="1C7D5258" w14:textId="77777777" w:rsidR="00C348B4" w:rsidRPr="00DA2128" w:rsidRDefault="00C348B4" w:rsidP="00A937C6">
      <w:pPr>
        <w:spacing w:line="240" w:lineRule="auto"/>
        <w:rPr>
          <w:sz w:val="22"/>
          <w:szCs w:val="22"/>
        </w:rPr>
      </w:pPr>
    </w:p>
    <w:p w14:paraId="462B7579" w14:textId="61BDCE08" w:rsidR="00453CB6" w:rsidRPr="00DA2128" w:rsidRDefault="00453CB6" w:rsidP="00A937C6">
      <w:pPr>
        <w:pStyle w:val="Sub-subheading"/>
        <w:spacing w:line="240" w:lineRule="auto"/>
        <w:rPr>
          <w:b/>
          <w:bCs/>
        </w:rPr>
      </w:pPr>
      <w:r w:rsidRPr="00DA2128">
        <w:rPr>
          <w:b/>
          <w:bCs/>
        </w:rPr>
        <w:t>References</w:t>
      </w:r>
    </w:p>
    <w:p w14:paraId="58545A35" w14:textId="6416F584" w:rsidR="00D501F8" w:rsidRPr="00DA2128" w:rsidRDefault="00D501F8" w:rsidP="00A937C6">
      <w:pPr>
        <w:spacing w:line="240" w:lineRule="auto"/>
      </w:pPr>
      <w:r w:rsidRPr="00DA2128">
        <w:t>BENDER-SALAZAR, R. 2023. Design thinking as an effective method for problem-setting and needfinding for entrepreneurial teams addressing wicked problems. Journal of Innovation and Entrepreneurship, 12, 24.</w:t>
      </w:r>
    </w:p>
    <w:p w14:paraId="1ADFD4BF" w14:textId="7A233685" w:rsidR="00453CB6" w:rsidRPr="00DA2128" w:rsidRDefault="00453CB6" w:rsidP="00A937C6">
      <w:pPr>
        <w:pStyle w:val="EndNoteBibliography"/>
        <w:spacing w:after="0"/>
      </w:pPr>
      <w:r w:rsidRPr="00DA2128">
        <w:t>BENCIVENGA, R., CAMPANINI VILHENA, F. &amp; TARAMASSO, A. C. 2025. The European Union’s Push for Equality, Diversity and Inclusion (EDI) and Its Implications for Career Development: A Perspective on Skills and Competences. In: LEONE, C. (ed.) Career Development - Challenges and Opportunities in Contemporary Societies. Rijeka: IntechOpen.</w:t>
      </w:r>
    </w:p>
    <w:p w14:paraId="174B7660" w14:textId="77777777" w:rsidR="008C3D2B" w:rsidRPr="00DA2128" w:rsidRDefault="008C3D2B" w:rsidP="00A937C6">
      <w:pPr>
        <w:pStyle w:val="EndNoteBibliography"/>
        <w:spacing w:after="0"/>
        <w:ind w:left="142"/>
        <w:rPr>
          <w:color w:val="auto"/>
          <w:spacing w:val="0"/>
          <w:kern w:val="0"/>
          <w:sz w:val="22"/>
        </w:rPr>
      </w:pPr>
    </w:p>
    <w:p w14:paraId="67A7A9F3" w14:textId="57072710" w:rsidR="00A7166F" w:rsidRPr="00DA2128" w:rsidRDefault="008C3D2B" w:rsidP="00A937C6">
      <w:pPr>
        <w:spacing w:line="240" w:lineRule="auto"/>
      </w:pPr>
      <w:r w:rsidRPr="00DA2128">
        <w:t>BROWN, T. 2008. Design thinking. Harvard business review, 86, 84.</w:t>
      </w:r>
    </w:p>
    <w:p w14:paraId="10F5AE8F" w14:textId="7D6E8136" w:rsidR="00A7166F" w:rsidRPr="00DA2128" w:rsidRDefault="00A7166F" w:rsidP="00A937C6">
      <w:pPr>
        <w:spacing w:line="240" w:lineRule="auto"/>
      </w:pPr>
      <w:r w:rsidRPr="00DA2128">
        <w:t>KANE, M. &amp; ROSAS, S. 2017. Conversations about group concept mapping:</w:t>
      </w:r>
      <w:r w:rsidR="00E511EA" w:rsidRPr="00DA2128">
        <w:t xml:space="preserve"> </w:t>
      </w:r>
      <w:r w:rsidRPr="00DA2128">
        <w:t>Applications, examples, and enhancements, SAGE publications.</w:t>
      </w:r>
    </w:p>
    <w:p w14:paraId="48877DE6" w14:textId="77777777" w:rsidR="00A7166F" w:rsidRPr="00DA2128" w:rsidRDefault="00A7166F" w:rsidP="00A937C6">
      <w:pPr>
        <w:spacing w:line="240" w:lineRule="auto"/>
        <w:rPr>
          <w:sz w:val="22"/>
          <w:szCs w:val="22"/>
        </w:rPr>
      </w:pPr>
    </w:p>
    <w:p w14:paraId="0ECCAD13" w14:textId="74D15250" w:rsidR="00C348B4" w:rsidRPr="00DA2128" w:rsidRDefault="00C348B4" w:rsidP="00A937C6">
      <w:pPr>
        <w:pStyle w:val="Heading1"/>
        <w:spacing w:line="240" w:lineRule="auto"/>
      </w:pPr>
      <w:bookmarkStart w:id="16" w:name="_Toc211351794"/>
      <w:r w:rsidRPr="00DA2128">
        <w:t xml:space="preserve">Task number 5.7: EDI </w:t>
      </w:r>
      <w:r w:rsidR="00650824" w:rsidRPr="00DA2128">
        <w:t>Monitoring</w:t>
      </w:r>
      <w:bookmarkEnd w:id="16"/>
      <w:r w:rsidRPr="00DA2128">
        <w:t xml:space="preserve"> </w:t>
      </w:r>
    </w:p>
    <w:p w14:paraId="4C332012" w14:textId="7F46BE34" w:rsidR="00F44CDC" w:rsidRPr="00DA2128" w:rsidRDefault="00F44CDC" w:rsidP="00A937C6">
      <w:pPr>
        <w:spacing w:line="240" w:lineRule="auto"/>
        <w:rPr>
          <w:sz w:val="22"/>
          <w:szCs w:val="22"/>
        </w:rPr>
      </w:pPr>
      <w:r w:rsidRPr="00DA2128">
        <w:rPr>
          <w:sz w:val="22"/>
          <w:szCs w:val="22"/>
        </w:rPr>
        <w:t>Effective monitoring mechanisms have been central to ensuring that the work of WP5 progresses in a structured and transparent manner. From the outset of the project, EDI Officers were appointed at each partner university to act as representatives of the alliance’s EDI efforts. Their role has been pivotal in bridging institutional practices with the collective goals of the COLOURS alliance, while also serving as key advocates for underrepresented groups by drawing on their expertise and contextual knowledge of EDI within their respective institutions.</w:t>
      </w:r>
    </w:p>
    <w:p w14:paraId="32026EC4" w14:textId="3547F12E" w:rsidR="00F44CDC" w:rsidRPr="00DA2128" w:rsidRDefault="00F44CDC" w:rsidP="00A937C6">
      <w:pPr>
        <w:spacing w:line="240" w:lineRule="auto"/>
        <w:rPr>
          <w:sz w:val="22"/>
          <w:szCs w:val="22"/>
        </w:rPr>
      </w:pPr>
      <w:r w:rsidRPr="00DA2128">
        <w:rPr>
          <w:sz w:val="22"/>
          <w:szCs w:val="22"/>
        </w:rPr>
        <w:t>Monthly meetings have been established as a core element of the monitoring process. These gatherings serve multiple purposes: to follow up on the progress of WP5 tasks, provide regular updates from each institution, ensure accountability, and maintain transparency regarding the direction and development of the work. The meetings also function as a platform to distribute responsibilities fairly, clarify expectations, and guarantee that no partner or representative is left without guidance or information. Each partner university submits monthly progress reports, which are compiled to provide a comprehensive overview of achievements, challenges, and next steps.</w:t>
      </w:r>
    </w:p>
    <w:p w14:paraId="5A7E9E45" w14:textId="1B340586" w:rsidR="00F44CDC" w:rsidRPr="00DA2128" w:rsidRDefault="00F44CDC" w:rsidP="00A937C6">
      <w:pPr>
        <w:spacing w:line="240" w:lineRule="auto"/>
        <w:rPr>
          <w:sz w:val="22"/>
          <w:szCs w:val="22"/>
        </w:rPr>
      </w:pPr>
      <w:r w:rsidRPr="00DA2128">
        <w:rPr>
          <w:sz w:val="22"/>
          <w:szCs w:val="22"/>
        </w:rPr>
        <w:t>In addition to the regular coordination meetings of the EDI Officers, WP5 has participated in other, broader meetings involving the leads and co-leads alongside a wider group of colleagues engaged in EDI matters. These gatherings allow for deeper discussion of major deliverables, timelines, and cross-cutting issues. They provide a space to address larger strategic questions and to align local activities with the alliance-wide objectives.</w:t>
      </w:r>
    </w:p>
    <w:p w14:paraId="4CEEBDE9" w14:textId="20FF7DEF" w:rsidR="00F44CDC" w:rsidRPr="00DA2128" w:rsidRDefault="00F44CDC" w:rsidP="00A937C6">
      <w:pPr>
        <w:spacing w:line="240" w:lineRule="auto"/>
        <w:rPr>
          <w:sz w:val="22"/>
          <w:szCs w:val="22"/>
        </w:rPr>
      </w:pPr>
      <w:r w:rsidRPr="00DA2128">
        <w:rPr>
          <w:sz w:val="22"/>
          <w:szCs w:val="22"/>
        </w:rPr>
        <w:t>Beyond WP5, the monitoring framework has been reinforced by ensuring that EDI developments are systematically presented at higher levels of governance. The WP5 lead and co-lead regularly report on progress and emerging issues to the Steering Committee, involving the Student Forum, and other alliance-wide meetings such as annual conferences. This ensures that EDI is firmly embedded within the strategic dialogue of the alliance, strengthening both local accountability and alliance-wide coherence.</w:t>
      </w:r>
    </w:p>
    <w:p w14:paraId="2857CC33" w14:textId="44F4D07C" w:rsidR="006B152A" w:rsidRPr="00DA2128" w:rsidRDefault="00F44CDC" w:rsidP="00A937C6">
      <w:pPr>
        <w:spacing w:line="240" w:lineRule="auto"/>
        <w:rPr>
          <w:sz w:val="22"/>
          <w:szCs w:val="22"/>
        </w:rPr>
      </w:pPr>
      <w:r w:rsidRPr="00DA2128">
        <w:rPr>
          <w:sz w:val="22"/>
          <w:szCs w:val="22"/>
        </w:rPr>
        <w:t>In line with the original project plan, monitoring activities have ensured that the targets in each task are reached within the proposed timings, that progress status is reported consistently to the COLOURS Steering Board (CSB), and that the EDI approach is embedded as an integrated component across the alliance. From Month 1 to Month 24, regular progress reports have been prepared and delivered on time to the CSB, providing transparent updates on the advancement of each task in WP5. Overall, the monitoring of EDI activities within WP5 has functioned in a structured and effective manner. The combination of monthly reporting, inclusive meetings, and systematic upward reporting to governance bodies has created a  framework that supports transparency, accountability, and inclusivity. This process ensured that EDI remains a visible, integrated, and strategically significant component of the alliance’s development</w:t>
      </w:r>
      <w:r w:rsidR="0058722F" w:rsidRPr="00DA2128">
        <w:rPr>
          <w:sz w:val="22"/>
          <w:szCs w:val="22"/>
        </w:rPr>
        <w:t>.</w:t>
      </w:r>
    </w:p>
    <w:p w14:paraId="7F3C12B8" w14:textId="77777777" w:rsidR="008B2CAE" w:rsidRDefault="008B2CAE" w:rsidP="00A937C6">
      <w:pPr>
        <w:tabs>
          <w:tab w:val="left" w:pos="6381"/>
        </w:tabs>
        <w:spacing w:line="240" w:lineRule="auto"/>
        <w:rPr>
          <w:sz w:val="22"/>
          <w:szCs w:val="22"/>
        </w:rPr>
      </w:pPr>
    </w:p>
    <w:p w14:paraId="4E423D8D" w14:textId="4C8E752E" w:rsidR="00AD442B" w:rsidRPr="0045098A" w:rsidRDefault="00AD442B" w:rsidP="00A937C6">
      <w:pPr>
        <w:spacing w:line="240" w:lineRule="auto"/>
        <w:rPr>
          <w:sz w:val="22"/>
          <w:szCs w:val="22"/>
        </w:rPr>
      </w:pPr>
    </w:p>
    <w:p w14:paraId="5E403153" w14:textId="3C19C45B" w:rsidR="00760949" w:rsidRDefault="00760949">
      <w:pPr>
        <w:spacing w:line="278" w:lineRule="auto"/>
      </w:pPr>
      <w:r>
        <w:br w:type="page"/>
      </w:r>
    </w:p>
    <w:p w14:paraId="438EA4C2" w14:textId="6A538FCA" w:rsidR="00AD442B" w:rsidRDefault="00760949" w:rsidP="006017D0">
      <w:pPr>
        <w:pStyle w:val="Heading1"/>
      </w:pPr>
      <w:bookmarkStart w:id="17" w:name="_Toc211351795"/>
      <w:r>
        <w:t>Acknowledgment</w:t>
      </w:r>
      <w:bookmarkEnd w:id="17"/>
      <w:r>
        <w:t xml:space="preserve"> </w:t>
      </w:r>
    </w:p>
    <w:p w14:paraId="1DC973AB" w14:textId="77777777" w:rsidR="0086523F" w:rsidRPr="0074505B" w:rsidRDefault="0086523F" w:rsidP="0074505B">
      <w:pPr>
        <w:spacing w:line="240" w:lineRule="auto"/>
        <w:rPr>
          <w:sz w:val="22"/>
          <w:szCs w:val="22"/>
        </w:rPr>
      </w:pPr>
      <w:r w:rsidRPr="0074505B">
        <w:rPr>
          <w:sz w:val="22"/>
          <w:szCs w:val="22"/>
        </w:rPr>
        <w:t>We wish to extend our sincere appreciation to all individuals and institutions who have contributed to the development of this EDI Policy Report.</w:t>
      </w:r>
    </w:p>
    <w:p w14:paraId="546725AF" w14:textId="77777777" w:rsidR="0086523F" w:rsidRPr="0074505B" w:rsidRDefault="0086523F" w:rsidP="0074505B">
      <w:pPr>
        <w:spacing w:line="240" w:lineRule="auto"/>
        <w:rPr>
          <w:sz w:val="22"/>
          <w:szCs w:val="22"/>
        </w:rPr>
      </w:pPr>
      <w:r w:rsidRPr="0074505B">
        <w:rPr>
          <w:sz w:val="22"/>
          <w:szCs w:val="22"/>
        </w:rPr>
        <w:t>Particular thanks are due to the Equity, Diversity, and Inclusion (EDI) Officers and facilitators across the COLOURS European University Alliance. Their sustained commitment, critical insights, and collaborative engagement have been essential in shaping the collective understanding of EDI within the alliance. The continuous exchange of progress reports, regular meetings, and institution-level contributions have provided the foundation for the synthesis of findings and the formulation of strategic directions.</w:t>
      </w:r>
    </w:p>
    <w:p w14:paraId="141D9E1E" w14:textId="77777777" w:rsidR="0086523F" w:rsidRPr="0074505B" w:rsidRDefault="0086523F" w:rsidP="0074505B">
      <w:pPr>
        <w:spacing w:line="240" w:lineRule="auto"/>
        <w:rPr>
          <w:sz w:val="22"/>
          <w:szCs w:val="22"/>
        </w:rPr>
      </w:pPr>
      <w:r w:rsidRPr="0074505B">
        <w:rPr>
          <w:sz w:val="22"/>
          <w:szCs w:val="22"/>
        </w:rPr>
        <w:t>We are especially grateful to the students and staff who actively engaged in consultations, workshops, and mapping exercises. Your perspectives, lived experiences, and creative contributions have been central to ensuring that the outcomes of this report reflect the realities of our academic communities.</w:t>
      </w:r>
    </w:p>
    <w:p w14:paraId="4F479BD2" w14:textId="77777777" w:rsidR="0086523F" w:rsidRPr="0074505B" w:rsidRDefault="0086523F" w:rsidP="0074505B">
      <w:pPr>
        <w:spacing w:line="240" w:lineRule="auto"/>
        <w:rPr>
          <w:sz w:val="22"/>
          <w:szCs w:val="22"/>
        </w:rPr>
      </w:pPr>
      <w:r w:rsidRPr="0074505B">
        <w:rPr>
          <w:sz w:val="22"/>
          <w:szCs w:val="22"/>
        </w:rPr>
        <w:t>We would also like to acknowledge the invaluable support of the administrative teams and institutional leadership at each partner university. Their dedication in facilitating collaboration, enabling participation, and fostering dialogue across disciplines and sectors was critical to the advancement of this work.</w:t>
      </w:r>
    </w:p>
    <w:p w14:paraId="0931A69A" w14:textId="36CD6B61" w:rsidR="0086523F" w:rsidRPr="0074505B" w:rsidRDefault="0086523F" w:rsidP="0074505B">
      <w:pPr>
        <w:spacing w:line="240" w:lineRule="auto"/>
        <w:rPr>
          <w:sz w:val="22"/>
          <w:szCs w:val="22"/>
        </w:rPr>
      </w:pPr>
      <w:r w:rsidRPr="0074505B">
        <w:rPr>
          <w:sz w:val="22"/>
          <w:szCs w:val="22"/>
        </w:rPr>
        <w:t xml:space="preserve">This report is the outcome of a collective endeavour grounded in shared values and a mutual commitment to advancing inclusive, equitable, and diverse academic environments across </w:t>
      </w:r>
      <w:r w:rsidR="006017D0" w:rsidRPr="0074505B">
        <w:rPr>
          <w:sz w:val="22"/>
          <w:szCs w:val="22"/>
        </w:rPr>
        <w:t xml:space="preserve">our alliance, and </w:t>
      </w:r>
      <w:r w:rsidR="0074505B">
        <w:rPr>
          <w:sz w:val="22"/>
          <w:szCs w:val="22"/>
        </w:rPr>
        <w:t>beyond</w:t>
      </w:r>
      <w:r w:rsidR="006017D0" w:rsidRPr="0074505B">
        <w:rPr>
          <w:sz w:val="22"/>
          <w:szCs w:val="22"/>
        </w:rPr>
        <w:t>.</w:t>
      </w:r>
    </w:p>
    <w:p w14:paraId="3EC6F806" w14:textId="77777777" w:rsidR="00760949" w:rsidRDefault="00760949" w:rsidP="00A937C6">
      <w:pPr>
        <w:spacing w:line="240" w:lineRule="auto"/>
      </w:pPr>
    </w:p>
    <w:p w14:paraId="5FB11498" w14:textId="77777777" w:rsidR="00AD442B" w:rsidRDefault="00AD442B" w:rsidP="00A937C6">
      <w:pPr>
        <w:spacing w:line="240" w:lineRule="auto"/>
      </w:pPr>
    </w:p>
    <w:p w14:paraId="184FDE15" w14:textId="11C04097" w:rsidR="008B48FB" w:rsidRPr="00DA2128" w:rsidRDefault="008B48FB" w:rsidP="00A937C6">
      <w:pPr>
        <w:tabs>
          <w:tab w:val="left" w:pos="6381"/>
        </w:tabs>
        <w:spacing w:line="240" w:lineRule="auto"/>
        <w:rPr>
          <w:sz w:val="22"/>
          <w:szCs w:val="22"/>
        </w:rPr>
        <w:sectPr w:rsidR="008B48FB" w:rsidRPr="00DA2128" w:rsidSect="00DB4543">
          <w:pgSz w:w="11906" w:h="16838" w:code="9"/>
          <w:pgMar w:top="1418" w:right="1418" w:bottom="1418" w:left="1418" w:header="709" w:footer="709" w:gutter="0"/>
          <w:cols w:space="708"/>
          <w:docGrid w:linePitch="360"/>
        </w:sectPr>
      </w:pPr>
    </w:p>
    <w:p w14:paraId="32212EAD" w14:textId="77777777" w:rsidR="002E6B3B" w:rsidRPr="008F656E" w:rsidRDefault="002E6B3B" w:rsidP="00A937C6">
      <w:pPr>
        <w:spacing w:line="240" w:lineRule="auto"/>
      </w:pPr>
    </w:p>
    <w:sectPr w:rsidR="002E6B3B" w:rsidRPr="008F656E" w:rsidSect="002E6B3B">
      <w:headerReference w:type="first" r:id="rId45"/>
      <w:footerReference w:type="first" r:id="rId46"/>
      <w:pgSz w:w="16834" w:h="11909" w:orient="landscape" w:code="9"/>
      <w:pgMar w:top="1440" w:right="1526" w:bottom="1440" w:left="1440" w:header="1354"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982386" w14:textId="77777777" w:rsidR="00D57407" w:rsidRPr="00DA2128" w:rsidRDefault="00D57407" w:rsidP="00591402">
      <w:r w:rsidRPr="00DA2128">
        <w:separator/>
      </w:r>
    </w:p>
  </w:endnote>
  <w:endnote w:type="continuationSeparator" w:id="0">
    <w:p w14:paraId="5AEED761" w14:textId="77777777" w:rsidR="00D57407" w:rsidRPr="00DA2128" w:rsidRDefault="00D57407" w:rsidP="00591402">
      <w:r w:rsidRPr="00DA212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venir Next LT Pro">
    <w:altName w:val="Arial"/>
    <w:charset w:val="00"/>
    <w:family w:val="swiss"/>
    <w:pitch w:val="variable"/>
    <w:sig w:usb0="00000001" w:usb1="5000204A" w:usb2="00000000" w:usb3="00000000" w:csb0="00000093" w:csb1="00000000"/>
  </w:font>
  <w:font w:name="Avenir Next LT Pro Demi">
    <w:altName w:val="Arial"/>
    <w:charset w:val="00"/>
    <w:family w:val="swiss"/>
    <w:pitch w:val="variable"/>
    <w:sig w:usb0="00000001" w:usb1="5000204A" w:usb2="00000000" w:usb3="00000000" w:csb0="00000093" w:csb1="00000000"/>
  </w:font>
  <w:font w:name="AvenirNext LT Pro Regular">
    <w:altName w:val="Calibri"/>
    <w:panose1 w:val="00000000000000000000"/>
    <w:charset w:val="00"/>
    <w:family w:val="swiss"/>
    <w:notTrueType/>
    <w:pitch w:val="variable"/>
    <w:sig w:usb0="800000EF" w:usb1="5000204A" w:usb2="00000000" w:usb3="00000000" w:csb0="0000009B" w:csb1="00000000"/>
  </w:font>
  <w:font w:name="AvenirNext LT Pro Bold">
    <w:altName w:val="Avenir Next LT Pro"/>
    <w:panose1 w:val="00000000000000000000"/>
    <w:charset w:val="00"/>
    <w:family w:val="swiss"/>
    <w:notTrueType/>
    <w:pitch w:val="variable"/>
    <w:sig w:usb0="800000EF" w:usb1="5000204A" w:usb2="00000000" w:usb3="00000000" w:csb0="0000009B"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venir Next">
    <w:altName w:val="Calibri"/>
    <w:charset w:val="00"/>
    <w:family w:val="swiss"/>
    <w:pitch w:val="variable"/>
    <w:sig w:usb0="8000002F" w:usb1="5000204A" w:usb2="00000000" w:usb3="00000000" w:csb0="0000009B" w:csb1="00000000"/>
  </w:font>
  <w:font w:name="Avenir Next LT Pro Regular">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986D33" w14:textId="77777777" w:rsidR="00674374" w:rsidRDefault="0067437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87A132" w14:textId="73348114" w:rsidR="00826B2D" w:rsidRPr="00DA2128" w:rsidRDefault="008861CB" w:rsidP="00693D07">
    <w:pPr>
      <w:pStyle w:val="Footer"/>
      <w:tabs>
        <w:tab w:val="left" w:pos="6480"/>
      </w:tabs>
      <w:rPr>
        <w:rStyle w:val="Hyperlink"/>
        <w:color w:val="0070C0"/>
        <w:sz w:val="20"/>
        <w:szCs w:val="20"/>
      </w:rPr>
    </w:pPr>
    <w:r w:rsidRPr="00DA2128">
      <w:rPr>
        <w:sz w:val="20"/>
      </w:rPr>
      <w:t>https://colours-alliance.eu</w:t>
    </w:r>
    <w:r w:rsidR="00C60E27" w:rsidRPr="00DA2128">
      <w:rPr>
        <w:noProof/>
        <w:sz w:val="20"/>
        <w:szCs w:val="20"/>
        <w:lang w:eastAsia="en-GB"/>
      </w:rPr>
      <mc:AlternateContent>
        <mc:Choice Requires="wps">
          <w:drawing>
            <wp:anchor distT="0" distB="0" distL="114300" distR="114300" simplePos="0" relativeHeight="251670528" behindDoc="0" locked="0" layoutInCell="1" allowOverlap="1" wp14:anchorId="13FC1AEA" wp14:editId="06A46EE9">
              <wp:simplePos x="0" y="0"/>
              <wp:positionH relativeFrom="column">
                <wp:posOffset>0</wp:posOffset>
              </wp:positionH>
              <wp:positionV relativeFrom="paragraph">
                <wp:posOffset>-273685</wp:posOffset>
              </wp:positionV>
              <wp:extent cx="5941060" cy="0"/>
              <wp:effectExtent l="0" t="0" r="0" b="0"/>
              <wp:wrapNone/>
              <wp:docPr id="733897472" name="Straight Connector 1"/>
              <wp:cNvGraphicFramePr/>
              <a:graphic xmlns:a="http://schemas.openxmlformats.org/drawingml/2006/main">
                <a:graphicData uri="http://schemas.microsoft.com/office/word/2010/wordprocessingShape">
                  <wps:wsp>
                    <wps:cNvCnPr/>
                    <wps:spPr>
                      <a:xfrm>
                        <a:off x="0" y="0"/>
                        <a:ext cx="5941060" cy="0"/>
                      </a:xfrm>
                      <a:prstGeom prst="line">
                        <a:avLst/>
                      </a:prstGeom>
                      <a:ln w="19050">
                        <a:gradFill flip="none" rotWithShape="1">
                          <a:gsLst>
                            <a:gs pos="0">
                              <a:srgbClr val="FF0000"/>
                            </a:gs>
                            <a:gs pos="12000">
                              <a:schemeClr val="accent2"/>
                            </a:gs>
                            <a:gs pos="100000">
                              <a:schemeClr val="accent6"/>
                            </a:gs>
                            <a:gs pos="81000">
                              <a:srgbClr val="FFC000"/>
                            </a:gs>
                            <a:gs pos="65000">
                              <a:schemeClr val="accent5"/>
                            </a:gs>
                            <a:gs pos="52000">
                              <a:srgbClr val="00B0F0"/>
                            </a:gs>
                            <a:gs pos="39000">
                              <a:schemeClr val="accent4"/>
                            </a:gs>
                            <a:gs pos="25000">
                              <a:schemeClr val="accent3"/>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9FF86D" id="Straight Connector 1"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1.55pt" to="467.8pt,-21.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5i35QAIAALgFAAAOAAAAZHJzL2Uyb0RvYy54bWysVE2P2yAQvVfqf0C+NybZTbSx1lmpWaWX ql3ttuqZ4MFGwoCAxsm/74ATJ02tSK3qA7Zh3ny8eczj075VZAfOS6PLbDqhGQHNTSV1XWbfv20+ PGTEB6YrpoyGMjuAz55W7989draAmWmMqsARdKJ90dkya0KwRZ573kDL/MRY0HgojGtZwF9X55Vj HXpvVT6jdJF3xlXWGQ7e4+5zf5itkn8hgIevQngIRJUZ5hbS6tK6jWu+emRF7ZhtJD+mwf4hi5ZJ jUEHV88sMPLTyT9ctZI7440IE27a3AghOaQasJopvarmrWEWUi1IjrcDTf7/ueVfdmv94pCGzvrC 2xcXq9gL18Y35kf2iazDQBbsA+G4OV/eT+kCOeWns/wMtM6HT2BaEj/KTEkd62AF2332AYOh6ckk bitNOlTPks7picVqI5UiQkkUhUbpZMSZ8EOGJpGCxr2hR3/RQ+2JNchLj/eu3q6VIzuGbd9sKD6x 0xi19pfWU5TQEREFBwOGcQ46zMZB0d0N1GIU9TAdQL8nt477Y8kt5gNiLLn5KGh+rugyDKUf6WY8 zN3yZpj70TCz27ndXYAS6ccuoQ4Ii5MBZeM5U1DFRmLxrAhSwSte1yMTjiUBpJ4pja+zPNNXOCjo lfMKgsgKBdkrIk2O60amGJiI0mgdYQLFNQBv9PIEPNpHKKSp8jfgAZEiGx0GcCu1cUnIV2mH/RC5 tz8x0NcdKdia6pAubqIGx0Ov736Uxflz+Z/g54G7+gUAAP//AwBQSwMEFAAGAAgAAAAhAI+idsXe AAAACAEAAA8AAABkcnMvZG93bnJldi54bWxMj0FrwkAQhe8F/8Myhd50Y9NKTLMRKUgpbcFoDz2u 2TEJZmdDdtX47ztCoR7fvOG972WLwbbihL1vHCmYTiIQSKUzDVUKvrercQLCB01Gt45QwQU9LPLR XaZT485U4GkTKsEh5FOtoA6hS6X0ZY1W+4nrkNjbu97qwLKvpOn1mcNtKx+jaCatbogbat3ha43l YXO0CuKPr20R1gmtiv38880tf5L3yCn1cD8sX0AEHML/M1zxGR1yZtq5IxkvWgU8JCgYP8VTEGzP 4+cZiN3fReaZvB2Q/wIAAP//AwBQSwECLQAUAAYACAAAACEAtoM4kv4AAADhAQAAEwAAAAAAAAAA AAAAAAAAAAAAW0NvbnRlbnRfVHlwZXNdLnhtbFBLAQItABQABgAIAAAAIQA4/SH/1gAAAJQBAAAL AAAAAAAAAAAAAAAAAC8BAABfcmVscy8ucmVsc1BLAQItABQABgAIAAAAIQAF5i35QAIAALgFAAAO AAAAAAAAAAAAAAAAAC4CAABkcnMvZTJvRG9jLnhtbFBLAQItABQABgAIAAAAIQCPonbF3gAAAAgB AAAPAAAAAAAAAAAAAAAAAJoEAABkcnMvZG93bnJldi54bWxQSwUGAAAAAAQABADzAAAApQUAAAAA " strokeweight="1.5pt">
              <v:stroke joinstyle="miter"/>
            </v:line>
          </w:pict>
        </mc:Fallback>
      </mc:AlternateContent>
    </w:r>
    <w:r w:rsidR="00C60E27" w:rsidRPr="00DA2128">
      <w:rPr>
        <w:noProof/>
        <w:sz w:val="20"/>
        <w:szCs w:val="20"/>
        <w:lang w:eastAsia="en-GB"/>
      </w:rPr>
      <w:drawing>
        <wp:anchor distT="0" distB="0" distL="114300" distR="114300" simplePos="0" relativeHeight="251668480" behindDoc="0" locked="0" layoutInCell="1" allowOverlap="1" wp14:anchorId="3DB84478" wp14:editId="6D3FA640">
          <wp:simplePos x="0" y="0"/>
          <wp:positionH relativeFrom="column">
            <wp:posOffset>4438650</wp:posOffset>
          </wp:positionH>
          <wp:positionV relativeFrom="paragraph">
            <wp:posOffset>-91440</wp:posOffset>
          </wp:positionV>
          <wp:extent cx="1515110" cy="337820"/>
          <wp:effectExtent l="0" t="0" r="0" b="5080"/>
          <wp:wrapSquare wrapText="bothSides"/>
          <wp:docPr id="1064983145" name="Picture 2125949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933863" name="Picture 590933863"/>
                  <pic:cNvPicPr/>
                </pic:nvPicPr>
                <pic:blipFill>
                  <a:blip r:embed="rId1">
                    <a:extLst>
                      <a:ext uri="{28A0092B-C50C-407E-A947-70E740481C1C}">
                        <a14:useLocalDpi xmlns:a14="http://schemas.microsoft.com/office/drawing/2010/main" val="0"/>
                      </a:ext>
                    </a:extLst>
                  </a:blip>
                  <a:stretch>
                    <a:fillRect/>
                  </a:stretch>
                </pic:blipFill>
                <pic:spPr>
                  <a:xfrm>
                    <a:off x="0" y="0"/>
                    <a:ext cx="1515110" cy="337820"/>
                  </a:xfrm>
                  <a:prstGeom prst="rect">
                    <a:avLst/>
                  </a:prstGeom>
                </pic:spPr>
              </pic:pic>
            </a:graphicData>
          </a:graphic>
          <wp14:sizeRelH relativeFrom="margin">
            <wp14:pctWidth>0</wp14:pctWidth>
          </wp14:sizeRelH>
          <wp14:sizeRelV relativeFrom="margin">
            <wp14:pctHeight>0</wp14:pctHeight>
          </wp14:sizeRelV>
        </wp:anchor>
      </w:drawing>
    </w:r>
    <w:r w:rsidR="00C60E27" w:rsidRPr="00DA2128">
      <w:ptab w:relativeTo="margin" w:alignment="center" w:leader="none"/>
    </w:r>
    <w:r w:rsidR="00C60E27" w:rsidRPr="00DA2128">
      <w:fldChar w:fldCharType="begin"/>
    </w:r>
    <w:r w:rsidR="00C60E27" w:rsidRPr="00DA2128">
      <w:instrText xml:space="preserve"> PAGE   \* MERGEFORMAT </w:instrText>
    </w:r>
    <w:r w:rsidR="00C60E27" w:rsidRPr="00DA2128">
      <w:fldChar w:fldCharType="separate"/>
    </w:r>
    <w:r w:rsidR="00A1604A">
      <w:rPr>
        <w:noProof/>
      </w:rPr>
      <w:t>5</w:t>
    </w:r>
    <w:r w:rsidR="00C60E27" w:rsidRPr="00DA2128">
      <w:fldChar w:fldCharType="end"/>
    </w:r>
    <w:r w:rsidR="00C60E27" w:rsidRPr="00DA2128">
      <w:ptab w:relativeTo="margin" w:alignment="right" w:leader="none"/>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57E45C" w14:textId="1A8B5E10" w:rsidR="00C5280E" w:rsidRPr="00DA2128" w:rsidRDefault="00E26BBA" w:rsidP="00E26BBA">
    <w:pPr>
      <w:pStyle w:val="Footer"/>
      <w:tabs>
        <w:tab w:val="left" w:pos="6480"/>
      </w:tabs>
    </w:pPr>
    <w:r w:rsidRPr="00DA2128">
      <w:rPr>
        <w:noProof/>
        <w:sz w:val="20"/>
        <w:szCs w:val="20"/>
        <w:lang w:eastAsia="en-GB"/>
      </w:rPr>
      <w:drawing>
        <wp:anchor distT="0" distB="0" distL="114300" distR="114300" simplePos="0" relativeHeight="251661312" behindDoc="0" locked="0" layoutInCell="1" allowOverlap="1" wp14:anchorId="1313A529" wp14:editId="4BD42946">
          <wp:simplePos x="0" y="0"/>
          <wp:positionH relativeFrom="column">
            <wp:posOffset>-76835</wp:posOffset>
          </wp:positionH>
          <wp:positionV relativeFrom="paragraph">
            <wp:posOffset>-75508</wp:posOffset>
          </wp:positionV>
          <wp:extent cx="1666621" cy="371602"/>
          <wp:effectExtent l="0" t="0" r="0" b="9525"/>
          <wp:wrapSquare wrapText="bothSides"/>
          <wp:docPr id="2078917234" name="Picture 2" descr="Blue text on a black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040142" name="Picture 2" descr="Blue text on a black background  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66621" cy="371602"/>
                  </a:xfrm>
                  <a:prstGeom prst="rect">
                    <a:avLst/>
                  </a:prstGeom>
                </pic:spPr>
              </pic:pic>
            </a:graphicData>
          </a:graphic>
          <wp14:sizeRelH relativeFrom="margin">
            <wp14:pctWidth>0</wp14:pctWidth>
          </wp14:sizeRelH>
          <wp14:sizeRelV relativeFrom="margin">
            <wp14:pctHeight>0</wp14:pctHeight>
          </wp14:sizeRelV>
        </wp:anchor>
      </w:drawing>
    </w:r>
    <w:r w:rsidRPr="00DA2128">
      <w:rPr>
        <w:sz w:val="20"/>
        <w:szCs w:val="20"/>
      </w:rPr>
      <w:tab/>
    </w:r>
    <w:r w:rsidR="008861CB" w:rsidRPr="00DA2128">
      <w:rPr>
        <w:sz w:val="20"/>
        <w:szCs w:val="20"/>
      </w:rPr>
      <w:t>https://colours-alliance.eu</w:t>
    </w:r>
    <w:r w:rsidRPr="00DA2128">
      <w:rPr>
        <w:sz w:val="20"/>
        <w:szCs w:val="20"/>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48F990" w14:textId="6C8BF20F" w:rsidR="0051549E" w:rsidRPr="00DA2128" w:rsidRDefault="0051549E" w:rsidP="0051549E">
    <w:pPr>
      <w:pStyle w:val="Footer"/>
      <w:tabs>
        <w:tab w:val="clear" w:pos="4680"/>
        <w:tab w:val="center" w:pos="6750"/>
      </w:tabs>
    </w:pPr>
    <w:r w:rsidRPr="00DA2128">
      <w:rPr>
        <w:noProof/>
        <w:lang w:eastAsia="en-GB"/>
      </w:rPr>
      <w:drawing>
        <wp:anchor distT="0" distB="0" distL="114300" distR="114300" simplePos="0" relativeHeight="251708416" behindDoc="0" locked="0" layoutInCell="1" allowOverlap="1" wp14:anchorId="5319E39E" wp14:editId="14308EA6">
          <wp:simplePos x="0" y="0"/>
          <wp:positionH relativeFrom="column">
            <wp:posOffset>7138035</wp:posOffset>
          </wp:positionH>
          <wp:positionV relativeFrom="paragraph">
            <wp:posOffset>-122555</wp:posOffset>
          </wp:positionV>
          <wp:extent cx="1666875" cy="371475"/>
          <wp:effectExtent l="0" t="0" r="0" b="9525"/>
          <wp:wrapSquare wrapText="bothSides"/>
          <wp:docPr id="2023503425" name="Picture 15" descr="Blue text on a black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e text on a black background  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6875" cy="371475"/>
                  </a:xfrm>
                  <a:prstGeom prst="rect">
                    <a:avLst/>
                  </a:prstGeom>
                  <a:noFill/>
                </pic:spPr>
              </pic:pic>
            </a:graphicData>
          </a:graphic>
          <wp14:sizeRelH relativeFrom="margin">
            <wp14:pctWidth>0</wp14:pctWidth>
          </wp14:sizeRelH>
          <wp14:sizeRelV relativeFrom="margin">
            <wp14:pctHeight>0</wp14:pctHeight>
          </wp14:sizeRelV>
        </wp:anchor>
      </w:drawing>
    </w:r>
    <w:r w:rsidRPr="00DA2128">
      <w:rPr>
        <w:noProof/>
        <w:lang w:eastAsia="en-GB"/>
      </w:rPr>
      <mc:AlternateContent>
        <mc:Choice Requires="wps">
          <w:drawing>
            <wp:anchor distT="0" distB="0" distL="114300" distR="114300" simplePos="0" relativeHeight="251709440" behindDoc="0" locked="0" layoutInCell="1" allowOverlap="1" wp14:anchorId="233E1218" wp14:editId="4A86F1E6">
              <wp:simplePos x="0" y="0"/>
              <wp:positionH relativeFrom="column">
                <wp:posOffset>1270</wp:posOffset>
              </wp:positionH>
              <wp:positionV relativeFrom="paragraph">
                <wp:posOffset>-300355</wp:posOffset>
              </wp:positionV>
              <wp:extent cx="8802370" cy="2540"/>
              <wp:effectExtent l="0" t="0" r="36830" b="35560"/>
              <wp:wrapNone/>
              <wp:docPr id="53592893" name="Straight Connector 14"/>
              <wp:cNvGraphicFramePr/>
              <a:graphic xmlns:a="http://schemas.openxmlformats.org/drawingml/2006/main">
                <a:graphicData uri="http://schemas.microsoft.com/office/word/2010/wordprocessingShape">
                  <wps:wsp>
                    <wps:cNvCnPr/>
                    <wps:spPr>
                      <a:xfrm>
                        <a:off x="0" y="0"/>
                        <a:ext cx="8801735" cy="2540"/>
                      </a:xfrm>
                      <a:prstGeom prst="line">
                        <a:avLst/>
                      </a:prstGeom>
                      <a:ln w="19050">
                        <a:gradFill flip="none" rotWithShape="1">
                          <a:gsLst>
                            <a:gs pos="0">
                              <a:srgbClr val="FF0000"/>
                            </a:gs>
                            <a:gs pos="12000">
                              <a:schemeClr val="accent2"/>
                            </a:gs>
                            <a:gs pos="100000">
                              <a:schemeClr val="accent6"/>
                            </a:gs>
                            <a:gs pos="81000">
                              <a:srgbClr val="FFC000"/>
                            </a:gs>
                            <a:gs pos="65000">
                              <a:schemeClr val="accent5"/>
                            </a:gs>
                            <a:gs pos="52000">
                              <a:srgbClr val="00B0F0"/>
                            </a:gs>
                            <a:gs pos="39000">
                              <a:schemeClr val="accent4"/>
                            </a:gs>
                            <a:gs pos="25000">
                              <a:schemeClr val="accent3"/>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1DC8D6" id="Straight Connector 14"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23.65pt" to="693.2pt,-23.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moqQRQIAALsFAAAOAAAAZHJzL2Uyb0RvYy54bWysVE2P2yAQvVfqf0DcG5NknWatOCs1q/RS tattq54JBhsJAwIaJ/++A06cNLUitaoP2IZ58/HmMaunQ6vQnjsvjS7xdEIw4pqZSuq6xN+/bd8t MfKB6ooqo3mJj9zjp/XbN6vOFnxmGqMq7hA40b7obImbEGyRZZ41vKV+YizXcCiMa2mAX1dnlaMd eG9VNiNkkXXGVdYZxr2H3ef+EK+TfyE4C1+E8DwgVWLILaTVpXUX12y9okXtqG0kO6VB/yGLlkoN QQdXzzRQ9NPJP1y1kjnjjQgTZtrMCCEZTzVANVNyU83XhlqeagFyvB1o8v/PLfu83+gXBzR01hfe vrhYxUG4Nr4hP3RIZB0HsvghIAabyyWZvp/nGDE4m+UPicvsgrXOh4/ctCh+lFhJHUuhBd1/8gHi genZJG4rjToQ0CPJyZnIaiuVQkJJ0IUG9WDkTPghQ5N4AePe0IO/6KH2yBqgpsd7V+82yqE9hc5v twSe2GyIWvtr6ymo6ISImuMDhjLGdZiNg6K7O6jFKGo5HUC/J7eJ+2PJLfIBMZZcPgrKLxVdhyHk A9mOh5k/3g3zMBpmdj+3+RUokX7qEugA0Tgc4DZ6RhWvYiOheFoEqfgr3NgTE44mAaSeKQ2vi0LT Vzgq3ivnlQskK9Bkr4g0PG4bmWJAIkqDdYQJENcAvNPLM/BkH6E8DZa/AQ+IFNnoMIBbqY1LQr5J OxyGyL39mYG+7kjBzlTHdHcTNTAhen330yyOoOv/BL/M3PUvAAAA//8DAFBLAwQUAAYACAAAACEA dZDTKOAAAAAJAQAADwAAAGRycy9kb3ducmV2LnhtbEyPQUvDQBCF74L/YRnBW7uxKTGN2ZQiFBEt mNaDx212mgSzMyG7beO/d3PS45v3eO+bfD3aTlxwcC2Tgod5BAKpYtNSreDzsJ2lIJzXZHTHhAp+ 0MG6uL3JdWb4SiVe9r4WoYRcphU03veZlK5q0Go35x4peCcerPZBDrU0g76GctvJRRQl0uqWwkKj e3xusPren62C+G13KP1HStvytHp/4c1X+hqxUvd34+YJhMfR/4Vhwg/oUASmI5/JONEpWIScgtny MQYx2XGaLEEcp1OyAlnk8v8HxS8AAAD//wMAUEsBAi0AFAAGAAgAAAAhALaDOJL+AAAA4QEAABMA AAAAAAAAAAAAAAAAAAAAAFtDb250ZW50X1R5cGVzXS54bWxQSwECLQAUAAYACAAAACEAOP0h/9YA AACUAQAACwAAAAAAAAAAAAAAAAAvAQAAX3JlbHMvLnJlbHNQSwECLQAUAAYACAAAACEAY5qKkEUC AAC7BQAADgAAAAAAAAAAAAAAAAAuAgAAZHJzL2Uyb0RvYy54bWxQSwECLQAUAAYACAAAACEAdZDT KOAAAAAJAQAADwAAAAAAAAAAAAAAAACfBAAAZHJzL2Rvd25yZXYueG1sUEsFBgAAAAAEAAQA8wAA AKwFAAAAAA== " strokeweight="1.5pt">
              <v:stroke joinstyle="miter"/>
            </v:line>
          </w:pict>
        </mc:Fallback>
      </mc:AlternateContent>
    </w:r>
    <w:r w:rsidR="008861CB" w:rsidRPr="00DA2128">
      <w:rPr>
        <w:sz w:val="20"/>
        <w:szCs w:val="20"/>
      </w:rPr>
      <w:t>https://colours-alliance.eu</w:t>
    </w:r>
    <w:r w:rsidRPr="00DA2128">
      <w:tab/>
    </w:r>
    <w:r w:rsidRPr="00DA2128">
      <w:fldChar w:fldCharType="begin"/>
    </w:r>
    <w:r w:rsidRPr="00DA2128">
      <w:instrText xml:space="preserve"> PAGE   \* MERGEFORMAT </w:instrText>
    </w:r>
    <w:r w:rsidRPr="00DA2128">
      <w:fldChar w:fldCharType="separate"/>
    </w:r>
    <w:r w:rsidRPr="00DA2128">
      <w:t>1</w:t>
    </w:r>
    <w:r w:rsidRPr="00DA2128">
      <w:fldChar w:fldCharType="end"/>
    </w:r>
  </w:p>
  <w:p w14:paraId="54EB14FF" w14:textId="126B4FF3" w:rsidR="00793771" w:rsidRPr="00DA2128" w:rsidRDefault="00793771" w:rsidP="0051549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630807" w14:textId="77777777" w:rsidR="00D57407" w:rsidRPr="00DA2128" w:rsidRDefault="00D57407" w:rsidP="00591402">
      <w:r w:rsidRPr="00DA2128">
        <w:separator/>
      </w:r>
    </w:p>
  </w:footnote>
  <w:footnote w:type="continuationSeparator" w:id="0">
    <w:p w14:paraId="2E11BF09" w14:textId="77777777" w:rsidR="00D57407" w:rsidRPr="00DA2128" w:rsidRDefault="00D57407" w:rsidP="00591402">
      <w:r w:rsidRPr="00DA2128">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A490B9" w14:textId="77777777" w:rsidR="00674374" w:rsidRDefault="0067437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DE39DF" w14:textId="395EC74F" w:rsidR="00EA78B1" w:rsidRPr="00DA2128" w:rsidRDefault="00903636" w:rsidP="007906FB">
    <w:pPr>
      <w:pStyle w:val="Header"/>
      <w:tabs>
        <w:tab w:val="left" w:pos="9270"/>
      </w:tabs>
    </w:pPr>
    <w:r w:rsidRPr="00DA2128">
      <w:rPr>
        <w:noProof/>
        <w:lang w:eastAsia="en-GB"/>
      </w:rPr>
      <w:drawing>
        <wp:anchor distT="0" distB="0" distL="114300" distR="114300" simplePos="0" relativeHeight="251660287" behindDoc="1" locked="0" layoutInCell="1" allowOverlap="1" wp14:anchorId="484DBAD3" wp14:editId="54902816">
          <wp:simplePos x="0" y="0"/>
          <wp:positionH relativeFrom="page">
            <wp:align>right</wp:align>
          </wp:positionH>
          <wp:positionV relativeFrom="page">
            <wp:posOffset>-18415</wp:posOffset>
          </wp:positionV>
          <wp:extent cx="1675396" cy="926611"/>
          <wp:effectExtent l="0" t="0" r="1270" b="6985"/>
          <wp:wrapNone/>
          <wp:docPr id="1212183807" name="Image 152" descr="A rainbow colored lines on a black background  Description automatically generated"/>
          <wp:cNvGraphicFramePr/>
          <a:graphic xmlns:a="http://schemas.openxmlformats.org/drawingml/2006/main">
            <a:graphicData uri="http://schemas.openxmlformats.org/drawingml/2006/picture">
              <pic:pic xmlns:pic="http://schemas.openxmlformats.org/drawingml/2006/picture">
                <pic:nvPicPr>
                  <pic:cNvPr id="152" name="Image 152" descr="A rainbow colored lines on a black background  Description automatically generated"/>
                  <pic:cNvPicPr/>
                </pic:nvPicPr>
                <pic:blipFill>
                  <a:blip r:embed="rId1" cstate="print">
                    <a:alphaModFix amt="50000"/>
                    <a:extLst>
                      <a:ext uri="{28A0092B-C50C-407E-A947-70E740481C1C}">
                        <a14:useLocalDpi xmlns:a14="http://schemas.microsoft.com/office/drawing/2010/main" val="0"/>
                      </a:ext>
                    </a:extLst>
                  </a:blip>
                  <a:srcRect/>
                  <a:stretch/>
                </pic:blipFill>
                <pic:spPr>
                  <a:xfrm>
                    <a:off x="0" y="0"/>
                    <a:ext cx="1675396" cy="926611"/>
                  </a:xfrm>
                  <a:prstGeom prst="rect">
                    <a:avLst/>
                  </a:prstGeom>
                </pic:spPr>
              </pic:pic>
            </a:graphicData>
          </a:graphic>
          <wp14:sizeRelH relativeFrom="margin">
            <wp14:pctWidth>0</wp14:pctWidth>
          </wp14:sizeRelH>
          <wp14:sizeRelV relativeFrom="margin">
            <wp14:pctHeight>0</wp14:pctHeight>
          </wp14:sizeRelV>
        </wp:anchor>
      </w:drawing>
    </w:r>
    <w:r w:rsidR="00215A1F" w:rsidRPr="00DA2128">
      <w:rPr>
        <w:noProof/>
        <w:lang w:eastAsia="en-GB"/>
      </w:rPr>
      <w:drawing>
        <wp:anchor distT="0" distB="0" distL="114300" distR="114300" simplePos="0" relativeHeight="251674624" behindDoc="0" locked="0" layoutInCell="1" allowOverlap="1" wp14:anchorId="4627C30A" wp14:editId="7EB09479">
          <wp:simplePos x="0" y="0"/>
          <wp:positionH relativeFrom="column">
            <wp:posOffset>-266700</wp:posOffset>
          </wp:positionH>
          <wp:positionV relativeFrom="page">
            <wp:posOffset>-50800</wp:posOffset>
          </wp:positionV>
          <wp:extent cx="1789430" cy="895985"/>
          <wp:effectExtent l="0" t="0" r="0" b="0"/>
          <wp:wrapTopAndBottom/>
          <wp:docPr id="11268254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515274" name="Picture 1"/>
                  <pic:cNvPicPr/>
                </pic:nvPicPr>
                <pic:blipFill>
                  <a:blip r:embed="rId2">
                    <a:extLst>
                      <a:ext uri="{28A0092B-C50C-407E-A947-70E740481C1C}">
                        <a14:useLocalDpi xmlns:a14="http://schemas.microsoft.com/office/drawing/2010/main" val="0"/>
                      </a:ext>
                    </a:extLst>
                  </a:blip>
                  <a:stretch>
                    <a:fillRect/>
                  </a:stretch>
                </pic:blipFill>
                <pic:spPr>
                  <a:xfrm>
                    <a:off x="0" y="0"/>
                    <a:ext cx="1789430" cy="89598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74F9C8" w14:textId="3572B10F" w:rsidR="00E26BBA" w:rsidRPr="00DA2128" w:rsidRDefault="00B606AC">
    <w:pPr>
      <w:pStyle w:val="Header"/>
    </w:pPr>
    <w:r w:rsidRPr="00DA2128">
      <w:rPr>
        <w:noProof/>
        <w:color w:val="auto"/>
        <w:spacing w:val="0"/>
        <w:lang w:eastAsia="en-GB"/>
      </w:rPr>
      <w:drawing>
        <wp:anchor distT="0" distB="0" distL="114300" distR="114300" simplePos="0" relativeHeight="251672576" behindDoc="0" locked="0" layoutInCell="1" allowOverlap="1" wp14:anchorId="60007154" wp14:editId="406C3F59">
          <wp:simplePos x="0" y="0"/>
          <wp:positionH relativeFrom="column">
            <wp:posOffset>-825500</wp:posOffset>
          </wp:positionH>
          <wp:positionV relativeFrom="margin">
            <wp:posOffset>-1019175</wp:posOffset>
          </wp:positionV>
          <wp:extent cx="4913630" cy="2459990"/>
          <wp:effectExtent l="0" t="0" r="0" b="0"/>
          <wp:wrapSquare wrapText="bothSides"/>
          <wp:docPr id="1979171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851952"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4913630" cy="2459990"/>
                  </a:xfrm>
                  <a:prstGeom prst="rect">
                    <a:avLst/>
                  </a:prstGeom>
                </pic:spPr>
              </pic:pic>
            </a:graphicData>
          </a:graphic>
          <wp14:sizeRelH relativeFrom="margin">
            <wp14:pctWidth>0</wp14:pctWidth>
          </wp14:sizeRelH>
          <wp14:sizeRelV relativeFrom="margin">
            <wp14:pctHeight>0</wp14:pctHeight>
          </wp14:sizeRelV>
        </wp:anchor>
      </w:drawing>
    </w:r>
    <w:r w:rsidRPr="00DA2128">
      <w:rPr>
        <w:noProof/>
        <w:lang w:eastAsia="en-GB"/>
      </w:rPr>
      <w:drawing>
        <wp:anchor distT="0" distB="0" distL="114300" distR="114300" simplePos="0" relativeHeight="251666432" behindDoc="1" locked="0" layoutInCell="1" allowOverlap="1" wp14:anchorId="1BC925C1" wp14:editId="0789CEB7">
          <wp:simplePos x="0" y="0"/>
          <wp:positionH relativeFrom="column">
            <wp:posOffset>3223895</wp:posOffset>
          </wp:positionH>
          <wp:positionV relativeFrom="page">
            <wp:posOffset>5480685</wp:posOffset>
          </wp:positionV>
          <wp:extent cx="3952875" cy="5197475"/>
          <wp:effectExtent l="0" t="0" r="9525" b="3175"/>
          <wp:wrapTight wrapText="bothSides">
            <wp:wrapPolygon edited="0">
              <wp:start x="19154" y="79"/>
              <wp:lineTo x="17905" y="396"/>
              <wp:lineTo x="14990" y="1267"/>
              <wp:lineTo x="6246" y="6967"/>
              <wp:lineTo x="5205" y="7838"/>
              <wp:lineTo x="4268" y="9104"/>
              <wp:lineTo x="3956" y="10371"/>
              <wp:lineTo x="4060" y="11638"/>
              <wp:lineTo x="4580" y="12905"/>
              <wp:lineTo x="5309" y="14171"/>
              <wp:lineTo x="9369" y="19238"/>
              <wp:lineTo x="5725" y="19792"/>
              <wp:lineTo x="1978" y="20505"/>
              <wp:lineTo x="1145" y="20822"/>
              <wp:lineTo x="0" y="21455"/>
              <wp:lineTo x="0" y="21534"/>
              <wp:lineTo x="14573" y="21534"/>
              <wp:lineTo x="18425" y="19238"/>
              <wp:lineTo x="19778" y="18051"/>
              <wp:lineTo x="19778" y="16705"/>
              <wp:lineTo x="19154" y="15438"/>
              <wp:lineTo x="17176" y="12905"/>
              <wp:lineTo x="14053" y="9104"/>
              <wp:lineTo x="13324" y="7838"/>
              <wp:lineTo x="12804" y="6571"/>
              <wp:lineTo x="21548" y="6096"/>
              <wp:lineTo x="21548" y="317"/>
              <wp:lineTo x="20715" y="79"/>
              <wp:lineTo x="19154" y="79"/>
            </wp:wrapPolygon>
          </wp:wrapTight>
          <wp:docPr id="1628968426" name="Image 218" descr="A rainbow colored lines on a black background  Description automatically generated"/>
          <wp:cNvGraphicFramePr/>
          <a:graphic xmlns:a="http://schemas.openxmlformats.org/drawingml/2006/main">
            <a:graphicData uri="http://schemas.openxmlformats.org/drawingml/2006/picture">
              <pic:pic xmlns:pic="http://schemas.openxmlformats.org/drawingml/2006/picture">
                <pic:nvPicPr>
                  <pic:cNvPr id="218" name="Image 218" descr="A rainbow colored lines on a black background  Description automatically generated"/>
                  <pic:cNvPicPr/>
                </pic:nvPicPr>
                <pic:blipFill>
                  <a:blip r:embed="rId2" cstate="print">
                    <a:alphaModFix amt="50000"/>
                    <a:extLst>
                      <a:ext uri="{28A0092B-C50C-407E-A947-70E740481C1C}">
                        <a14:useLocalDpi xmlns:a14="http://schemas.microsoft.com/office/drawing/2010/main" val="0"/>
                      </a:ext>
                    </a:extLst>
                  </a:blip>
                  <a:stretch>
                    <a:fillRect/>
                  </a:stretch>
                </pic:blipFill>
                <pic:spPr>
                  <a:xfrm>
                    <a:off x="0" y="0"/>
                    <a:ext cx="3952875" cy="5197475"/>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BC8CF4" w14:textId="69C73441" w:rsidR="0051549E" w:rsidRPr="00DA2128" w:rsidRDefault="0051549E" w:rsidP="0051549E">
    <w:pPr>
      <w:pStyle w:val="Header"/>
    </w:pPr>
    <w:r w:rsidRPr="00DA2128">
      <w:rPr>
        <w:noProof/>
        <w:lang w:eastAsia="en-GB"/>
      </w:rPr>
      <w:drawing>
        <wp:anchor distT="0" distB="0" distL="114300" distR="114300" simplePos="0" relativeHeight="251705344" behindDoc="1" locked="0" layoutInCell="1" allowOverlap="1" wp14:anchorId="2FEE4EF1" wp14:editId="7550E306">
          <wp:simplePos x="0" y="0"/>
          <wp:positionH relativeFrom="page">
            <wp:align>right</wp:align>
          </wp:positionH>
          <wp:positionV relativeFrom="page">
            <wp:posOffset>-46990</wp:posOffset>
          </wp:positionV>
          <wp:extent cx="1675130" cy="926465"/>
          <wp:effectExtent l="0" t="0" r="1270" b="6985"/>
          <wp:wrapNone/>
          <wp:docPr id="1370019864" name="Picture 9" descr="A rainbow colored lines on a black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2" descr="A rainbow colored lines on a black background  Description automatically generated"/>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1675130" cy="926465"/>
                  </a:xfrm>
                  <a:prstGeom prst="rect">
                    <a:avLst/>
                  </a:prstGeom>
                  <a:noFill/>
                </pic:spPr>
              </pic:pic>
            </a:graphicData>
          </a:graphic>
          <wp14:sizeRelH relativeFrom="margin">
            <wp14:pctWidth>0</wp14:pctWidth>
          </wp14:sizeRelH>
          <wp14:sizeRelV relativeFrom="margin">
            <wp14:pctHeight>0</wp14:pctHeight>
          </wp14:sizeRelV>
        </wp:anchor>
      </w:drawing>
    </w:r>
    <w:r w:rsidRPr="00DA2128">
      <w:rPr>
        <w:noProof/>
        <w:lang w:eastAsia="en-GB"/>
      </w:rPr>
      <w:drawing>
        <wp:anchor distT="0" distB="0" distL="114300" distR="114300" simplePos="0" relativeHeight="251706368" behindDoc="0" locked="0" layoutInCell="1" allowOverlap="1" wp14:anchorId="645749F1" wp14:editId="4C4B86D8">
          <wp:simplePos x="0" y="0"/>
          <wp:positionH relativeFrom="column">
            <wp:posOffset>-247015</wp:posOffset>
          </wp:positionH>
          <wp:positionV relativeFrom="page">
            <wp:posOffset>-38100</wp:posOffset>
          </wp:positionV>
          <wp:extent cx="1790065" cy="895985"/>
          <wp:effectExtent l="0" t="0" r="0" b="0"/>
          <wp:wrapTopAndBottom/>
          <wp:docPr id="548268550" name="Picture 8" descr="A rainbow colored circle on a black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rainbow colored circle on a black background  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90065" cy="895985"/>
                  </a:xfrm>
                  <a:prstGeom prst="rect">
                    <a:avLst/>
                  </a:prstGeom>
                  <a:noFill/>
                </pic:spPr>
              </pic:pic>
            </a:graphicData>
          </a:graphic>
          <wp14:sizeRelH relativeFrom="margin">
            <wp14:pctWidth>0</wp14:pctWidth>
          </wp14:sizeRelH>
          <wp14:sizeRelV relativeFrom="margin">
            <wp14:pctHeight>0</wp14:pctHeight>
          </wp14:sizeRelV>
        </wp:anchor>
      </w:drawing>
    </w:r>
  </w:p>
  <w:p w14:paraId="0C9E2DBD" w14:textId="366DB2FF" w:rsidR="00793771" w:rsidRPr="00DA2128" w:rsidRDefault="00793771" w:rsidP="0051549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AF5377"/>
    <w:multiLevelType w:val="multilevel"/>
    <w:tmpl w:val="8AF8B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FB47668"/>
    <w:multiLevelType w:val="multilevel"/>
    <w:tmpl w:val="A19C4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91012EC"/>
    <w:multiLevelType w:val="hybridMultilevel"/>
    <w:tmpl w:val="DF601308"/>
    <w:lvl w:ilvl="0" w:tplc="79CAD87E">
      <w:start w:val="1"/>
      <w:numFmt w:val="bullet"/>
      <w:lvlText w:val=""/>
      <w:lvlJc w:val="left"/>
      <w:pPr>
        <w:ind w:left="720" w:hanging="360"/>
      </w:pPr>
      <w:rPr>
        <w:rFonts w:ascii="Symbol" w:hAnsi="Symbol" w:hint="default"/>
      </w:rPr>
    </w:lvl>
    <w:lvl w:ilvl="1" w:tplc="0E785824">
      <w:start w:val="1"/>
      <w:numFmt w:val="bullet"/>
      <w:lvlText w:val="o"/>
      <w:lvlJc w:val="left"/>
      <w:pPr>
        <w:ind w:left="1440" w:hanging="360"/>
      </w:pPr>
      <w:rPr>
        <w:rFonts w:ascii="Courier New" w:hAnsi="Courier New" w:hint="default"/>
      </w:rPr>
    </w:lvl>
    <w:lvl w:ilvl="2" w:tplc="DD36E1B0">
      <w:start w:val="1"/>
      <w:numFmt w:val="bullet"/>
      <w:lvlText w:val=""/>
      <w:lvlJc w:val="left"/>
      <w:pPr>
        <w:ind w:left="2160" w:hanging="360"/>
      </w:pPr>
      <w:rPr>
        <w:rFonts w:ascii="Wingdings" w:hAnsi="Wingdings" w:hint="default"/>
      </w:rPr>
    </w:lvl>
    <w:lvl w:ilvl="3" w:tplc="B472EAA6">
      <w:start w:val="1"/>
      <w:numFmt w:val="bullet"/>
      <w:lvlText w:val=""/>
      <w:lvlJc w:val="left"/>
      <w:pPr>
        <w:ind w:left="2880" w:hanging="360"/>
      </w:pPr>
      <w:rPr>
        <w:rFonts w:ascii="Symbol" w:hAnsi="Symbol" w:hint="default"/>
      </w:rPr>
    </w:lvl>
    <w:lvl w:ilvl="4" w:tplc="6ABE66FC">
      <w:start w:val="1"/>
      <w:numFmt w:val="bullet"/>
      <w:lvlText w:val="o"/>
      <w:lvlJc w:val="left"/>
      <w:pPr>
        <w:ind w:left="3600" w:hanging="360"/>
      </w:pPr>
      <w:rPr>
        <w:rFonts w:ascii="Courier New" w:hAnsi="Courier New" w:hint="default"/>
      </w:rPr>
    </w:lvl>
    <w:lvl w:ilvl="5" w:tplc="421EEB48">
      <w:start w:val="1"/>
      <w:numFmt w:val="bullet"/>
      <w:lvlText w:val=""/>
      <w:lvlJc w:val="left"/>
      <w:pPr>
        <w:ind w:left="4320" w:hanging="360"/>
      </w:pPr>
      <w:rPr>
        <w:rFonts w:ascii="Wingdings" w:hAnsi="Wingdings" w:hint="default"/>
      </w:rPr>
    </w:lvl>
    <w:lvl w:ilvl="6" w:tplc="AE7C64EE">
      <w:start w:val="1"/>
      <w:numFmt w:val="bullet"/>
      <w:lvlText w:val=""/>
      <w:lvlJc w:val="left"/>
      <w:pPr>
        <w:ind w:left="5040" w:hanging="360"/>
      </w:pPr>
      <w:rPr>
        <w:rFonts w:ascii="Symbol" w:hAnsi="Symbol" w:hint="default"/>
      </w:rPr>
    </w:lvl>
    <w:lvl w:ilvl="7" w:tplc="7B804200">
      <w:start w:val="1"/>
      <w:numFmt w:val="bullet"/>
      <w:lvlText w:val="o"/>
      <w:lvlJc w:val="left"/>
      <w:pPr>
        <w:ind w:left="5760" w:hanging="360"/>
      </w:pPr>
      <w:rPr>
        <w:rFonts w:ascii="Courier New" w:hAnsi="Courier New" w:hint="default"/>
      </w:rPr>
    </w:lvl>
    <w:lvl w:ilvl="8" w:tplc="88D49756">
      <w:start w:val="1"/>
      <w:numFmt w:val="bullet"/>
      <w:lvlText w:val=""/>
      <w:lvlJc w:val="left"/>
      <w:pPr>
        <w:ind w:left="6480" w:hanging="360"/>
      </w:pPr>
      <w:rPr>
        <w:rFonts w:ascii="Wingdings" w:hAnsi="Wingdings" w:hint="default"/>
      </w:rPr>
    </w:lvl>
  </w:abstractNum>
  <w:abstractNum w:abstractNumId="3">
    <w:nsid w:val="39DE2CD2"/>
    <w:multiLevelType w:val="hybridMultilevel"/>
    <w:tmpl w:val="5CF6A146"/>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nsid w:val="3A297246"/>
    <w:multiLevelType w:val="hybridMultilevel"/>
    <w:tmpl w:val="CAC6A430"/>
    <w:lvl w:ilvl="0" w:tplc="041D0019">
      <w:start w:val="1"/>
      <w:numFmt w:val="low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nsid w:val="4ED220B6"/>
    <w:multiLevelType w:val="multilevel"/>
    <w:tmpl w:val="2CF8A2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9900802"/>
    <w:multiLevelType w:val="multilevel"/>
    <w:tmpl w:val="CA3E6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A7435F7"/>
    <w:multiLevelType w:val="multilevel"/>
    <w:tmpl w:val="21926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4"/>
  </w:num>
  <w:num w:numId="4">
    <w:abstractNumId w:val="6"/>
  </w:num>
  <w:num w:numId="5">
    <w:abstractNumId w:val="0"/>
  </w:num>
  <w:num w:numId="6">
    <w:abstractNumId w:val="1"/>
  </w:num>
  <w:num w:numId="7">
    <w:abstractNumId w:val="5"/>
  </w:num>
  <w:num w:numId="8">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attachedTemplate r:id="rId1"/>
  <w:linkStyles/>
  <w:documentProtection w:edit="readOnly" w:formatting="1" w:enforcement="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2AyJzIyMTM3NjEwtjEyUdpeDU4uLM/DyQAqNaAIgqwcAsAAAA"/>
  </w:docVars>
  <w:rsids>
    <w:rsidRoot w:val="00542545"/>
    <w:rsid w:val="00007171"/>
    <w:rsid w:val="000149D7"/>
    <w:rsid w:val="00015C64"/>
    <w:rsid w:val="00021002"/>
    <w:rsid w:val="00027F5B"/>
    <w:rsid w:val="000327EC"/>
    <w:rsid w:val="0003637C"/>
    <w:rsid w:val="00053473"/>
    <w:rsid w:val="000612FE"/>
    <w:rsid w:val="0006165F"/>
    <w:rsid w:val="00064EA8"/>
    <w:rsid w:val="00066DA1"/>
    <w:rsid w:val="00074644"/>
    <w:rsid w:val="000822EB"/>
    <w:rsid w:val="00087E28"/>
    <w:rsid w:val="000938D0"/>
    <w:rsid w:val="000944C6"/>
    <w:rsid w:val="000A5E27"/>
    <w:rsid w:val="000D7547"/>
    <w:rsid w:val="000E30BB"/>
    <w:rsid w:val="000E5EE8"/>
    <w:rsid w:val="000F000E"/>
    <w:rsid w:val="000F0044"/>
    <w:rsid w:val="000F070D"/>
    <w:rsid w:val="001142A7"/>
    <w:rsid w:val="001314D8"/>
    <w:rsid w:val="00132E97"/>
    <w:rsid w:val="001365B8"/>
    <w:rsid w:val="001674A1"/>
    <w:rsid w:val="001720D0"/>
    <w:rsid w:val="00175D93"/>
    <w:rsid w:val="00176BC1"/>
    <w:rsid w:val="0017775E"/>
    <w:rsid w:val="00180EE9"/>
    <w:rsid w:val="00192DAB"/>
    <w:rsid w:val="001C6AF5"/>
    <w:rsid w:val="001D2B97"/>
    <w:rsid w:val="001D59F6"/>
    <w:rsid w:val="001E0BB6"/>
    <w:rsid w:val="001F2A4C"/>
    <w:rsid w:val="001F31D9"/>
    <w:rsid w:val="00201675"/>
    <w:rsid w:val="00202383"/>
    <w:rsid w:val="002052F6"/>
    <w:rsid w:val="00212113"/>
    <w:rsid w:val="00212245"/>
    <w:rsid w:val="00215A1F"/>
    <w:rsid w:val="00226713"/>
    <w:rsid w:val="00226B30"/>
    <w:rsid w:val="00227167"/>
    <w:rsid w:val="00242B09"/>
    <w:rsid w:val="00247CC0"/>
    <w:rsid w:val="002631B1"/>
    <w:rsid w:val="0027048B"/>
    <w:rsid w:val="002706CA"/>
    <w:rsid w:val="00277D99"/>
    <w:rsid w:val="00286D1C"/>
    <w:rsid w:val="00292DE8"/>
    <w:rsid w:val="00295B1B"/>
    <w:rsid w:val="002A762F"/>
    <w:rsid w:val="002B4A2F"/>
    <w:rsid w:val="002B6683"/>
    <w:rsid w:val="002C3A78"/>
    <w:rsid w:val="002C5B10"/>
    <w:rsid w:val="002D6A2D"/>
    <w:rsid w:val="002E6B3B"/>
    <w:rsid w:val="002F005E"/>
    <w:rsid w:val="002F394A"/>
    <w:rsid w:val="002F3965"/>
    <w:rsid w:val="00300997"/>
    <w:rsid w:val="00304DE4"/>
    <w:rsid w:val="00307996"/>
    <w:rsid w:val="003124CF"/>
    <w:rsid w:val="00320CE1"/>
    <w:rsid w:val="00320E89"/>
    <w:rsid w:val="00322712"/>
    <w:rsid w:val="00327EED"/>
    <w:rsid w:val="0035189B"/>
    <w:rsid w:val="0035681A"/>
    <w:rsid w:val="00361783"/>
    <w:rsid w:val="003741DF"/>
    <w:rsid w:val="00376FC7"/>
    <w:rsid w:val="003810DC"/>
    <w:rsid w:val="00394198"/>
    <w:rsid w:val="003B5264"/>
    <w:rsid w:val="003C2074"/>
    <w:rsid w:val="003C25B7"/>
    <w:rsid w:val="003C32D0"/>
    <w:rsid w:val="003C7969"/>
    <w:rsid w:val="003D3877"/>
    <w:rsid w:val="003D6287"/>
    <w:rsid w:val="003D6362"/>
    <w:rsid w:val="003E3926"/>
    <w:rsid w:val="003F3BBF"/>
    <w:rsid w:val="003F3FD3"/>
    <w:rsid w:val="00406604"/>
    <w:rsid w:val="00413746"/>
    <w:rsid w:val="004229DF"/>
    <w:rsid w:val="00423589"/>
    <w:rsid w:val="004329D0"/>
    <w:rsid w:val="004435A7"/>
    <w:rsid w:val="0045098A"/>
    <w:rsid w:val="00453CB6"/>
    <w:rsid w:val="0045557D"/>
    <w:rsid w:val="00456288"/>
    <w:rsid w:val="00460AF7"/>
    <w:rsid w:val="0046269A"/>
    <w:rsid w:val="00467036"/>
    <w:rsid w:val="00472CBD"/>
    <w:rsid w:val="004818B4"/>
    <w:rsid w:val="0048202C"/>
    <w:rsid w:val="0048402F"/>
    <w:rsid w:val="004C7109"/>
    <w:rsid w:val="004D7A63"/>
    <w:rsid w:val="004E1B7E"/>
    <w:rsid w:val="004E45FF"/>
    <w:rsid w:val="004E5319"/>
    <w:rsid w:val="004F1A37"/>
    <w:rsid w:val="00513691"/>
    <w:rsid w:val="0051549E"/>
    <w:rsid w:val="00521AAA"/>
    <w:rsid w:val="00522133"/>
    <w:rsid w:val="00524654"/>
    <w:rsid w:val="005266FB"/>
    <w:rsid w:val="00542545"/>
    <w:rsid w:val="00550127"/>
    <w:rsid w:val="00550E65"/>
    <w:rsid w:val="00554538"/>
    <w:rsid w:val="00575473"/>
    <w:rsid w:val="0057601B"/>
    <w:rsid w:val="00582135"/>
    <w:rsid w:val="0058302B"/>
    <w:rsid w:val="0058722F"/>
    <w:rsid w:val="00587D68"/>
    <w:rsid w:val="00591402"/>
    <w:rsid w:val="0059326B"/>
    <w:rsid w:val="005A025C"/>
    <w:rsid w:val="005A27F3"/>
    <w:rsid w:val="005A57EE"/>
    <w:rsid w:val="005A6E36"/>
    <w:rsid w:val="005D6B47"/>
    <w:rsid w:val="005D727F"/>
    <w:rsid w:val="005E045D"/>
    <w:rsid w:val="005E0EB7"/>
    <w:rsid w:val="005E2D49"/>
    <w:rsid w:val="005F0037"/>
    <w:rsid w:val="005F41C7"/>
    <w:rsid w:val="006017D0"/>
    <w:rsid w:val="0060306B"/>
    <w:rsid w:val="00625471"/>
    <w:rsid w:val="0063727F"/>
    <w:rsid w:val="00650824"/>
    <w:rsid w:val="00653BA0"/>
    <w:rsid w:val="0065446B"/>
    <w:rsid w:val="00674374"/>
    <w:rsid w:val="00677B0E"/>
    <w:rsid w:val="00680354"/>
    <w:rsid w:val="00693D07"/>
    <w:rsid w:val="006A0294"/>
    <w:rsid w:val="006A56BF"/>
    <w:rsid w:val="006A5A2C"/>
    <w:rsid w:val="006B152A"/>
    <w:rsid w:val="006B5065"/>
    <w:rsid w:val="006D12E4"/>
    <w:rsid w:val="006D210C"/>
    <w:rsid w:val="006E1EA1"/>
    <w:rsid w:val="006F0CF9"/>
    <w:rsid w:val="006F155F"/>
    <w:rsid w:val="007017C4"/>
    <w:rsid w:val="007067E3"/>
    <w:rsid w:val="00715A9A"/>
    <w:rsid w:val="00720610"/>
    <w:rsid w:val="00730CEE"/>
    <w:rsid w:val="00731ADC"/>
    <w:rsid w:val="00736EB8"/>
    <w:rsid w:val="00737FEC"/>
    <w:rsid w:val="0074505B"/>
    <w:rsid w:val="00756B08"/>
    <w:rsid w:val="00760949"/>
    <w:rsid w:val="00767A21"/>
    <w:rsid w:val="00773D77"/>
    <w:rsid w:val="00774053"/>
    <w:rsid w:val="00775EDD"/>
    <w:rsid w:val="007906B0"/>
    <w:rsid w:val="007906FB"/>
    <w:rsid w:val="00793771"/>
    <w:rsid w:val="00796BD4"/>
    <w:rsid w:val="007B2047"/>
    <w:rsid w:val="007B34CF"/>
    <w:rsid w:val="007B5DC4"/>
    <w:rsid w:val="007B5E41"/>
    <w:rsid w:val="007C2B99"/>
    <w:rsid w:val="007C4CE9"/>
    <w:rsid w:val="007C53D2"/>
    <w:rsid w:val="007C70ED"/>
    <w:rsid w:val="007D0D1A"/>
    <w:rsid w:val="007E6C4E"/>
    <w:rsid w:val="0080513D"/>
    <w:rsid w:val="00813913"/>
    <w:rsid w:val="00821CF6"/>
    <w:rsid w:val="00826B2D"/>
    <w:rsid w:val="00832635"/>
    <w:rsid w:val="00833200"/>
    <w:rsid w:val="00845010"/>
    <w:rsid w:val="008467B6"/>
    <w:rsid w:val="00851FDE"/>
    <w:rsid w:val="00852829"/>
    <w:rsid w:val="0085694E"/>
    <w:rsid w:val="0086523F"/>
    <w:rsid w:val="008861CB"/>
    <w:rsid w:val="008A2523"/>
    <w:rsid w:val="008B2CAE"/>
    <w:rsid w:val="008B3152"/>
    <w:rsid w:val="008B48FB"/>
    <w:rsid w:val="008B5D20"/>
    <w:rsid w:val="008C0AC3"/>
    <w:rsid w:val="008C3D2B"/>
    <w:rsid w:val="008D43D8"/>
    <w:rsid w:val="008D7B0E"/>
    <w:rsid w:val="008E433A"/>
    <w:rsid w:val="008F656E"/>
    <w:rsid w:val="008F65AA"/>
    <w:rsid w:val="00900636"/>
    <w:rsid w:val="00903636"/>
    <w:rsid w:val="009070E9"/>
    <w:rsid w:val="00907F13"/>
    <w:rsid w:val="009152DB"/>
    <w:rsid w:val="0091705F"/>
    <w:rsid w:val="00941949"/>
    <w:rsid w:val="0094606F"/>
    <w:rsid w:val="00946F5E"/>
    <w:rsid w:val="00947EBB"/>
    <w:rsid w:val="0095379F"/>
    <w:rsid w:val="00962152"/>
    <w:rsid w:val="00990515"/>
    <w:rsid w:val="009A17A3"/>
    <w:rsid w:val="009B1EE4"/>
    <w:rsid w:val="009B2A43"/>
    <w:rsid w:val="009F318A"/>
    <w:rsid w:val="009F3AA3"/>
    <w:rsid w:val="00A01260"/>
    <w:rsid w:val="00A02D69"/>
    <w:rsid w:val="00A05278"/>
    <w:rsid w:val="00A0534E"/>
    <w:rsid w:val="00A06D1D"/>
    <w:rsid w:val="00A15992"/>
    <w:rsid w:val="00A1604A"/>
    <w:rsid w:val="00A22680"/>
    <w:rsid w:val="00A3290F"/>
    <w:rsid w:val="00A33BE5"/>
    <w:rsid w:val="00A364C6"/>
    <w:rsid w:val="00A40D2C"/>
    <w:rsid w:val="00A47721"/>
    <w:rsid w:val="00A47F18"/>
    <w:rsid w:val="00A50258"/>
    <w:rsid w:val="00A54919"/>
    <w:rsid w:val="00A57FB5"/>
    <w:rsid w:val="00A7166F"/>
    <w:rsid w:val="00A75883"/>
    <w:rsid w:val="00A764D6"/>
    <w:rsid w:val="00A774DE"/>
    <w:rsid w:val="00A937C6"/>
    <w:rsid w:val="00AA15A5"/>
    <w:rsid w:val="00AA23E6"/>
    <w:rsid w:val="00AB1029"/>
    <w:rsid w:val="00AB5CF6"/>
    <w:rsid w:val="00AC62B6"/>
    <w:rsid w:val="00AD442B"/>
    <w:rsid w:val="00AE5867"/>
    <w:rsid w:val="00AF51C1"/>
    <w:rsid w:val="00B026AE"/>
    <w:rsid w:val="00B05CB3"/>
    <w:rsid w:val="00B23D40"/>
    <w:rsid w:val="00B255BD"/>
    <w:rsid w:val="00B32E35"/>
    <w:rsid w:val="00B41D2C"/>
    <w:rsid w:val="00B55A2E"/>
    <w:rsid w:val="00B605CC"/>
    <w:rsid w:val="00B606AC"/>
    <w:rsid w:val="00B64F9F"/>
    <w:rsid w:val="00B74870"/>
    <w:rsid w:val="00B940DD"/>
    <w:rsid w:val="00B97F50"/>
    <w:rsid w:val="00BA1C78"/>
    <w:rsid w:val="00BA1C7B"/>
    <w:rsid w:val="00BA1D9F"/>
    <w:rsid w:val="00BA75E8"/>
    <w:rsid w:val="00BB4178"/>
    <w:rsid w:val="00BC016C"/>
    <w:rsid w:val="00BD3FA3"/>
    <w:rsid w:val="00BF2912"/>
    <w:rsid w:val="00C127A3"/>
    <w:rsid w:val="00C16F43"/>
    <w:rsid w:val="00C22CBD"/>
    <w:rsid w:val="00C3471C"/>
    <w:rsid w:val="00C348B4"/>
    <w:rsid w:val="00C3761F"/>
    <w:rsid w:val="00C449B6"/>
    <w:rsid w:val="00C5280E"/>
    <w:rsid w:val="00C60E27"/>
    <w:rsid w:val="00C6342B"/>
    <w:rsid w:val="00C74182"/>
    <w:rsid w:val="00C77663"/>
    <w:rsid w:val="00C84210"/>
    <w:rsid w:val="00C85924"/>
    <w:rsid w:val="00C8755D"/>
    <w:rsid w:val="00CA2FB3"/>
    <w:rsid w:val="00CB4DEB"/>
    <w:rsid w:val="00CB5B61"/>
    <w:rsid w:val="00CD0B3C"/>
    <w:rsid w:val="00CE08F3"/>
    <w:rsid w:val="00CE7C5B"/>
    <w:rsid w:val="00D166FD"/>
    <w:rsid w:val="00D2136B"/>
    <w:rsid w:val="00D22682"/>
    <w:rsid w:val="00D25220"/>
    <w:rsid w:val="00D263C7"/>
    <w:rsid w:val="00D27176"/>
    <w:rsid w:val="00D45A90"/>
    <w:rsid w:val="00D501F8"/>
    <w:rsid w:val="00D51432"/>
    <w:rsid w:val="00D57407"/>
    <w:rsid w:val="00D7052B"/>
    <w:rsid w:val="00D75B79"/>
    <w:rsid w:val="00D77176"/>
    <w:rsid w:val="00D9494D"/>
    <w:rsid w:val="00D94B28"/>
    <w:rsid w:val="00D971E1"/>
    <w:rsid w:val="00DA0B42"/>
    <w:rsid w:val="00DA1CFE"/>
    <w:rsid w:val="00DA2128"/>
    <w:rsid w:val="00DB2FAC"/>
    <w:rsid w:val="00DB36D7"/>
    <w:rsid w:val="00DB4543"/>
    <w:rsid w:val="00DC16D1"/>
    <w:rsid w:val="00DC7B36"/>
    <w:rsid w:val="00DD3A8F"/>
    <w:rsid w:val="00DD6A49"/>
    <w:rsid w:val="00DE364C"/>
    <w:rsid w:val="00DE7C4B"/>
    <w:rsid w:val="00E141E6"/>
    <w:rsid w:val="00E16492"/>
    <w:rsid w:val="00E217BB"/>
    <w:rsid w:val="00E22720"/>
    <w:rsid w:val="00E234B7"/>
    <w:rsid w:val="00E23ADE"/>
    <w:rsid w:val="00E26BBA"/>
    <w:rsid w:val="00E30927"/>
    <w:rsid w:val="00E3250D"/>
    <w:rsid w:val="00E463FE"/>
    <w:rsid w:val="00E511EA"/>
    <w:rsid w:val="00E61971"/>
    <w:rsid w:val="00E64118"/>
    <w:rsid w:val="00E80EF8"/>
    <w:rsid w:val="00E827D8"/>
    <w:rsid w:val="00E9152D"/>
    <w:rsid w:val="00E91FDC"/>
    <w:rsid w:val="00E92398"/>
    <w:rsid w:val="00E95A5B"/>
    <w:rsid w:val="00EA78B1"/>
    <w:rsid w:val="00EB3BEE"/>
    <w:rsid w:val="00EC2113"/>
    <w:rsid w:val="00ED694E"/>
    <w:rsid w:val="00EE377E"/>
    <w:rsid w:val="00EF4502"/>
    <w:rsid w:val="00EF6164"/>
    <w:rsid w:val="00F20F0C"/>
    <w:rsid w:val="00F26ED7"/>
    <w:rsid w:val="00F3112B"/>
    <w:rsid w:val="00F32C7D"/>
    <w:rsid w:val="00F33FB5"/>
    <w:rsid w:val="00F44CDC"/>
    <w:rsid w:val="00F6468B"/>
    <w:rsid w:val="00F70FF0"/>
    <w:rsid w:val="00F712ED"/>
    <w:rsid w:val="00F72179"/>
    <w:rsid w:val="00FA1373"/>
    <w:rsid w:val="00FB69E9"/>
    <w:rsid w:val="00FC6A0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08A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549E"/>
    <w:pPr>
      <w:spacing w:line="276" w:lineRule="auto"/>
    </w:pPr>
    <w:rPr>
      <w:rFonts w:ascii="Avenir Next LT Pro" w:hAnsi="Avenir Next LT Pro"/>
      <w:color w:val="221F1F"/>
      <w:spacing w:val="-4"/>
      <w:lang w:val="en-GB"/>
    </w:rPr>
  </w:style>
  <w:style w:type="paragraph" w:styleId="Heading1">
    <w:name w:val="heading 1"/>
    <w:basedOn w:val="Normal"/>
    <w:next w:val="Normal"/>
    <w:link w:val="Heading1Char"/>
    <w:uiPriority w:val="9"/>
    <w:qFormat/>
    <w:rsid w:val="002C5B10"/>
    <w:pPr>
      <w:keepNext/>
      <w:keepLines/>
      <w:spacing w:before="360" w:after="80"/>
      <w:outlineLvl w:val="0"/>
    </w:pPr>
    <w:rPr>
      <w:rFonts w:ascii="Avenir Next LT Pro Demi" w:eastAsiaTheme="majorEastAsia" w:hAnsi="Avenir Next LT Pro Demi" w:cstheme="majorBidi"/>
      <w:sz w:val="40"/>
      <w:szCs w:val="72"/>
    </w:rPr>
  </w:style>
  <w:style w:type="paragraph" w:styleId="Heading2">
    <w:name w:val="heading 2"/>
    <w:basedOn w:val="Heading1"/>
    <w:next w:val="Normal"/>
    <w:link w:val="Heading2Char"/>
    <w:uiPriority w:val="9"/>
    <w:unhideWhenUsed/>
    <w:qFormat/>
    <w:rsid w:val="0051549E"/>
    <w:pPr>
      <w:outlineLvl w:val="1"/>
    </w:pPr>
    <w:rPr>
      <w:sz w:val="36"/>
      <w:szCs w:val="36"/>
    </w:rPr>
  </w:style>
  <w:style w:type="paragraph" w:styleId="Heading3">
    <w:name w:val="heading 3"/>
    <w:basedOn w:val="Normal"/>
    <w:next w:val="Normal"/>
    <w:link w:val="Heading3Char"/>
    <w:uiPriority w:val="9"/>
    <w:unhideWhenUsed/>
    <w:qFormat/>
    <w:rsid w:val="0051549E"/>
    <w:pPr>
      <w:spacing w:after="0"/>
      <w:outlineLvl w:val="2"/>
    </w:pPr>
    <w:rPr>
      <w:rFonts w:ascii="AvenirNext LT Pro Regular" w:hAnsi="AvenirNext LT Pro Regular"/>
    </w:rPr>
  </w:style>
  <w:style w:type="paragraph" w:styleId="Heading4">
    <w:name w:val="heading 4"/>
    <w:basedOn w:val="Normal"/>
    <w:next w:val="Normal"/>
    <w:link w:val="Heading4Char"/>
    <w:uiPriority w:val="9"/>
    <w:unhideWhenUsed/>
    <w:qFormat/>
    <w:rsid w:val="0051549E"/>
    <w:pPr>
      <w:keepNext/>
      <w:keepLines/>
      <w:spacing w:before="80" w:after="40"/>
      <w:outlineLvl w:val="3"/>
    </w:pPr>
    <w:rPr>
      <w:rFonts w:eastAsiaTheme="majorEastAsia" w:cstheme="majorBidi"/>
      <w:i/>
      <w:iCs/>
      <w:color w:val="AB1429" w:themeColor="accent1" w:themeShade="BF"/>
    </w:rPr>
  </w:style>
  <w:style w:type="paragraph" w:styleId="Heading5">
    <w:name w:val="heading 5"/>
    <w:basedOn w:val="Normal"/>
    <w:next w:val="Normal"/>
    <w:link w:val="Heading5Char"/>
    <w:uiPriority w:val="9"/>
    <w:unhideWhenUsed/>
    <w:qFormat/>
    <w:rsid w:val="0051549E"/>
    <w:pPr>
      <w:keepNext/>
      <w:keepLines/>
      <w:spacing w:before="80" w:after="40"/>
      <w:outlineLvl w:val="4"/>
    </w:pPr>
    <w:rPr>
      <w:rFonts w:eastAsiaTheme="majorEastAsia" w:cstheme="majorBidi"/>
      <w:color w:val="AB1429" w:themeColor="accent1" w:themeShade="BF"/>
    </w:rPr>
  </w:style>
  <w:style w:type="paragraph" w:styleId="Heading6">
    <w:name w:val="heading 6"/>
    <w:basedOn w:val="Normal"/>
    <w:next w:val="Normal"/>
    <w:link w:val="Heading6Char"/>
    <w:uiPriority w:val="9"/>
    <w:semiHidden/>
    <w:unhideWhenUsed/>
    <w:qFormat/>
    <w:rsid w:val="0051549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1549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1549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1549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5B10"/>
    <w:rPr>
      <w:rFonts w:ascii="Avenir Next LT Pro Demi" w:eastAsiaTheme="majorEastAsia" w:hAnsi="Avenir Next LT Pro Demi" w:cstheme="majorBidi"/>
      <w:color w:val="221F1F"/>
      <w:spacing w:val="-4"/>
      <w:sz w:val="40"/>
      <w:szCs w:val="72"/>
    </w:rPr>
  </w:style>
  <w:style w:type="character" w:customStyle="1" w:styleId="Heading2Char">
    <w:name w:val="Heading 2 Char"/>
    <w:basedOn w:val="DefaultParagraphFont"/>
    <w:link w:val="Heading2"/>
    <w:uiPriority w:val="9"/>
    <w:rsid w:val="0051549E"/>
    <w:rPr>
      <w:rFonts w:ascii="Avenir Next LT Pro Demi" w:eastAsiaTheme="majorEastAsia" w:hAnsi="Avenir Next LT Pro Demi" w:cstheme="majorBidi"/>
      <w:color w:val="221F1F"/>
      <w:spacing w:val="-4"/>
      <w:sz w:val="36"/>
      <w:szCs w:val="36"/>
    </w:rPr>
  </w:style>
  <w:style w:type="character" w:customStyle="1" w:styleId="Heading3Char">
    <w:name w:val="Heading 3 Char"/>
    <w:basedOn w:val="DefaultParagraphFont"/>
    <w:link w:val="Heading3"/>
    <w:uiPriority w:val="9"/>
    <w:rsid w:val="0051549E"/>
    <w:rPr>
      <w:rFonts w:ascii="AvenirNext LT Pro Regular" w:hAnsi="AvenirNext LT Pro Regular"/>
      <w:color w:val="221F1F"/>
      <w:spacing w:val="-4"/>
    </w:rPr>
  </w:style>
  <w:style w:type="character" w:customStyle="1" w:styleId="Heading4Char">
    <w:name w:val="Heading 4 Char"/>
    <w:basedOn w:val="DefaultParagraphFont"/>
    <w:link w:val="Heading4"/>
    <w:uiPriority w:val="9"/>
    <w:rsid w:val="0051549E"/>
    <w:rPr>
      <w:rFonts w:ascii="Avenir Next LT Pro" w:eastAsiaTheme="majorEastAsia" w:hAnsi="Avenir Next LT Pro" w:cstheme="majorBidi"/>
      <w:i/>
      <w:iCs/>
      <w:color w:val="AB1429" w:themeColor="accent1" w:themeShade="BF"/>
      <w:spacing w:val="-4"/>
    </w:rPr>
  </w:style>
  <w:style w:type="character" w:customStyle="1" w:styleId="Heading5Char">
    <w:name w:val="Heading 5 Char"/>
    <w:basedOn w:val="DefaultParagraphFont"/>
    <w:link w:val="Heading5"/>
    <w:uiPriority w:val="9"/>
    <w:rsid w:val="0051549E"/>
    <w:rPr>
      <w:rFonts w:ascii="Avenir Next LT Pro" w:eastAsiaTheme="majorEastAsia" w:hAnsi="Avenir Next LT Pro" w:cstheme="majorBidi"/>
      <w:color w:val="AB1429" w:themeColor="accent1" w:themeShade="BF"/>
      <w:spacing w:val="-4"/>
    </w:rPr>
  </w:style>
  <w:style w:type="character" w:customStyle="1" w:styleId="Heading6Char">
    <w:name w:val="Heading 6 Char"/>
    <w:basedOn w:val="DefaultParagraphFont"/>
    <w:link w:val="Heading6"/>
    <w:uiPriority w:val="9"/>
    <w:semiHidden/>
    <w:rsid w:val="0051549E"/>
    <w:rPr>
      <w:rFonts w:ascii="Avenir Next LT Pro" w:eastAsiaTheme="majorEastAsia" w:hAnsi="Avenir Next LT Pro" w:cstheme="majorBidi"/>
      <w:i/>
      <w:iCs/>
      <w:color w:val="595959" w:themeColor="text1" w:themeTint="A6"/>
      <w:spacing w:val="-4"/>
    </w:rPr>
  </w:style>
  <w:style w:type="character" w:customStyle="1" w:styleId="Heading7Char">
    <w:name w:val="Heading 7 Char"/>
    <w:basedOn w:val="DefaultParagraphFont"/>
    <w:link w:val="Heading7"/>
    <w:uiPriority w:val="9"/>
    <w:semiHidden/>
    <w:rsid w:val="0051549E"/>
    <w:rPr>
      <w:rFonts w:ascii="Avenir Next LT Pro" w:eastAsiaTheme="majorEastAsia" w:hAnsi="Avenir Next LT Pro" w:cstheme="majorBidi"/>
      <w:color w:val="595959" w:themeColor="text1" w:themeTint="A6"/>
      <w:spacing w:val="-4"/>
    </w:rPr>
  </w:style>
  <w:style w:type="character" w:customStyle="1" w:styleId="Heading8Char">
    <w:name w:val="Heading 8 Char"/>
    <w:basedOn w:val="DefaultParagraphFont"/>
    <w:link w:val="Heading8"/>
    <w:uiPriority w:val="9"/>
    <w:semiHidden/>
    <w:rsid w:val="0051549E"/>
    <w:rPr>
      <w:rFonts w:ascii="Avenir Next LT Pro" w:eastAsiaTheme="majorEastAsia" w:hAnsi="Avenir Next LT Pro" w:cstheme="majorBidi"/>
      <w:i/>
      <w:iCs/>
      <w:color w:val="272727" w:themeColor="text1" w:themeTint="D8"/>
      <w:spacing w:val="-4"/>
    </w:rPr>
  </w:style>
  <w:style w:type="character" w:customStyle="1" w:styleId="Heading9Char">
    <w:name w:val="Heading 9 Char"/>
    <w:basedOn w:val="DefaultParagraphFont"/>
    <w:link w:val="Heading9"/>
    <w:uiPriority w:val="9"/>
    <w:semiHidden/>
    <w:rsid w:val="0051549E"/>
    <w:rPr>
      <w:rFonts w:ascii="Avenir Next LT Pro" w:eastAsiaTheme="majorEastAsia" w:hAnsi="Avenir Next LT Pro" w:cstheme="majorBidi"/>
      <w:color w:val="272727" w:themeColor="text1" w:themeTint="D8"/>
      <w:spacing w:val="-4"/>
    </w:rPr>
  </w:style>
  <w:style w:type="paragraph" w:styleId="Title">
    <w:name w:val="Title"/>
    <w:basedOn w:val="Normal"/>
    <w:next w:val="Normal"/>
    <w:link w:val="TitleChar"/>
    <w:uiPriority w:val="10"/>
    <w:qFormat/>
    <w:rsid w:val="0051549E"/>
    <w:pPr>
      <w:spacing w:after="80" w:line="240" w:lineRule="auto"/>
      <w:contextualSpacing/>
    </w:pPr>
    <w:rPr>
      <w:rFonts w:ascii="Avenir Next LT Pro Demi" w:eastAsiaTheme="majorEastAsia" w:hAnsi="Avenir Next LT Pro Demi" w:cstheme="majorBidi"/>
      <w:noProof/>
      <w:spacing w:val="-10"/>
      <w:kern w:val="28"/>
      <w:sz w:val="56"/>
      <w:szCs w:val="56"/>
    </w:rPr>
  </w:style>
  <w:style w:type="character" w:customStyle="1" w:styleId="TitleChar">
    <w:name w:val="Title Char"/>
    <w:basedOn w:val="DefaultParagraphFont"/>
    <w:link w:val="Title"/>
    <w:uiPriority w:val="10"/>
    <w:rsid w:val="0051549E"/>
    <w:rPr>
      <w:rFonts w:ascii="Avenir Next LT Pro Demi" w:eastAsiaTheme="majorEastAsia" w:hAnsi="Avenir Next LT Pro Demi" w:cstheme="majorBidi"/>
      <w:noProof/>
      <w:color w:val="221F1F"/>
      <w:spacing w:val="-10"/>
      <w:kern w:val="28"/>
      <w:sz w:val="56"/>
      <w:szCs w:val="56"/>
    </w:rPr>
  </w:style>
  <w:style w:type="paragraph" w:styleId="Subtitle">
    <w:name w:val="Subtitle"/>
    <w:basedOn w:val="Normal"/>
    <w:next w:val="Normal"/>
    <w:link w:val="SubtitleChar"/>
    <w:uiPriority w:val="11"/>
    <w:qFormat/>
    <w:rsid w:val="002C5B10"/>
    <w:pPr>
      <w:numPr>
        <w:ilvl w:val="1"/>
      </w:numPr>
    </w:pPr>
    <w:rPr>
      <w:rFonts w:eastAsiaTheme="majorEastAsia" w:cstheme="majorBidi"/>
      <w:noProof/>
      <w:color w:val="595959" w:themeColor="text1" w:themeTint="A6"/>
      <w:spacing w:val="15"/>
      <w:sz w:val="36"/>
      <w:szCs w:val="40"/>
    </w:rPr>
  </w:style>
  <w:style w:type="character" w:customStyle="1" w:styleId="SubtitleChar">
    <w:name w:val="Subtitle Char"/>
    <w:basedOn w:val="DefaultParagraphFont"/>
    <w:link w:val="Subtitle"/>
    <w:uiPriority w:val="11"/>
    <w:rsid w:val="002C5B10"/>
    <w:rPr>
      <w:rFonts w:ascii="Avenir Next LT Pro" w:eastAsiaTheme="majorEastAsia" w:hAnsi="Avenir Next LT Pro" w:cstheme="majorBidi"/>
      <w:noProof/>
      <w:color w:val="595959" w:themeColor="text1" w:themeTint="A6"/>
      <w:spacing w:val="15"/>
      <w:sz w:val="36"/>
      <w:szCs w:val="40"/>
    </w:rPr>
  </w:style>
  <w:style w:type="paragraph" w:styleId="Quote">
    <w:name w:val="Quote"/>
    <w:basedOn w:val="Normal"/>
    <w:next w:val="Normal"/>
    <w:link w:val="QuoteChar"/>
    <w:uiPriority w:val="29"/>
    <w:qFormat/>
    <w:rsid w:val="0051549E"/>
    <w:pPr>
      <w:spacing w:before="160"/>
      <w:jc w:val="center"/>
    </w:pPr>
    <w:rPr>
      <w:i/>
      <w:iCs/>
      <w:color w:val="404040" w:themeColor="text1" w:themeTint="BF"/>
    </w:rPr>
  </w:style>
  <w:style w:type="character" w:customStyle="1" w:styleId="QuoteChar">
    <w:name w:val="Quote Char"/>
    <w:basedOn w:val="DefaultParagraphFont"/>
    <w:link w:val="Quote"/>
    <w:uiPriority w:val="29"/>
    <w:rsid w:val="0051549E"/>
    <w:rPr>
      <w:rFonts w:ascii="Avenir Next LT Pro" w:hAnsi="Avenir Next LT Pro"/>
      <w:i/>
      <w:iCs/>
      <w:color w:val="404040" w:themeColor="text1" w:themeTint="BF"/>
      <w:spacing w:val="-4"/>
    </w:rPr>
  </w:style>
  <w:style w:type="paragraph" w:styleId="ListParagraph">
    <w:name w:val="List Paragraph"/>
    <w:basedOn w:val="Normal"/>
    <w:uiPriority w:val="34"/>
    <w:qFormat/>
    <w:rsid w:val="0051549E"/>
    <w:pPr>
      <w:ind w:left="720"/>
      <w:contextualSpacing/>
    </w:pPr>
  </w:style>
  <w:style w:type="character" w:styleId="IntenseEmphasis">
    <w:name w:val="Intense Emphasis"/>
    <w:basedOn w:val="DefaultParagraphFont"/>
    <w:uiPriority w:val="21"/>
    <w:qFormat/>
    <w:rsid w:val="0051549E"/>
    <w:rPr>
      <w:i/>
      <w:iCs/>
      <w:color w:val="AB1429" w:themeColor="accent1" w:themeShade="BF"/>
    </w:rPr>
  </w:style>
  <w:style w:type="paragraph" w:styleId="IntenseQuote">
    <w:name w:val="Intense Quote"/>
    <w:basedOn w:val="Normal"/>
    <w:next w:val="Normal"/>
    <w:link w:val="IntenseQuoteChar"/>
    <w:uiPriority w:val="30"/>
    <w:qFormat/>
    <w:rsid w:val="0051549E"/>
    <w:pPr>
      <w:pBdr>
        <w:top w:val="single" w:sz="4" w:space="10" w:color="AB1429" w:themeColor="accent1" w:themeShade="BF"/>
        <w:bottom w:val="single" w:sz="4" w:space="10" w:color="AB1429" w:themeColor="accent1" w:themeShade="BF"/>
      </w:pBdr>
      <w:spacing w:before="360" w:after="360"/>
      <w:ind w:left="864" w:right="864"/>
      <w:jc w:val="center"/>
    </w:pPr>
    <w:rPr>
      <w:i/>
      <w:iCs/>
      <w:color w:val="AB1429" w:themeColor="accent1" w:themeShade="BF"/>
    </w:rPr>
  </w:style>
  <w:style w:type="character" w:customStyle="1" w:styleId="IntenseQuoteChar">
    <w:name w:val="Intense Quote Char"/>
    <w:basedOn w:val="DefaultParagraphFont"/>
    <w:link w:val="IntenseQuote"/>
    <w:uiPriority w:val="30"/>
    <w:rsid w:val="0051549E"/>
    <w:rPr>
      <w:rFonts w:ascii="Avenir Next LT Pro" w:hAnsi="Avenir Next LT Pro"/>
      <w:i/>
      <w:iCs/>
      <w:color w:val="AB1429" w:themeColor="accent1" w:themeShade="BF"/>
      <w:spacing w:val="-4"/>
    </w:rPr>
  </w:style>
  <w:style w:type="character" w:styleId="IntenseReference">
    <w:name w:val="Intense Reference"/>
    <w:basedOn w:val="DefaultParagraphFont"/>
    <w:uiPriority w:val="32"/>
    <w:qFormat/>
    <w:rsid w:val="0051549E"/>
    <w:rPr>
      <w:b/>
      <w:bCs/>
      <w:smallCaps/>
      <w:color w:val="AB1429" w:themeColor="accent1" w:themeShade="BF"/>
      <w:spacing w:val="5"/>
    </w:rPr>
  </w:style>
  <w:style w:type="paragraph" w:styleId="Header">
    <w:name w:val="header"/>
    <w:basedOn w:val="Normal"/>
    <w:link w:val="HeaderChar"/>
    <w:uiPriority w:val="99"/>
    <w:unhideWhenUsed/>
    <w:rsid w:val="000938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38D0"/>
    <w:rPr>
      <w:rFonts w:ascii="Avenir Next LT Pro" w:hAnsi="Avenir Next LT Pro"/>
      <w:color w:val="221F1F"/>
      <w:spacing w:val="-4"/>
    </w:rPr>
  </w:style>
  <w:style w:type="paragraph" w:styleId="Footer">
    <w:name w:val="footer"/>
    <w:basedOn w:val="Normal"/>
    <w:link w:val="FooterChar"/>
    <w:uiPriority w:val="99"/>
    <w:unhideWhenUsed/>
    <w:rsid w:val="000938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38D0"/>
    <w:rPr>
      <w:rFonts w:ascii="Avenir Next LT Pro" w:hAnsi="Avenir Next LT Pro"/>
      <w:color w:val="221F1F"/>
      <w:spacing w:val="-4"/>
    </w:rPr>
  </w:style>
  <w:style w:type="character" w:styleId="Hyperlink">
    <w:name w:val="Hyperlink"/>
    <w:basedOn w:val="DefaultParagraphFont"/>
    <w:uiPriority w:val="99"/>
    <w:unhideWhenUsed/>
    <w:rsid w:val="000938D0"/>
    <w:rPr>
      <w:color w:val="0070C0" w:themeColor="hyperlink"/>
      <w:u w:val="single"/>
    </w:rPr>
  </w:style>
  <w:style w:type="character" w:customStyle="1" w:styleId="UnresolvedMention">
    <w:name w:val="Unresolved Mention"/>
    <w:basedOn w:val="DefaultParagraphFont"/>
    <w:uiPriority w:val="99"/>
    <w:semiHidden/>
    <w:unhideWhenUsed/>
    <w:rsid w:val="000938D0"/>
    <w:rPr>
      <w:color w:val="605E5C"/>
      <w:shd w:val="clear" w:color="auto" w:fill="E1DFDD"/>
    </w:rPr>
  </w:style>
  <w:style w:type="table" w:styleId="TableGrid">
    <w:name w:val="Table Grid"/>
    <w:basedOn w:val="TableNormal"/>
    <w:uiPriority w:val="39"/>
    <w:rsid w:val="000938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
    <w:name w:val="Style1"/>
    <w:basedOn w:val="TableNormal"/>
    <w:uiPriority w:val="99"/>
    <w:rsid w:val="000938D0"/>
    <w:pPr>
      <w:spacing w:after="0" w:line="240" w:lineRule="auto"/>
    </w:pPr>
    <w:rPr>
      <w:rFonts w:ascii="AvenirNext LT Pro Bold" w:hAnsi="AvenirNext LT Pro Bold"/>
    </w:rPr>
    <w:tblPr>
      <w:tblStyleRowBandSize w:val="1"/>
    </w:tblPr>
    <w:tblStylePr w:type="firstRow">
      <w:rPr>
        <w:rFonts w:ascii="AvenirNext LT Pro Regular" w:hAnsi="AvenirNext LT Pro Regular"/>
        <w:sz w:val="28"/>
      </w:rPr>
      <w:tblPr/>
      <w:tcPr>
        <w:shd w:val="clear" w:color="auto" w:fill="F05A5B" w:themeFill="accent2"/>
      </w:tcPr>
    </w:tblStylePr>
    <w:tblStylePr w:type="lastRow">
      <w:tblPr/>
      <w:tcPr>
        <w:tcBorders>
          <w:bottom w:val="single" w:sz="4" w:space="0" w:color="0070C0"/>
        </w:tcBorders>
      </w:tcPr>
    </w:tblStylePr>
    <w:tblStylePr w:type="band1Horz">
      <w:tblPr/>
      <w:tcPr>
        <w:shd w:val="clear" w:color="auto" w:fill="F2F2F2" w:themeFill="background2"/>
      </w:tcPr>
    </w:tblStylePr>
    <w:tblStylePr w:type="band2Horz">
      <w:tblPr/>
      <w:tcPr>
        <w:shd w:val="clear" w:color="auto" w:fill="D5D5D5"/>
      </w:tcPr>
    </w:tblStylePr>
  </w:style>
  <w:style w:type="table" w:customStyle="1" w:styleId="PlainTable3">
    <w:name w:val="Plain Table 3"/>
    <w:basedOn w:val="TableNormal"/>
    <w:uiPriority w:val="43"/>
    <w:rsid w:val="000938D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TableNormal"/>
    <w:uiPriority w:val="44"/>
    <w:rsid w:val="000938D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Accent5">
    <w:name w:val="Grid Table 1 Light Accent 5"/>
    <w:basedOn w:val="TableNormal"/>
    <w:uiPriority w:val="46"/>
    <w:rsid w:val="000938D0"/>
    <w:pPr>
      <w:spacing w:after="0" w:line="240" w:lineRule="auto"/>
    </w:pPr>
    <w:tblPr>
      <w:tblStyleRowBandSize w:val="1"/>
      <w:tblStyleColBandSize w:val="1"/>
      <w:tblBorders>
        <w:top w:val="single" w:sz="4" w:space="0" w:color="C6DDB8" w:themeColor="accent5" w:themeTint="66"/>
        <w:left w:val="single" w:sz="4" w:space="0" w:color="C6DDB8" w:themeColor="accent5" w:themeTint="66"/>
        <w:bottom w:val="single" w:sz="4" w:space="0" w:color="C6DDB8" w:themeColor="accent5" w:themeTint="66"/>
        <w:right w:val="single" w:sz="4" w:space="0" w:color="C6DDB8" w:themeColor="accent5" w:themeTint="66"/>
        <w:insideH w:val="single" w:sz="4" w:space="0" w:color="C6DDB8" w:themeColor="accent5" w:themeTint="66"/>
        <w:insideV w:val="single" w:sz="4" w:space="0" w:color="C6DDB8" w:themeColor="accent5" w:themeTint="66"/>
      </w:tblBorders>
    </w:tblPr>
    <w:tblStylePr w:type="firstRow">
      <w:rPr>
        <w:b/>
        <w:bCs/>
      </w:rPr>
      <w:tblPr/>
      <w:tcPr>
        <w:tcBorders>
          <w:bottom w:val="single" w:sz="12" w:space="0" w:color="A9CC95" w:themeColor="accent5" w:themeTint="99"/>
        </w:tcBorders>
      </w:tcPr>
    </w:tblStylePr>
    <w:tblStylePr w:type="lastRow">
      <w:rPr>
        <w:b/>
        <w:bCs/>
      </w:rPr>
      <w:tblPr/>
      <w:tcPr>
        <w:tcBorders>
          <w:top w:val="double" w:sz="2" w:space="0" w:color="A9CC95" w:themeColor="accent5" w:themeTint="99"/>
        </w:tcBorders>
      </w:tcPr>
    </w:tblStylePr>
    <w:tblStylePr w:type="firstCol">
      <w:rPr>
        <w:b/>
        <w:bCs/>
      </w:rPr>
    </w:tblStylePr>
    <w:tblStylePr w:type="lastCol">
      <w:rPr>
        <w:b/>
        <w:bCs/>
      </w:rPr>
    </w:tblStylePr>
  </w:style>
  <w:style w:type="table" w:customStyle="1" w:styleId="GridTable1Light">
    <w:name w:val="Grid Table 1 Light"/>
    <w:basedOn w:val="TableNormal"/>
    <w:uiPriority w:val="46"/>
    <w:rsid w:val="000938D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2">
    <w:name w:val="Grid Table 2"/>
    <w:basedOn w:val="TableNormal"/>
    <w:uiPriority w:val="47"/>
    <w:rsid w:val="000938D0"/>
    <w:pPr>
      <w:spacing w:after="0" w:line="240" w:lineRule="auto"/>
    </w:pPr>
    <w:rPr>
      <w:rFonts w:ascii="AvenirNext LT Pro Bold" w:hAnsi="AvenirNext LT Pro Bold"/>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rFonts w:ascii="AvenirNext LT Pro Regular" w:hAnsi="AvenirNext LT Pro Regular"/>
        <w:b/>
        <w:bCs/>
        <w:sz w:val="24"/>
      </w:rPr>
      <w:tblPr/>
      <w:tcPr>
        <w:tcBorders>
          <w:top w:val="nil"/>
          <w:bottom w:val="single" w:sz="12" w:space="0" w:color="E41C38"/>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band2Horz">
      <w:tblPr/>
      <w:tcPr>
        <w:shd w:val="clear" w:color="auto" w:fill="F2F2F2"/>
      </w:tcPr>
    </w:tblStylePr>
  </w:style>
  <w:style w:type="table" w:customStyle="1" w:styleId="Style2">
    <w:name w:val="Style2"/>
    <w:basedOn w:val="TableNormal"/>
    <w:uiPriority w:val="99"/>
    <w:rsid w:val="000938D0"/>
    <w:pPr>
      <w:spacing w:after="0" w:line="240" w:lineRule="auto"/>
    </w:pPr>
    <w:rPr>
      <w:rFonts w:ascii="AvenirNext LT Pro Bold" w:hAnsi="AvenirNext LT Pro Bold"/>
    </w:rPr>
    <w:tblPr/>
  </w:style>
  <w:style w:type="table" w:customStyle="1" w:styleId="PlainTable1">
    <w:name w:val="Plain Table 1"/>
    <w:aliases w:val="Colours Table basic"/>
    <w:basedOn w:val="TableNormal"/>
    <w:uiPriority w:val="41"/>
    <w:rsid w:val="000938D0"/>
    <w:pPr>
      <w:spacing w:after="0" w:line="240" w:lineRule="auto"/>
    </w:pPr>
    <w:rPr>
      <w:rFonts w:ascii="AvenirNext LT Pro Bold" w:hAnsi="AvenirNext LT Pro Bold"/>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ascii="AvenirNext LT Pro Regular" w:hAnsi="AvenirNext LT Pro Regular"/>
        <w:b/>
        <w:bCs/>
        <w:sz w:val="24"/>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band2Horz">
      <w:tblPr/>
      <w:tcPr>
        <w:shd w:val="clear" w:color="auto" w:fill="FFFFFF" w:themeFill="background1"/>
      </w:tcPr>
    </w:tblStylePr>
  </w:style>
  <w:style w:type="paragraph" w:styleId="TOCHeading">
    <w:name w:val="TOC Heading"/>
    <w:basedOn w:val="Heading1"/>
    <w:next w:val="Normal"/>
    <w:uiPriority w:val="39"/>
    <w:unhideWhenUsed/>
    <w:qFormat/>
    <w:rsid w:val="0051549E"/>
    <w:pPr>
      <w:spacing w:before="240" w:after="0" w:line="259" w:lineRule="auto"/>
      <w:outlineLvl w:val="9"/>
    </w:pPr>
    <w:rPr>
      <w:color w:val="auto"/>
      <w:spacing w:val="0"/>
      <w:kern w:val="0"/>
      <w14:ligatures w14:val="none"/>
    </w:rPr>
  </w:style>
  <w:style w:type="paragraph" w:styleId="TOC2">
    <w:name w:val="toc 2"/>
    <w:basedOn w:val="Normal"/>
    <w:next w:val="Normal"/>
    <w:autoRedefine/>
    <w:uiPriority w:val="39"/>
    <w:unhideWhenUsed/>
    <w:rsid w:val="000938D0"/>
    <w:pPr>
      <w:spacing w:after="100"/>
      <w:ind w:left="240"/>
    </w:pPr>
  </w:style>
  <w:style w:type="paragraph" w:styleId="TOC3">
    <w:name w:val="toc 3"/>
    <w:basedOn w:val="Normal"/>
    <w:next w:val="Normal"/>
    <w:autoRedefine/>
    <w:uiPriority w:val="39"/>
    <w:unhideWhenUsed/>
    <w:rsid w:val="000938D0"/>
    <w:pPr>
      <w:spacing w:after="100"/>
      <w:ind w:left="480"/>
    </w:pPr>
  </w:style>
  <w:style w:type="paragraph" w:styleId="TOC1">
    <w:name w:val="toc 1"/>
    <w:basedOn w:val="Normal"/>
    <w:next w:val="Normal"/>
    <w:autoRedefine/>
    <w:uiPriority w:val="39"/>
    <w:unhideWhenUsed/>
    <w:rsid w:val="000938D0"/>
    <w:pPr>
      <w:tabs>
        <w:tab w:val="right" w:leader="dot" w:pos="9350"/>
      </w:tabs>
      <w:spacing w:after="100" w:line="259" w:lineRule="auto"/>
    </w:pPr>
    <w:rPr>
      <w:rFonts w:eastAsiaTheme="minorEastAsia" w:cs="Times New Roman"/>
      <w:noProof/>
      <w:color w:val="auto"/>
      <w:spacing w:val="0"/>
      <w:kern w:val="0"/>
      <w:sz w:val="22"/>
      <w:szCs w:val="22"/>
      <w14:ligatures w14:val="none"/>
    </w:rPr>
  </w:style>
  <w:style w:type="table" w:customStyle="1" w:styleId="ListTable1Light">
    <w:name w:val="List Table 1 Light"/>
    <w:basedOn w:val="TableNormal"/>
    <w:uiPriority w:val="46"/>
    <w:rsid w:val="000938D0"/>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FollowedHyperlink">
    <w:name w:val="FollowedHyperlink"/>
    <w:basedOn w:val="DefaultParagraphFont"/>
    <w:uiPriority w:val="99"/>
    <w:semiHidden/>
    <w:unhideWhenUsed/>
    <w:rsid w:val="000938D0"/>
    <w:rPr>
      <w:color w:val="00B0F0" w:themeColor="followedHyperlink"/>
      <w:u w:val="single"/>
    </w:rPr>
  </w:style>
  <w:style w:type="paragraph" w:styleId="NoSpacing">
    <w:name w:val="No Spacing"/>
    <w:link w:val="NoSpacingChar"/>
    <w:uiPriority w:val="1"/>
    <w:qFormat/>
    <w:rsid w:val="0051549E"/>
    <w:pPr>
      <w:spacing w:after="0" w:line="240" w:lineRule="auto"/>
    </w:pPr>
    <w:rPr>
      <w:rFonts w:eastAsiaTheme="minorEastAsia"/>
      <w:kern w:val="0"/>
      <w:sz w:val="22"/>
      <w:szCs w:val="22"/>
      <w14:ligatures w14:val="none"/>
    </w:rPr>
  </w:style>
  <w:style w:type="character" w:customStyle="1" w:styleId="NoSpacingChar">
    <w:name w:val="No Spacing Char"/>
    <w:basedOn w:val="DefaultParagraphFont"/>
    <w:link w:val="NoSpacing"/>
    <w:uiPriority w:val="1"/>
    <w:rsid w:val="0051549E"/>
    <w:rPr>
      <w:rFonts w:eastAsiaTheme="minorEastAsia"/>
      <w:kern w:val="0"/>
      <w:sz w:val="22"/>
      <w:szCs w:val="22"/>
      <w14:ligatures w14:val="none"/>
    </w:rPr>
  </w:style>
  <w:style w:type="paragraph" w:styleId="Revision">
    <w:name w:val="Revision"/>
    <w:hidden/>
    <w:uiPriority w:val="99"/>
    <w:semiHidden/>
    <w:rsid w:val="000938D0"/>
    <w:pPr>
      <w:spacing w:after="0" w:line="240" w:lineRule="auto"/>
    </w:pPr>
    <w:rPr>
      <w:rFonts w:ascii="AvenirNext LT Pro Bold" w:hAnsi="AvenirNext LT Pro Bold"/>
      <w:color w:val="221F1F"/>
      <w:spacing w:val="-4"/>
    </w:rPr>
  </w:style>
  <w:style w:type="character" w:styleId="CommentReference">
    <w:name w:val="annotation reference"/>
    <w:basedOn w:val="DefaultParagraphFont"/>
    <w:uiPriority w:val="99"/>
    <w:semiHidden/>
    <w:unhideWhenUsed/>
    <w:rsid w:val="002052F6"/>
    <w:rPr>
      <w:sz w:val="16"/>
      <w:szCs w:val="16"/>
    </w:rPr>
  </w:style>
  <w:style w:type="paragraph" w:styleId="CommentText">
    <w:name w:val="annotation text"/>
    <w:basedOn w:val="Normal"/>
    <w:link w:val="CommentTextChar"/>
    <w:uiPriority w:val="99"/>
    <w:unhideWhenUsed/>
    <w:rsid w:val="002052F6"/>
    <w:pPr>
      <w:spacing w:line="240" w:lineRule="auto"/>
    </w:pPr>
    <w:rPr>
      <w:sz w:val="20"/>
      <w:szCs w:val="20"/>
    </w:rPr>
  </w:style>
  <w:style w:type="character" w:customStyle="1" w:styleId="CommentTextChar">
    <w:name w:val="Comment Text Char"/>
    <w:basedOn w:val="DefaultParagraphFont"/>
    <w:link w:val="CommentText"/>
    <w:uiPriority w:val="99"/>
    <w:rsid w:val="002052F6"/>
    <w:rPr>
      <w:rFonts w:ascii="AvenirNext LT Pro Bold" w:hAnsi="AvenirNext LT Pro Bold"/>
      <w:color w:val="221F1F"/>
      <w:spacing w:val="-4"/>
      <w:sz w:val="20"/>
      <w:szCs w:val="20"/>
    </w:rPr>
  </w:style>
  <w:style w:type="paragraph" w:styleId="CommentSubject">
    <w:name w:val="annotation subject"/>
    <w:basedOn w:val="CommentText"/>
    <w:next w:val="CommentText"/>
    <w:link w:val="CommentSubjectChar"/>
    <w:uiPriority w:val="99"/>
    <w:semiHidden/>
    <w:unhideWhenUsed/>
    <w:rsid w:val="002052F6"/>
    <w:rPr>
      <w:b/>
      <w:bCs/>
    </w:rPr>
  </w:style>
  <w:style w:type="character" w:customStyle="1" w:styleId="CommentSubjectChar">
    <w:name w:val="Comment Subject Char"/>
    <w:basedOn w:val="CommentTextChar"/>
    <w:link w:val="CommentSubject"/>
    <w:uiPriority w:val="99"/>
    <w:semiHidden/>
    <w:rsid w:val="002052F6"/>
    <w:rPr>
      <w:rFonts w:ascii="AvenirNext LT Pro Bold" w:hAnsi="AvenirNext LT Pro Bold"/>
      <w:b/>
      <w:bCs/>
      <w:color w:val="221F1F"/>
      <w:spacing w:val="-4"/>
      <w:sz w:val="20"/>
      <w:szCs w:val="20"/>
    </w:rPr>
  </w:style>
  <w:style w:type="paragraph" w:customStyle="1" w:styleId="Sub-subheading">
    <w:name w:val="Sub-sub heading"/>
    <w:basedOn w:val="Normal"/>
    <w:qFormat/>
    <w:rsid w:val="008F656E"/>
    <w:rPr>
      <w:color w:val="595959" w:themeColor="text1" w:themeTint="A6"/>
      <w:sz w:val="28"/>
      <w:szCs w:val="28"/>
    </w:rPr>
  </w:style>
  <w:style w:type="paragraph" w:customStyle="1" w:styleId="1stpageheading">
    <w:name w:val="1st page heading"/>
    <w:basedOn w:val="Title"/>
    <w:qFormat/>
    <w:rsid w:val="002E6B3B"/>
    <w:rPr>
      <w:rFonts w:ascii="Avenir Next LT Pro" w:hAnsi="Avenir Next LT Pro"/>
    </w:rPr>
  </w:style>
  <w:style w:type="paragraph" w:styleId="BalloonText">
    <w:name w:val="Balloon Text"/>
    <w:basedOn w:val="Normal"/>
    <w:link w:val="BalloonTextChar"/>
    <w:uiPriority w:val="99"/>
    <w:semiHidden/>
    <w:unhideWhenUsed/>
    <w:rsid w:val="00EB3BE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3BEE"/>
    <w:rPr>
      <w:rFonts w:ascii="Segoe UI" w:hAnsi="Segoe UI" w:cs="Segoe UI"/>
      <w:color w:val="221F1F"/>
      <w:spacing w:val="-4"/>
      <w:sz w:val="18"/>
      <w:szCs w:val="18"/>
    </w:rPr>
  </w:style>
  <w:style w:type="character" w:customStyle="1" w:styleId="oneUserDefinedStyle">
    <w:name w:val="oneUserDefinedStyle"/>
    <w:basedOn w:val="DefaultParagraphFont"/>
    <w:uiPriority w:val="1"/>
    <w:rsid w:val="00FC6A06"/>
    <w:rPr>
      <w:rFonts w:asciiTheme="minorHAnsi" w:eastAsiaTheme="minorEastAsia" w:hAnsiTheme="minorHAnsi" w:cstheme="minorBidi"/>
      <w:b w:val="0"/>
      <w:bCs w:val="0"/>
      <w:color w:val="1B2232"/>
      <w:sz w:val="20"/>
      <w:szCs w:val="20"/>
    </w:rPr>
  </w:style>
  <w:style w:type="paragraph" w:customStyle="1" w:styleId="EndNoteBibliography">
    <w:name w:val="EndNote Bibliography"/>
    <w:basedOn w:val="Normal"/>
    <w:link w:val="EndNoteBibliographyChar"/>
    <w:rsid w:val="002B6683"/>
    <w:pPr>
      <w:spacing w:line="240" w:lineRule="auto"/>
    </w:pPr>
  </w:style>
  <w:style w:type="character" w:customStyle="1" w:styleId="EndNoteBibliographyChar">
    <w:name w:val="EndNote Bibliography Char"/>
    <w:basedOn w:val="DefaultParagraphFont"/>
    <w:link w:val="EndNoteBibliography"/>
    <w:rsid w:val="002B6683"/>
    <w:rPr>
      <w:rFonts w:ascii="Avenir Next LT Pro" w:hAnsi="Avenir Next LT Pro"/>
      <w:color w:val="221F1F"/>
      <w:spacing w:val="-4"/>
      <w:lang w:val="en-GB"/>
    </w:rPr>
  </w:style>
  <w:style w:type="paragraph" w:styleId="BodyText">
    <w:name w:val="Body Text"/>
    <w:basedOn w:val="Normal"/>
    <w:link w:val="BodyTextChar"/>
    <w:uiPriority w:val="1"/>
    <w:qFormat/>
    <w:rsid w:val="002B6683"/>
    <w:pPr>
      <w:widowControl w:val="0"/>
      <w:autoSpaceDE w:val="0"/>
      <w:autoSpaceDN w:val="0"/>
      <w:spacing w:after="0" w:line="240" w:lineRule="auto"/>
    </w:pPr>
    <w:rPr>
      <w:rFonts w:ascii="Calibri" w:eastAsia="Calibri" w:hAnsi="Calibri" w:cs="Calibri"/>
      <w:color w:val="auto"/>
      <w:spacing w:val="0"/>
      <w:kern w:val="0"/>
      <w14:ligatures w14:val="none"/>
    </w:rPr>
  </w:style>
  <w:style w:type="character" w:customStyle="1" w:styleId="BodyTextChar">
    <w:name w:val="Body Text Char"/>
    <w:basedOn w:val="DefaultParagraphFont"/>
    <w:link w:val="BodyText"/>
    <w:uiPriority w:val="1"/>
    <w:rsid w:val="002B6683"/>
    <w:rPr>
      <w:rFonts w:ascii="Calibri" w:eastAsia="Calibri" w:hAnsi="Calibri" w:cs="Calibri"/>
      <w:kern w:val="0"/>
      <w14:ligatures w14:val="none"/>
    </w:rPr>
  </w:style>
  <w:style w:type="paragraph" w:styleId="NormalWeb">
    <w:name w:val="Normal (Web)"/>
    <w:basedOn w:val="Normal"/>
    <w:uiPriority w:val="99"/>
    <w:semiHidden/>
    <w:unhideWhenUsed/>
    <w:rsid w:val="002B6683"/>
    <w:pPr>
      <w:spacing w:line="278" w:lineRule="auto"/>
    </w:pPr>
    <w:rPr>
      <w:rFonts w:ascii="Times New Roman" w:hAnsi="Times New Roman" w:cs="Times New Roman"/>
      <w:color w:val="auto"/>
      <w:spacing w:val="0"/>
    </w:rPr>
  </w:style>
  <w:style w:type="table" w:customStyle="1" w:styleId="TableNormal1">
    <w:name w:val="Table Normal1"/>
    <w:uiPriority w:val="2"/>
    <w:semiHidden/>
    <w:unhideWhenUsed/>
    <w:qFormat/>
    <w:rsid w:val="002B6683"/>
    <w:pPr>
      <w:widowControl w:val="0"/>
      <w:autoSpaceDE w:val="0"/>
      <w:autoSpaceDN w:val="0"/>
      <w:spacing w:after="0" w:line="240" w:lineRule="auto"/>
    </w:pPr>
    <w:rPr>
      <w:kern w:val="0"/>
      <w:sz w:val="22"/>
      <w:szCs w:val="22"/>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B6683"/>
    <w:pPr>
      <w:widowControl w:val="0"/>
      <w:autoSpaceDE w:val="0"/>
      <w:autoSpaceDN w:val="0"/>
      <w:spacing w:before="2" w:after="0" w:line="240" w:lineRule="auto"/>
      <w:ind w:left="13"/>
      <w:jc w:val="center"/>
    </w:pPr>
    <w:rPr>
      <w:rFonts w:ascii="Times New Roman" w:eastAsia="Times New Roman" w:hAnsi="Times New Roman" w:cs="Times New Roman"/>
      <w:color w:val="auto"/>
      <w:spacing w:val="0"/>
      <w:kern w:val="0"/>
      <w:sz w:val="22"/>
      <w:szCs w:val="22"/>
      <w14:ligatures w14:val="none"/>
    </w:rPr>
  </w:style>
  <w:style w:type="paragraph" w:customStyle="1" w:styleId="EndNoteBibliographyTitle">
    <w:name w:val="EndNote Bibliography Title"/>
    <w:basedOn w:val="Normal"/>
    <w:link w:val="EndNoteBibliographyTitleChar"/>
    <w:rsid w:val="002B6683"/>
    <w:pPr>
      <w:spacing w:after="0" w:line="278" w:lineRule="auto"/>
      <w:jc w:val="center"/>
    </w:pPr>
    <w:rPr>
      <w:rFonts w:ascii="Aptos" w:hAnsi="Aptos"/>
      <w:color w:val="auto"/>
      <w:spacing w:val="0"/>
    </w:rPr>
  </w:style>
  <w:style w:type="character" w:customStyle="1" w:styleId="EndNoteBibliographyTitleChar">
    <w:name w:val="EndNote Bibliography Title Char"/>
    <w:basedOn w:val="DefaultParagraphFont"/>
    <w:link w:val="EndNoteBibliographyTitle"/>
    <w:rsid w:val="002B6683"/>
    <w:rPr>
      <w:rFonts w:ascii="Aptos" w:hAnsi="Aptos"/>
    </w:rPr>
  </w:style>
  <w:style w:type="paragraph" w:styleId="TOC4">
    <w:name w:val="toc 4"/>
    <w:basedOn w:val="Normal"/>
    <w:next w:val="Normal"/>
    <w:autoRedefine/>
    <w:uiPriority w:val="39"/>
    <w:semiHidden/>
    <w:unhideWhenUsed/>
    <w:rsid w:val="002B6683"/>
    <w:pPr>
      <w:spacing w:after="0" w:line="278" w:lineRule="auto"/>
    </w:pPr>
    <w:rPr>
      <w:rFonts w:asciiTheme="minorHAnsi" w:hAnsiTheme="minorHAnsi"/>
      <w:color w:val="auto"/>
      <w:spacing w:val="0"/>
      <w:sz w:val="22"/>
      <w:szCs w:val="22"/>
    </w:rPr>
  </w:style>
  <w:style w:type="paragraph" w:styleId="TOC5">
    <w:name w:val="toc 5"/>
    <w:basedOn w:val="Normal"/>
    <w:next w:val="Normal"/>
    <w:autoRedefine/>
    <w:uiPriority w:val="39"/>
    <w:semiHidden/>
    <w:unhideWhenUsed/>
    <w:rsid w:val="002B6683"/>
    <w:pPr>
      <w:spacing w:after="0" w:line="278" w:lineRule="auto"/>
    </w:pPr>
    <w:rPr>
      <w:rFonts w:asciiTheme="minorHAnsi" w:hAnsiTheme="minorHAnsi"/>
      <w:color w:val="auto"/>
      <w:spacing w:val="0"/>
      <w:sz w:val="22"/>
      <w:szCs w:val="22"/>
    </w:rPr>
  </w:style>
  <w:style w:type="paragraph" w:styleId="TOC6">
    <w:name w:val="toc 6"/>
    <w:basedOn w:val="Normal"/>
    <w:next w:val="Normal"/>
    <w:autoRedefine/>
    <w:uiPriority w:val="39"/>
    <w:semiHidden/>
    <w:unhideWhenUsed/>
    <w:rsid w:val="002B6683"/>
    <w:pPr>
      <w:spacing w:after="0" w:line="278" w:lineRule="auto"/>
    </w:pPr>
    <w:rPr>
      <w:rFonts w:asciiTheme="minorHAnsi" w:hAnsiTheme="minorHAnsi"/>
      <w:color w:val="auto"/>
      <w:spacing w:val="0"/>
      <w:sz w:val="22"/>
      <w:szCs w:val="22"/>
    </w:rPr>
  </w:style>
  <w:style w:type="paragraph" w:styleId="TOC7">
    <w:name w:val="toc 7"/>
    <w:basedOn w:val="Normal"/>
    <w:next w:val="Normal"/>
    <w:autoRedefine/>
    <w:uiPriority w:val="39"/>
    <w:semiHidden/>
    <w:unhideWhenUsed/>
    <w:rsid w:val="002B6683"/>
    <w:pPr>
      <w:spacing w:after="0" w:line="278" w:lineRule="auto"/>
    </w:pPr>
    <w:rPr>
      <w:rFonts w:asciiTheme="minorHAnsi" w:hAnsiTheme="minorHAnsi"/>
      <w:color w:val="auto"/>
      <w:spacing w:val="0"/>
      <w:sz w:val="22"/>
      <w:szCs w:val="22"/>
    </w:rPr>
  </w:style>
  <w:style w:type="paragraph" w:styleId="TOC8">
    <w:name w:val="toc 8"/>
    <w:basedOn w:val="Normal"/>
    <w:next w:val="Normal"/>
    <w:autoRedefine/>
    <w:uiPriority w:val="39"/>
    <w:semiHidden/>
    <w:unhideWhenUsed/>
    <w:rsid w:val="002B6683"/>
    <w:pPr>
      <w:spacing w:after="0" w:line="278" w:lineRule="auto"/>
    </w:pPr>
    <w:rPr>
      <w:rFonts w:asciiTheme="minorHAnsi" w:hAnsiTheme="minorHAnsi"/>
      <w:color w:val="auto"/>
      <w:spacing w:val="0"/>
      <w:sz w:val="22"/>
      <w:szCs w:val="22"/>
    </w:rPr>
  </w:style>
  <w:style w:type="paragraph" w:styleId="TOC9">
    <w:name w:val="toc 9"/>
    <w:basedOn w:val="Normal"/>
    <w:next w:val="Normal"/>
    <w:autoRedefine/>
    <w:uiPriority w:val="39"/>
    <w:semiHidden/>
    <w:unhideWhenUsed/>
    <w:rsid w:val="002B6683"/>
    <w:pPr>
      <w:spacing w:after="0" w:line="278" w:lineRule="auto"/>
    </w:pPr>
    <w:rPr>
      <w:rFonts w:asciiTheme="minorHAnsi" w:hAnsiTheme="minorHAnsi"/>
      <w:color w:val="auto"/>
      <w:spacing w:val="0"/>
      <w:sz w:val="22"/>
      <w:szCs w:val="22"/>
    </w:rPr>
  </w:style>
  <w:style w:type="character" w:styleId="Strong">
    <w:name w:val="Strong"/>
    <w:basedOn w:val="DefaultParagraphFont"/>
    <w:uiPriority w:val="22"/>
    <w:qFormat/>
    <w:rsid w:val="00AD442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549E"/>
    <w:pPr>
      <w:spacing w:line="276" w:lineRule="auto"/>
    </w:pPr>
    <w:rPr>
      <w:rFonts w:ascii="Avenir Next LT Pro" w:hAnsi="Avenir Next LT Pro"/>
      <w:color w:val="221F1F"/>
      <w:spacing w:val="-4"/>
      <w:lang w:val="en-GB"/>
    </w:rPr>
  </w:style>
  <w:style w:type="paragraph" w:styleId="Heading1">
    <w:name w:val="heading 1"/>
    <w:basedOn w:val="Normal"/>
    <w:next w:val="Normal"/>
    <w:link w:val="Heading1Char"/>
    <w:uiPriority w:val="9"/>
    <w:qFormat/>
    <w:rsid w:val="002C5B10"/>
    <w:pPr>
      <w:keepNext/>
      <w:keepLines/>
      <w:spacing w:before="360" w:after="80"/>
      <w:outlineLvl w:val="0"/>
    </w:pPr>
    <w:rPr>
      <w:rFonts w:ascii="Avenir Next LT Pro Demi" w:eastAsiaTheme="majorEastAsia" w:hAnsi="Avenir Next LT Pro Demi" w:cstheme="majorBidi"/>
      <w:sz w:val="40"/>
      <w:szCs w:val="72"/>
    </w:rPr>
  </w:style>
  <w:style w:type="paragraph" w:styleId="Heading2">
    <w:name w:val="heading 2"/>
    <w:basedOn w:val="Heading1"/>
    <w:next w:val="Normal"/>
    <w:link w:val="Heading2Char"/>
    <w:uiPriority w:val="9"/>
    <w:unhideWhenUsed/>
    <w:qFormat/>
    <w:rsid w:val="0051549E"/>
    <w:pPr>
      <w:outlineLvl w:val="1"/>
    </w:pPr>
    <w:rPr>
      <w:sz w:val="36"/>
      <w:szCs w:val="36"/>
    </w:rPr>
  </w:style>
  <w:style w:type="paragraph" w:styleId="Heading3">
    <w:name w:val="heading 3"/>
    <w:basedOn w:val="Normal"/>
    <w:next w:val="Normal"/>
    <w:link w:val="Heading3Char"/>
    <w:uiPriority w:val="9"/>
    <w:unhideWhenUsed/>
    <w:qFormat/>
    <w:rsid w:val="0051549E"/>
    <w:pPr>
      <w:spacing w:after="0"/>
      <w:outlineLvl w:val="2"/>
    </w:pPr>
    <w:rPr>
      <w:rFonts w:ascii="AvenirNext LT Pro Regular" w:hAnsi="AvenirNext LT Pro Regular"/>
    </w:rPr>
  </w:style>
  <w:style w:type="paragraph" w:styleId="Heading4">
    <w:name w:val="heading 4"/>
    <w:basedOn w:val="Normal"/>
    <w:next w:val="Normal"/>
    <w:link w:val="Heading4Char"/>
    <w:uiPriority w:val="9"/>
    <w:unhideWhenUsed/>
    <w:qFormat/>
    <w:rsid w:val="0051549E"/>
    <w:pPr>
      <w:keepNext/>
      <w:keepLines/>
      <w:spacing w:before="80" w:after="40"/>
      <w:outlineLvl w:val="3"/>
    </w:pPr>
    <w:rPr>
      <w:rFonts w:eastAsiaTheme="majorEastAsia" w:cstheme="majorBidi"/>
      <w:i/>
      <w:iCs/>
      <w:color w:val="AB1429" w:themeColor="accent1" w:themeShade="BF"/>
    </w:rPr>
  </w:style>
  <w:style w:type="paragraph" w:styleId="Heading5">
    <w:name w:val="heading 5"/>
    <w:basedOn w:val="Normal"/>
    <w:next w:val="Normal"/>
    <w:link w:val="Heading5Char"/>
    <w:uiPriority w:val="9"/>
    <w:unhideWhenUsed/>
    <w:qFormat/>
    <w:rsid w:val="0051549E"/>
    <w:pPr>
      <w:keepNext/>
      <w:keepLines/>
      <w:spacing w:before="80" w:after="40"/>
      <w:outlineLvl w:val="4"/>
    </w:pPr>
    <w:rPr>
      <w:rFonts w:eastAsiaTheme="majorEastAsia" w:cstheme="majorBidi"/>
      <w:color w:val="AB1429" w:themeColor="accent1" w:themeShade="BF"/>
    </w:rPr>
  </w:style>
  <w:style w:type="paragraph" w:styleId="Heading6">
    <w:name w:val="heading 6"/>
    <w:basedOn w:val="Normal"/>
    <w:next w:val="Normal"/>
    <w:link w:val="Heading6Char"/>
    <w:uiPriority w:val="9"/>
    <w:semiHidden/>
    <w:unhideWhenUsed/>
    <w:qFormat/>
    <w:rsid w:val="0051549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1549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1549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1549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5B10"/>
    <w:rPr>
      <w:rFonts w:ascii="Avenir Next LT Pro Demi" w:eastAsiaTheme="majorEastAsia" w:hAnsi="Avenir Next LT Pro Demi" w:cstheme="majorBidi"/>
      <w:color w:val="221F1F"/>
      <w:spacing w:val="-4"/>
      <w:sz w:val="40"/>
      <w:szCs w:val="72"/>
    </w:rPr>
  </w:style>
  <w:style w:type="character" w:customStyle="1" w:styleId="Heading2Char">
    <w:name w:val="Heading 2 Char"/>
    <w:basedOn w:val="DefaultParagraphFont"/>
    <w:link w:val="Heading2"/>
    <w:uiPriority w:val="9"/>
    <w:rsid w:val="0051549E"/>
    <w:rPr>
      <w:rFonts w:ascii="Avenir Next LT Pro Demi" w:eastAsiaTheme="majorEastAsia" w:hAnsi="Avenir Next LT Pro Demi" w:cstheme="majorBidi"/>
      <w:color w:val="221F1F"/>
      <w:spacing w:val="-4"/>
      <w:sz w:val="36"/>
      <w:szCs w:val="36"/>
    </w:rPr>
  </w:style>
  <w:style w:type="character" w:customStyle="1" w:styleId="Heading3Char">
    <w:name w:val="Heading 3 Char"/>
    <w:basedOn w:val="DefaultParagraphFont"/>
    <w:link w:val="Heading3"/>
    <w:uiPriority w:val="9"/>
    <w:rsid w:val="0051549E"/>
    <w:rPr>
      <w:rFonts w:ascii="AvenirNext LT Pro Regular" w:hAnsi="AvenirNext LT Pro Regular"/>
      <w:color w:val="221F1F"/>
      <w:spacing w:val="-4"/>
    </w:rPr>
  </w:style>
  <w:style w:type="character" w:customStyle="1" w:styleId="Heading4Char">
    <w:name w:val="Heading 4 Char"/>
    <w:basedOn w:val="DefaultParagraphFont"/>
    <w:link w:val="Heading4"/>
    <w:uiPriority w:val="9"/>
    <w:rsid w:val="0051549E"/>
    <w:rPr>
      <w:rFonts w:ascii="Avenir Next LT Pro" w:eastAsiaTheme="majorEastAsia" w:hAnsi="Avenir Next LT Pro" w:cstheme="majorBidi"/>
      <w:i/>
      <w:iCs/>
      <w:color w:val="AB1429" w:themeColor="accent1" w:themeShade="BF"/>
      <w:spacing w:val="-4"/>
    </w:rPr>
  </w:style>
  <w:style w:type="character" w:customStyle="1" w:styleId="Heading5Char">
    <w:name w:val="Heading 5 Char"/>
    <w:basedOn w:val="DefaultParagraphFont"/>
    <w:link w:val="Heading5"/>
    <w:uiPriority w:val="9"/>
    <w:rsid w:val="0051549E"/>
    <w:rPr>
      <w:rFonts w:ascii="Avenir Next LT Pro" w:eastAsiaTheme="majorEastAsia" w:hAnsi="Avenir Next LT Pro" w:cstheme="majorBidi"/>
      <w:color w:val="AB1429" w:themeColor="accent1" w:themeShade="BF"/>
      <w:spacing w:val="-4"/>
    </w:rPr>
  </w:style>
  <w:style w:type="character" w:customStyle="1" w:styleId="Heading6Char">
    <w:name w:val="Heading 6 Char"/>
    <w:basedOn w:val="DefaultParagraphFont"/>
    <w:link w:val="Heading6"/>
    <w:uiPriority w:val="9"/>
    <w:semiHidden/>
    <w:rsid w:val="0051549E"/>
    <w:rPr>
      <w:rFonts w:ascii="Avenir Next LT Pro" w:eastAsiaTheme="majorEastAsia" w:hAnsi="Avenir Next LT Pro" w:cstheme="majorBidi"/>
      <w:i/>
      <w:iCs/>
      <w:color w:val="595959" w:themeColor="text1" w:themeTint="A6"/>
      <w:spacing w:val="-4"/>
    </w:rPr>
  </w:style>
  <w:style w:type="character" w:customStyle="1" w:styleId="Heading7Char">
    <w:name w:val="Heading 7 Char"/>
    <w:basedOn w:val="DefaultParagraphFont"/>
    <w:link w:val="Heading7"/>
    <w:uiPriority w:val="9"/>
    <w:semiHidden/>
    <w:rsid w:val="0051549E"/>
    <w:rPr>
      <w:rFonts w:ascii="Avenir Next LT Pro" w:eastAsiaTheme="majorEastAsia" w:hAnsi="Avenir Next LT Pro" w:cstheme="majorBidi"/>
      <w:color w:val="595959" w:themeColor="text1" w:themeTint="A6"/>
      <w:spacing w:val="-4"/>
    </w:rPr>
  </w:style>
  <w:style w:type="character" w:customStyle="1" w:styleId="Heading8Char">
    <w:name w:val="Heading 8 Char"/>
    <w:basedOn w:val="DefaultParagraphFont"/>
    <w:link w:val="Heading8"/>
    <w:uiPriority w:val="9"/>
    <w:semiHidden/>
    <w:rsid w:val="0051549E"/>
    <w:rPr>
      <w:rFonts w:ascii="Avenir Next LT Pro" w:eastAsiaTheme="majorEastAsia" w:hAnsi="Avenir Next LT Pro" w:cstheme="majorBidi"/>
      <w:i/>
      <w:iCs/>
      <w:color w:val="272727" w:themeColor="text1" w:themeTint="D8"/>
      <w:spacing w:val="-4"/>
    </w:rPr>
  </w:style>
  <w:style w:type="character" w:customStyle="1" w:styleId="Heading9Char">
    <w:name w:val="Heading 9 Char"/>
    <w:basedOn w:val="DefaultParagraphFont"/>
    <w:link w:val="Heading9"/>
    <w:uiPriority w:val="9"/>
    <w:semiHidden/>
    <w:rsid w:val="0051549E"/>
    <w:rPr>
      <w:rFonts w:ascii="Avenir Next LT Pro" w:eastAsiaTheme="majorEastAsia" w:hAnsi="Avenir Next LT Pro" w:cstheme="majorBidi"/>
      <w:color w:val="272727" w:themeColor="text1" w:themeTint="D8"/>
      <w:spacing w:val="-4"/>
    </w:rPr>
  </w:style>
  <w:style w:type="paragraph" w:styleId="Title">
    <w:name w:val="Title"/>
    <w:basedOn w:val="Normal"/>
    <w:next w:val="Normal"/>
    <w:link w:val="TitleChar"/>
    <w:uiPriority w:val="10"/>
    <w:qFormat/>
    <w:rsid w:val="0051549E"/>
    <w:pPr>
      <w:spacing w:after="80" w:line="240" w:lineRule="auto"/>
      <w:contextualSpacing/>
    </w:pPr>
    <w:rPr>
      <w:rFonts w:ascii="Avenir Next LT Pro Demi" w:eastAsiaTheme="majorEastAsia" w:hAnsi="Avenir Next LT Pro Demi" w:cstheme="majorBidi"/>
      <w:noProof/>
      <w:spacing w:val="-10"/>
      <w:kern w:val="28"/>
      <w:sz w:val="56"/>
      <w:szCs w:val="56"/>
    </w:rPr>
  </w:style>
  <w:style w:type="character" w:customStyle="1" w:styleId="TitleChar">
    <w:name w:val="Title Char"/>
    <w:basedOn w:val="DefaultParagraphFont"/>
    <w:link w:val="Title"/>
    <w:uiPriority w:val="10"/>
    <w:rsid w:val="0051549E"/>
    <w:rPr>
      <w:rFonts w:ascii="Avenir Next LT Pro Demi" w:eastAsiaTheme="majorEastAsia" w:hAnsi="Avenir Next LT Pro Demi" w:cstheme="majorBidi"/>
      <w:noProof/>
      <w:color w:val="221F1F"/>
      <w:spacing w:val="-10"/>
      <w:kern w:val="28"/>
      <w:sz w:val="56"/>
      <w:szCs w:val="56"/>
    </w:rPr>
  </w:style>
  <w:style w:type="paragraph" w:styleId="Subtitle">
    <w:name w:val="Subtitle"/>
    <w:basedOn w:val="Normal"/>
    <w:next w:val="Normal"/>
    <w:link w:val="SubtitleChar"/>
    <w:uiPriority w:val="11"/>
    <w:qFormat/>
    <w:rsid w:val="002C5B10"/>
    <w:pPr>
      <w:numPr>
        <w:ilvl w:val="1"/>
      </w:numPr>
    </w:pPr>
    <w:rPr>
      <w:rFonts w:eastAsiaTheme="majorEastAsia" w:cstheme="majorBidi"/>
      <w:noProof/>
      <w:color w:val="595959" w:themeColor="text1" w:themeTint="A6"/>
      <w:spacing w:val="15"/>
      <w:sz w:val="36"/>
      <w:szCs w:val="40"/>
    </w:rPr>
  </w:style>
  <w:style w:type="character" w:customStyle="1" w:styleId="SubtitleChar">
    <w:name w:val="Subtitle Char"/>
    <w:basedOn w:val="DefaultParagraphFont"/>
    <w:link w:val="Subtitle"/>
    <w:uiPriority w:val="11"/>
    <w:rsid w:val="002C5B10"/>
    <w:rPr>
      <w:rFonts w:ascii="Avenir Next LT Pro" w:eastAsiaTheme="majorEastAsia" w:hAnsi="Avenir Next LT Pro" w:cstheme="majorBidi"/>
      <w:noProof/>
      <w:color w:val="595959" w:themeColor="text1" w:themeTint="A6"/>
      <w:spacing w:val="15"/>
      <w:sz w:val="36"/>
      <w:szCs w:val="40"/>
    </w:rPr>
  </w:style>
  <w:style w:type="paragraph" w:styleId="Quote">
    <w:name w:val="Quote"/>
    <w:basedOn w:val="Normal"/>
    <w:next w:val="Normal"/>
    <w:link w:val="QuoteChar"/>
    <w:uiPriority w:val="29"/>
    <w:qFormat/>
    <w:rsid w:val="0051549E"/>
    <w:pPr>
      <w:spacing w:before="160"/>
      <w:jc w:val="center"/>
    </w:pPr>
    <w:rPr>
      <w:i/>
      <w:iCs/>
      <w:color w:val="404040" w:themeColor="text1" w:themeTint="BF"/>
    </w:rPr>
  </w:style>
  <w:style w:type="character" w:customStyle="1" w:styleId="QuoteChar">
    <w:name w:val="Quote Char"/>
    <w:basedOn w:val="DefaultParagraphFont"/>
    <w:link w:val="Quote"/>
    <w:uiPriority w:val="29"/>
    <w:rsid w:val="0051549E"/>
    <w:rPr>
      <w:rFonts w:ascii="Avenir Next LT Pro" w:hAnsi="Avenir Next LT Pro"/>
      <w:i/>
      <w:iCs/>
      <w:color w:val="404040" w:themeColor="text1" w:themeTint="BF"/>
      <w:spacing w:val="-4"/>
    </w:rPr>
  </w:style>
  <w:style w:type="paragraph" w:styleId="ListParagraph">
    <w:name w:val="List Paragraph"/>
    <w:basedOn w:val="Normal"/>
    <w:uiPriority w:val="34"/>
    <w:qFormat/>
    <w:rsid w:val="0051549E"/>
    <w:pPr>
      <w:ind w:left="720"/>
      <w:contextualSpacing/>
    </w:pPr>
  </w:style>
  <w:style w:type="character" w:styleId="IntenseEmphasis">
    <w:name w:val="Intense Emphasis"/>
    <w:basedOn w:val="DefaultParagraphFont"/>
    <w:uiPriority w:val="21"/>
    <w:qFormat/>
    <w:rsid w:val="0051549E"/>
    <w:rPr>
      <w:i/>
      <w:iCs/>
      <w:color w:val="AB1429" w:themeColor="accent1" w:themeShade="BF"/>
    </w:rPr>
  </w:style>
  <w:style w:type="paragraph" w:styleId="IntenseQuote">
    <w:name w:val="Intense Quote"/>
    <w:basedOn w:val="Normal"/>
    <w:next w:val="Normal"/>
    <w:link w:val="IntenseQuoteChar"/>
    <w:uiPriority w:val="30"/>
    <w:qFormat/>
    <w:rsid w:val="0051549E"/>
    <w:pPr>
      <w:pBdr>
        <w:top w:val="single" w:sz="4" w:space="10" w:color="AB1429" w:themeColor="accent1" w:themeShade="BF"/>
        <w:bottom w:val="single" w:sz="4" w:space="10" w:color="AB1429" w:themeColor="accent1" w:themeShade="BF"/>
      </w:pBdr>
      <w:spacing w:before="360" w:after="360"/>
      <w:ind w:left="864" w:right="864"/>
      <w:jc w:val="center"/>
    </w:pPr>
    <w:rPr>
      <w:i/>
      <w:iCs/>
      <w:color w:val="AB1429" w:themeColor="accent1" w:themeShade="BF"/>
    </w:rPr>
  </w:style>
  <w:style w:type="character" w:customStyle="1" w:styleId="IntenseQuoteChar">
    <w:name w:val="Intense Quote Char"/>
    <w:basedOn w:val="DefaultParagraphFont"/>
    <w:link w:val="IntenseQuote"/>
    <w:uiPriority w:val="30"/>
    <w:rsid w:val="0051549E"/>
    <w:rPr>
      <w:rFonts w:ascii="Avenir Next LT Pro" w:hAnsi="Avenir Next LT Pro"/>
      <w:i/>
      <w:iCs/>
      <w:color w:val="AB1429" w:themeColor="accent1" w:themeShade="BF"/>
      <w:spacing w:val="-4"/>
    </w:rPr>
  </w:style>
  <w:style w:type="character" w:styleId="IntenseReference">
    <w:name w:val="Intense Reference"/>
    <w:basedOn w:val="DefaultParagraphFont"/>
    <w:uiPriority w:val="32"/>
    <w:qFormat/>
    <w:rsid w:val="0051549E"/>
    <w:rPr>
      <w:b/>
      <w:bCs/>
      <w:smallCaps/>
      <w:color w:val="AB1429" w:themeColor="accent1" w:themeShade="BF"/>
      <w:spacing w:val="5"/>
    </w:rPr>
  </w:style>
  <w:style w:type="paragraph" w:styleId="Header">
    <w:name w:val="header"/>
    <w:basedOn w:val="Normal"/>
    <w:link w:val="HeaderChar"/>
    <w:uiPriority w:val="99"/>
    <w:unhideWhenUsed/>
    <w:rsid w:val="000938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38D0"/>
    <w:rPr>
      <w:rFonts w:ascii="Avenir Next LT Pro" w:hAnsi="Avenir Next LT Pro"/>
      <w:color w:val="221F1F"/>
      <w:spacing w:val="-4"/>
    </w:rPr>
  </w:style>
  <w:style w:type="paragraph" w:styleId="Footer">
    <w:name w:val="footer"/>
    <w:basedOn w:val="Normal"/>
    <w:link w:val="FooterChar"/>
    <w:uiPriority w:val="99"/>
    <w:unhideWhenUsed/>
    <w:rsid w:val="000938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38D0"/>
    <w:rPr>
      <w:rFonts w:ascii="Avenir Next LT Pro" w:hAnsi="Avenir Next LT Pro"/>
      <w:color w:val="221F1F"/>
      <w:spacing w:val="-4"/>
    </w:rPr>
  </w:style>
  <w:style w:type="character" w:styleId="Hyperlink">
    <w:name w:val="Hyperlink"/>
    <w:basedOn w:val="DefaultParagraphFont"/>
    <w:uiPriority w:val="99"/>
    <w:unhideWhenUsed/>
    <w:rsid w:val="000938D0"/>
    <w:rPr>
      <w:color w:val="0070C0" w:themeColor="hyperlink"/>
      <w:u w:val="single"/>
    </w:rPr>
  </w:style>
  <w:style w:type="character" w:customStyle="1" w:styleId="UnresolvedMention">
    <w:name w:val="Unresolved Mention"/>
    <w:basedOn w:val="DefaultParagraphFont"/>
    <w:uiPriority w:val="99"/>
    <w:semiHidden/>
    <w:unhideWhenUsed/>
    <w:rsid w:val="000938D0"/>
    <w:rPr>
      <w:color w:val="605E5C"/>
      <w:shd w:val="clear" w:color="auto" w:fill="E1DFDD"/>
    </w:rPr>
  </w:style>
  <w:style w:type="table" w:styleId="TableGrid">
    <w:name w:val="Table Grid"/>
    <w:basedOn w:val="TableNormal"/>
    <w:uiPriority w:val="39"/>
    <w:rsid w:val="000938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
    <w:name w:val="Style1"/>
    <w:basedOn w:val="TableNormal"/>
    <w:uiPriority w:val="99"/>
    <w:rsid w:val="000938D0"/>
    <w:pPr>
      <w:spacing w:after="0" w:line="240" w:lineRule="auto"/>
    </w:pPr>
    <w:rPr>
      <w:rFonts w:ascii="AvenirNext LT Pro Bold" w:hAnsi="AvenirNext LT Pro Bold"/>
    </w:rPr>
    <w:tblPr>
      <w:tblStyleRowBandSize w:val="1"/>
    </w:tblPr>
    <w:tblStylePr w:type="firstRow">
      <w:rPr>
        <w:rFonts w:ascii="AvenirNext LT Pro Regular" w:hAnsi="AvenirNext LT Pro Regular"/>
        <w:sz w:val="28"/>
      </w:rPr>
      <w:tblPr/>
      <w:tcPr>
        <w:shd w:val="clear" w:color="auto" w:fill="F05A5B" w:themeFill="accent2"/>
      </w:tcPr>
    </w:tblStylePr>
    <w:tblStylePr w:type="lastRow">
      <w:tblPr/>
      <w:tcPr>
        <w:tcBorders>
          <w:bottom w:val="single" w:sz="4" w:space="0" w:color="0070C0"/>
        </w:tcBorders>
      </w:tcPr>
    </w:tblStylePr>
    <w:tblStylePr w:type="band1Horz">
      <w:tblPr/>
      <w:tcPr>
        <w:shd w:val="clear" w:color="auto" w:fill="F2F2F2" w:themeFill="background2"/>
      </w:tcPr>
    </w:tblStylePr>
    <w:tblStylePr w:type="band2Horz">
      <w:tblPr/>
      <w:tcPr>
        <w:shd w:val="clear" w:color="auto" w:fill="D5D5D5"/>
      </w:tcPr>
    </w:tblStylePr>
  </w:style>
  <w:style w:type="table" w:customStyle="1" w:styleId="PlainTable3">
    <w:name w:val="Plain Table 3"/>
    <w:basedOn w:val="TableNormal"/>
    <w:uiPriority w:val="43"/>
    <w:rsid w:val="000938D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TableNormal"/>
    <w:uiPriority w:val="44"/>
    <w:rsid w:val="000938D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Accent5">
    <w:name w:val="Grid Table 1 Light Accent 5"/>
    <w:basedOn w:val="TableNormal"/>
    <w:uiPriority w:val="46"/>
    <w:rsid w:val="000938D0"/>
    <w:pPr>
      <w:spacing w:after="0" w:line="240" w:lineRule="auto"/>
    </w:pPr>
    <w:tblPr>
      <w:tblStyleRowBandSize w:val="1"/>
      <w:tblStyleColBandSize w:val="1"/>
      <w:tblBorders>
        <w:top w:val="single" w:sz="4" w:space="0" w:color="C6DDB8" w:themeColor="accent5" w:themeTint="66"/>
        <w:left w:val="single" w:sz="4" w:space="0" w:color="C6DDB8" w:themeColor="accent5" w:themeTint="66"/>
        <w:bottom w:val="single" w:sz="4" w:space="0" w:color="C6DDB8" w:themeColor="accent5" w:themeTint="66"/>
        <w:right w:val="single" w:sz="4" w:space="0" w:color="C6DDB8" w:themeColor="accent5" w:themeTint="66"/>
        <w:insideH w:val="single" w:sz="4" w:space="0" w:color="C6DDB8" w:themeColor="accent5" w:themeTint="66"/>
        <w:insideV w:val="single" w:sz="4" w:space="0" w:color="C6DDB8" w:themeColor="accent5" w:themeTint="66"/>
      </w:tblBorders>
    </w:tblPr>
    <w:tblStylePr w:type="firstRow">
      <w:rPr>
        <w:b/>
        <w:bCs/>
      </w:rPr>
      <w:tblPr/>
      <w:tcPr>
        <w:tcBorders>
          <w:bottom w:val="single" w:sz="12" w:space="0" w:color="A9CC95" w:themeColor="accent5" w:themeTint="99"/>
        </w:tcBorders>
      </w:tcPr>
    </w:tblStylePr>
    <w:tblStylePr w:type="lastRow">
      <w:rPr>
        <w:b/>
        <w:bCs/>
      </w:rPr>
      <w:tblPr/>
      <w:tcPr>
        <w:tcBorders>
          <w:top w:val="double" w:sz="2" w:space="0" w:color="A9CC95" w:themeColor="accent5" w:themeTint="99"/>
        </w:tcBorders>
      </w:tcPr>
    </w:tblStylePr>
    <w:tblStylePr w:type="firstCol">
      <w:rPr>
        <w:b/>
        <w:bCs/>
      </w:rPr>
    </w:tblStylePr>
    <w:tblStylePr w:type="lastCol">
      <w:rPr>
        <w:b/>
        <w:bCs/>
      </w:rPr>
    </w:tblStylePr>
  </w:style>
  <w:style w:type="table" w:customStyle="1" w:styleId="GridTable1Light">
    <w:name w:val="Grid Table 1 Light"/>
    <w:basedOn w:val="TableNormal"/>
    <w:uiPriority w:val="46"/>
    <w:rsid w:val="000938D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2">
    <w:name w:val="Grid Table 2"/>
    <w:basedOn w:val="TableNormal"/>
    <w:uiPriority w:val="47"/>
    <w:rsid w:val="000938D0"/>
    <w:pPr>
      <w:spacing w:after="0" w:line="240" w:lineRule="auto"/>
    </w:pPr>
    <w:rPr>
      <w:rFonts w:ascii="AvenirNext LT Pro Bold" w:hAnsi="AvenirNext LT Pro Bold"/>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rFonts w:ascii="AvenirNext LT Pro Regular" w:hAnsi="AvenirNext LT Pro Regular"/>
        <w:b/>
        <w:bCs/>
        <w:sz w:val="24"/>
      </w:rPr>
      <w:tblPr/>
      <w:tcPr>
        <w:tcBorders>
          <w:top w:val="nil"/>
          <w:bottom w:val="single" w:sz="12" w:space="0" w:color="E41C38"/>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band2Horz">
      <w:tblPr/>
      <w:tcPr>
        <w:shd w:val="clear" w:color="auto" w:fill="F2F2F2"/>
      </w:tcPr>
    </w:tblStylePr>
  </w:style>
  <w:style w:type="table" w:customStyle="1" w:styleId="Style2">
    <w:name w:val="Style2"/>
    <w:basedOn w:val="TableNormal"/>
    <w:uiPriority w:val="99"/>
    <w:rsid w:val="000938D0"/>
    <w:pPr>
      <w:spacing w:after="0" w:line="240" w:lineRule="auto"/>
    </w:pPr>
    <w:rPr>
      <w:rFonts w:ascii="AvenirNext LT Pro Bold" w:hAnsi="AvenirNext LT Pro Bold"/>
    </w:rPr>
    <w:tblPr/>
  </w:style>
  <w:style w:type="table" w:customStyle="1" w:styleId="PlainTable1">
    <w:name w:val="Plain Table 1"/>
    <w:aliases w:val="Colours Table basic"/>
    <w:basedOn w:val="TableNormal"/>
    <w:uiPriority w:val="41"/>
    <w:rsid w:val="000938D0"/>
    <w:pPr>
      <w:spacing w:after="0" w:line="240" w:lineRule="auto"/>
    </w:pPr>
    <w:rPr>
      <w:rFonts w:ascii="AvenirNext LT Pro Bold" w:hAnsi="AvenirNext LT Pro Bold"/>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ascii="AvenirNext LT Pro Regular" w:hAnsi="AvenirNext LT Pro Regular"/>
        <w:b/>
        <w:bCs/>
        <w:sz w:val="24"/>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band2Horz">
      <w:tblPr/>
      <w:tcPr>
        <w:shd w:val="clear" w:color="auto" w:fill="FFFFFF" w:themeFill="background1"/>
      </w:tcPr>
    </w:tblStylePr>
  </w:style>
  <w:style w:type="paragraph" w:styleId="TOCHeading">
    <w:name w:val="TOC Heading"/>
    <w:basedOn w:val="Heading1"/>
    <w:next w:val="Normal"/>
    <w:uiPriority w:val="39"/>
    <w:unhideWhenUsed/>
    <w:qFormat/>
    <w:rsid w:val="0051549E"/>
    <w:pPr>
      <w:spacing w:before="240" w:after="0" w:line="259" w:lineRule="auto"/>
      <w:outlineLvl w:val="9"/>
    </w:pPr>
    <w:rPr>
      <w:color w:val="auto"/>
      <w:spacing w:val="0"/>
      <w:kern w:val="0"/>
      <w14:ligatures w14:val="none"/>
    </w:rPr>
  </w:style>
  <w:style w:type="paragraph" w:styleId="TOC2">
    <w:name w:val="toc 2"/>
    <w:basedOn w:val="Normal"/>
    <w:next w:val="Normal"/>
    <w:autoRedefine/>
    <w:uiPriority w:val="39"/>
    <w:unhideWhenUsed/>
    <w:rsid w:val="000938D0"/>
    <w:pPr>
      <w:spacing w:after="100"/>
      <w:ind w:left="240"/>
    </w:pPr>
  </w:style>
  <w:style w:type="paragraph" w:styleId="TOC3">
    <w:name w:val="toc 3"/>
    <w:basedOn w:val="Normal"/>
    <w:next w:val="Normal"/>
    <w:autoRedefine/>
    <w:uiPriority w:val="39"/>
    <w:unhideWhenUsed/>
    <w:rsid w:val="000938D0"/>
    <w:pPr>
      <w:spacing w:after="100"/>
      <w:ind w:left="480"/>
    </w:pPr>
  </w:style>
  <w:style w:type="paragraph" w:styleId="TOC1">
    <w:name w:val="toc 1"/>
    <w:basedOn w:val="Normal"/>
    <w:next w:val="Normal"/>
    <w:autoRedefine/>
    <w:uiPriority w:val="39"/>
    <w:unhideWhenUsed/>
    <w:rsid w:val="000938D0"/>
    <w:pPr>
      <w:tabs>
        <w:tab w:val="right" w:leader="dot" w:pos="9350"/>
      </w:tabs>
      <w:spacing w:after="100" w:line="259" w:lineRule="auto"/>
    </w:pPr>
    <w:rPr>
      <w:rFonts w:eastAsiaTheme="minorEastAsia" w:cs="Times New Roman"/>
      <w:noProof/>
      <w:color w:val="auto"/>
      <w:spacing w:val="0"/>
      <w:kern w:val="0"/>
      <w:sz w:val="22"/>
      <w:szCs w:val="22"/>
      <w14:ligatures w14:val="none"/>
    </w:rPr>
  </w:style>
  <w:style w:type="table" w:customStyle="1" w:styleId="ListTable1Light">
    <w:name w:val="List Table 1 Light"/>
    <w:basedOn w:val="TableNormal"/>
    <w:uiPriority w:val="46"/>
    <w:rsid w:val="000938D0"/>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FollowedHyperlink">
    <w:name w:val="FollowedHyperlink"/>
    <w:basedOn w:val="DefaultParagraphFont"/>
    <w:uiPriority w:val="99"/>
    <w:semiHidden/>
    <w:unhideWhenUsed/>
    <w:rsid w:val="000938D0"/>
    <w:rPr>
      <w:color w:val="00B0F0" w:themeColor="followedHyperlink"/>
      <w:u w:val="single"/>
    </w:rPr>
  </w:style>
  <w:style w:type="paragraph" w:styleId="NoSpacing">
    <w:name w:val="No Spacing"/>
    <w:link w:val="NoSpacingChar"/>
    <w:uiPriority w:val="1"/>
    <w:qFormat/>
    <w:rsid w:val="0051549E"/>
    <w:pPr>
      <w:spacing w:after="0" w:line="240" w:lineRule="auto"/>
    </w:pPr>
    <w:rPr>
      <w:rFonts w:eastAsiaTheme="minorEastAsia"/>
      <w:kern w:val="0"/>
      <w:sz w:val="22"/>
      <w:szCs w:val="22"/>
      <w14:ligatures w14:val="none"/>
    </w:rPr>
  </w:style>
  <w:style w:type="character" w:customStyle="1" w:styleId="NoSpacingChar">
    <w:name w:val="No Spacing Char"/>
    <w:basedOn w:val="DefaultParagraphFont"/>
    <w:link w:val="NoSpacing"/>
    <w:uiPriority w:val="1"/>
    <w:rsid w:val="0051549E"/>
    <w:rPr>
      <w:rFonts w:eastAsiaTheme="minorEastAsia"/>
      <w:kern w:val="0"/>
      <w:sz w:val="22"/>
      <w:szCs w:val="22"/>
      <w14:ligatures w14:val="none"/>
    </w:rPr>
  </w:style>
  <w:style w:type="paragraph" w:styleId="Revision">
    <w:name w:val="Revision"/>
    <w:hidden/>
    <w:uiPriority w:val="99"/>
    <w:semiHidden/>
    <w:rsid w:val="000938D0"/>
    <w:pPr>
      <w:spacing w:after="0" w:line="240" w:lineRule="auto"/>
    </w:pPr>
    <w:rPr>
      <w:rFonts w:ascii="AvenirNext LT Pro Bold" w:hAnsi="AvenirNext LT Pro Bold"/>
      <w:color w:val="221F1F"/>
      <w:spacing w:val="-4"/>
    </w:rPr>
  </w:style>
  <w:style w:type="character" w:styleId="CommentReference">
    <w:name w:val="annotation reference"/>
    <w:basedOn w:val="DefaultParagraphFont"/>
    <w:uiPriority w:val="99"/>
    <w:semiHidden/>
    <w:unhideWhenUsed/>
    <w:rsid w:val="002052F6"/>
    <w:rPr>
      <w:sz w:val="16"/>
      <w:szCs w:val="16"/>
    </w:rPr>
  </w:style>
  <w:style w:type="paragraph" w:styleId="CommentText">
    <w:name w:val="annotation text"/>
    <w:basedOn w:val="Normal"/>
    <w:link w:val="CommentTextChar"/>
    <w:uiPriority w:val="99"/>
    <w:unhideWhenUsed/>
    <w:rsid w:val="002052F6"/>
    <w:pPr>
      <w:spacing w:line="240" w:lineRule="auto"/>
    </w:pPr>
    <w:rPr>
      <w:sz w:val="20"/>
      <w:szCs w:val="20"/>
    </w:rPr>
  </w:style>
  <w:style w:type="character" w:customStyle="1" w:styleId="CommentTextChar">
    <w:name w:val="Comment Text Char"/>
    <w:basedOn w:val="DefaultParagraphFont"/>
    <w:link w:val="CommentText"/>
    <w:uiPriority w:val="99"/>
    <w:rsid w:val="002052F6"/>
    <w:rPr>
      <w:rFonts w:ascii="AvenirNext LT Pro Bold" w:hAnsi="AvenirNext LT Pro Bold"/>
      <w:color w:val="221F1F"/>
      <w:spacing w:val="-4"/>
      <w:sz w:val="20"/>
      <w:szCs w:val="20"/>
    </w:rPr>
  </w:style>
  <w:style w:type="paragraph" w:styleId="CommentSubject">
    <w:name w:val="annotation subject"/>
    <w:basedOn w:val="CommentText"/>
    <w:next w:val="CommentText"/>
    <w:link w:val="CommentSubjectChar"/>
    <w:uiPriority w:val="99"/>
    <w:semiHidden/>
    <w:unhideWhenUsed/>
    <w:rsid w:val="002052F6"/>
    <w:rPr>
      <w:b/>
      <w:bCs/>
    </w:rPr>
  </w:style>
  <w:style w:type="character" w:customStyle="1" w:styleId="CommentSubjectChar">
    <w:name w:val="Comment Subject Char"/>
    <w:basedOn w:val="CommentTextChar"/>
    <w:link w:val="CommentSubject"/>
    <w:uiPriority w:val="99"/>
    <w:semiHidden/>
    <w:rsid w:val="002052F6"/>
    <w:rPr>
      <w:rFonts w:ascii="AvenirNext LT Pro Bold" w:hAnsi="AvenirNext LT Pro Bold"/>
      <w:b/>
      <w:bCs/>
      <w:color w:val="221F1F"/>
      <w:spacing w:val="-4"/>
      <w:sz w:val="20"/>
      <w:szCs w:val="20"/>
    </w:rPr>
  </w:style>
  <w:style w:type="paragraph" w:customStyle="1" w:styleId="Sub-subheading">
    <w:name w:val="Sub-sub heading"/>
    <w:basedOn w:val="Normal"/>
    <w:qFormat/>
    <w:rsid w:val="008F656E"/>
    <w:rPr>
      <w:color w:val="595959" w:themeColor="text1" w:themeTint="A6"/>
      <w:sz w:val="28"/>
      <w:szCs w:val="28"/>
    </w:rPr>
  </w:style>
  <w:style w:type="paragraph" w:customStyle="1" w:styleId="1stpageheading">
    <w:name w:val="1st page heading"/>
    <w:basedOn w:val="Title"/>
    <w:qFormat/>
    <w:rsid w:val="002E6B3B"/>
    <w:rPr>
      <w:rFonts w:ascii="Avenir Next LT Pro" w:hAnsi="Avenir Next LT Pro"/>
    </w:rPr>
  </w:style>
  <w:style w:type="paragraph" w:styleId="BalloonText">
    <w:name w:val="Balloon Text"/>
    <w:basedOn w:val="Normal"/>
    <w:link w:val="BalloonTextChar"/>
    <w:uiPriority w:val="99"/>
    <w:semiHidden/>
    <w:unhideWhenUsed/>
    <w:rsid w:val="00EB3BE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3BEE"/>
    <w:rPr>
      <w:rFonts w:ascii="Segoe UI" w:hAnsi="Segoe UI" w:cs="Segoe UI"/>
      <w:color w:val="221F1F"/>
      <w:spacing w:val="-4"/>
      <w:sz w:val="18"/>
      <w:szCs w:val="18"/>
    </w:rPr>
  </w:style>
  <w:style w:type="character" w:customStyle="1" w:styleId="oneUserDefinedStyle">
    <w:name w:val="oneUserDefinedStyle"/>
    <w:basedOn w:val="DefaultParagraphFont"/>
    <w:uiPriority w:val="1"/>
    <w:rsid w:val="00FC6A06"/>
    <w:rPr>
      <w:rFonts w:asciiTheme="minorHAnsi" w:eastAsiaTheme="minorEastAsia" w:hAnsiTheme="minorHAnsi" w:cstheme="minorBidi"/>
      <w:b w:val="0"/>
      <w:bCs w:val="0"/>
      <w:color w:val="1B2232"/>
      <w:sz w:val="20"/>
      <w:szCs w:val="20"/>
    </w:rPr>
  </w:style>
  <w:style w:type="paragraph" w:customStyle="1" w:styleId="EndNoteBibliography">
    <w:name w:val="EndNote Bibliography"/>
    <w:basedOn w:val="Normal"/>
    <w:link w:val="EndNoteBibliographyChar"/>
    <w:rsid w:val="002B6683"/>
    <w:pPr>
      <w:spacing w:line="240" w:lineRule="auto"/>
    </w:pPr>
  </w:style>
  <w:style w:type="character" w:customStyle="1" w:styleId="EndNoteBibliographyChar">
    <w:name w:val="EndNote Bibliography Char"/>
    <w:basedOn w:val="DefaultParagraphFont"/>
    <w:link w:val="EndNoteBibliography"/>
    <w:rsid w:val="002B6683"/>
    <w:rPr>
      <w:rFonts w:ascii="Avenir Next LT Pro" w:hAnsi="Avenir Next LT Pro"/>
      <w:color w:val="221F1F"/>
      <w:spacing w:val="-4"/>
      <w:lang w:val="en-GB"/>
    </w:rPr>
  </w:style>
  <w:style w:type="paragraph" w:styleId="BodyText">
    <w:name w:val="Body Text"/>
    <w:basedOn w:val="Normal"/>
    <w:link w:val="BodyTextChar"/>
    <w:uiPriority w:val="1"/>
    <w:qFormat/>
    <w:rsid w:val="002B6683"/>
    <w:pPr>
      <w:widowControl w:val="0"/>
      <w:autoSpaceDE w:val="0"/>
      <w:autoSpaceDN w:val="0"/>
      <w:spacing w:after="0" w:line="240" w:lineRule="auto"/>
    </w:pPr>
    <w:rPr>
      <w:rFonts w:ascii="Calibri" w:eastAsia="Calibri" w:hAnsi="Calibri" w:cs="Calibri"/>
      <w:color w:val="auto"/>
      <w:spacing w:val="0"/>
      <w:kern w:val="0"/>
      <w14:ligatures w14:val="none"/>
    </w:rPr>
  </w:style>
  <w:style w:type="character" w:customStyle="1" w:styleId="BodyTextChar">
    <w:name w:val="Body Text Char"/>
    <w:basedOn w:val="DefaultParagraphFont"/>
    <w:link w:val="BodyText"/>
    <w:uiPriority w:val="1"/>
    <w:rsid w:val="002B6683"/>
    <w:rPr>
      <w:rFonts w:ascii="Calibri" w:eastAsia="Calibri" w:hAnsi="Calibri" w:cs="Calibri"/>
      <w:kern w:val="0"/>
      <w14:ligatures w14:val="none"/>
    </w:rPr>
  </w:style>
  <w:style w:type="paragraph" w:styleId="NormalWeb">
    <w:name w:val="Normal (Web)"/>
    <w:basedOn w:val="Normal"/>
    <w:uiPriority w:val="99"/>
    <w:semiHidden/>
    <w:unhideWhenUsed/>
    <w:rsid w:val="002B6683"/>
    <w:pPr>
      <w:spacing w:line="278" w:lineRule="auto"/>
    </w:pPr>
    <w:rPr>
      <w:rFonts w:ascii="Times New Roman" w:hAnsi="Times New Roman" w:cs="Times New Roman"/>
      <w:color w:val="auto"/>
      <w:spacing w:val="0"/>
    </w:rPr>
  </w:style>
  <w:style w:type="table" w:customStyle="1" w:styleId="TableNormal1">
    <w:name w:val="Table Normal1"/>
    <w:uiPriority w:val="2"/>
    <w:semiHidden/>
    <w:unhideWhenUsed/>
    <w:qFormat/>
    <w:rsid w:val="002B6683"/>
    <w:pPr>
      <w:widowControl w:val="0"/>
      <w:autoSpaceDE w:val="0"/>
      <w:autoSpaceDN w:val="0"/>
      <w:spacing w:after="0" w:line="240" w:lineRule="auto"/>
    </w:pPr>
    <w:rPr>
      <w:kern w:val="0"/>
      <w:sz w:val="22"/>
      <w:szCs w:val="22"/>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B6683"/>
    <w:pPr>
      <w:widowControl w:val="0"/>
      <w:autoSpaceDE w:val="0"/>
      <w:autoSpaceDN w:val="0"/>
      <w:spacing w:before="2" w:after="0" w:line="240" w:lineRule="auto"/>
      <w:ind w:left="13"/>
      <w:jc w:val="center"/>
    </w:pPr>
    <w:rPr>
      <w:rFonts w:ascii="Times New Roman" w:eastAsia="Times New Roman" w:hAnsi="Times New Roman" w:cs="Times New Roman"/>
      <w:color w:val="auto"/>
      <w:spacing w:val="0"/>
      <w:kern w:val="0"/>
      <w:sz w:val="22"/>
      <w:szCs w:val="22"/>
      <w14:ligatures w14:val="none"/>
    </w:rPr>
  </w:style>
  <w:style w:type="paragraph" w:customStyle="1" w:styleId="EndNoteBibliographyTitle">
    <w:name w:val="EndNote Bibliography Title"/>
    <w:basedOn w:val="Normal"/>
    <w:link w:val="EndNoteBibliographyTitleChar"/>
    <w:rsid w:val="002B6683"/>
    <w:pPr>
      <w:spacing w:after="0" w:line="278" w:lineRule="auto"/>
      <w:jc w:val="center"/>
    </w:pPr>
    <w:rPr>
      <w:rFonts w:ascii="Aptos" w:hAnsi="Aptos"/>
      <w:color w:val="auto"/>
      <w:spacing w:val="0"/>
    </w:rPr>
  </w:style>
  <w:style w:type="character" w:customStyle="1" w:styleId="EndNoteBibliographyTitleChar">
    <w:name w:val="EndNote Bibliography Title Char"/>
    <w:basedOn w:val="DefaultParagraphFont"/>
    <w:link w:val="EndNoteBibliographyTitle"/>
    <w:rsid w:val="002B6683"/>
    <w:rPr>
      <w:rFonts w:ascii="Aptos" w:hAnsi="Aptos"/>
    </w:rPr>
  </w:style>
  <w:style w:type="paragraph" w:styleId="TOC4">
    <w:name w:val="toc 4"/>
    <w:basedOn w:val="Normal"/>
    <w:next w:val="Normal"/>
    <w:autoRedefine/>
    <w:uiPriority w:val="39"/>
    <w:semiHidden/>
    <w:unhideWhenUsed/>
    <w:rsid w:val="002B6683"/>
    <w:pPr>
      <w:spacing w:after="0" w:line="278" w:lineRule="auto"/>
    </w:pPr>
    <w:rPr>
      <w:rFonts w:asciiTheme="minorHAnsi" w:hAnsiTheme="minorHAnsi"/>
      <w:color w:val="auto"/>
      <w:spacing w:val="0"/>
      <w:sz w:val="22"/>
      <w:szCs w:val="22"/>
    </w:rPr>
  </w:style>
  <w:style w:type="paragraph" w:styleId="TOC5">
    <w:name w:val="toc 5"/>
    <w:basedOn w:val="Normal"/>
    <w:next w:val="Normal"/>
    <w:autoRedefine/>
    <w:uiPriority w:val="39"/>
    <w:semiHidden/>
    <w:unhideWhenUsed/>
    <w:rsid w:val="002B6683"/>
    <w:pPr>
      <w:spacing w:after="0" w:line="278" w:lineRule="auto"/>
    </w:pPr>
    <w:rPr>
      <w:rFonts w:asciiTheme="minorHAnsi" w:hAnsiTheme="minorHAnsi"/>
      <w:color w:val="auto"/>
      <w:spacing w:val="0"/>
      <w:sz w:val="22"/>
      <w:szCs w:val="22"/>
    </w:rPr>
  </w:style>
  <w:style w:type="paragraph" w:styleId="TOC6">
    <w:name w:val="toc 6"/>
    <w:basedOn w:val="Normal"/>
    <w:next w:val="Normal"/>
    <w:autoRedefine/>
    <w:uiPriority w:val="39"/>
    <w:semiHidden/>
    <w:unhideWhenUsed/>
    <w:rsid w:val="002B6683"/>
    <w:pPr>
      <w:spacing w:after="0" w:line="278" w:lineRule="auto"/>
    </w:pPr>
    <w:rPr>
      <w:rFonts w:asciiTheme="minorHAnsi" w:hAnsiTheme="minorHAnsi"/>
      <w:color w:val="auto"/>
      <w:spacing w:val="0"/>
      <w:sz w:val="22"/>
      <w:szCs w:val="22"/>
    </w:rPr>
  </w:style>
  <w:style w:type="paragraph" w:styleId="TOC7">
    <w:name w:val="toc 7"/>
    <w:basedOn w:val="Normal"/>
    <w:next w:val="Normal"/>
    <w:autoRedefine/>
    <w:uiPriority w:val="39"/>
    <w:semiHidden/>
    <w:unhideWhenUsed/>
    <w:rsid w:val="002B6683"/>
    <w:pPr>
      <w:spacing w:after="0" w:line="278" w:lineRule="auto"/>
    </w:pPr>
    <w:rPr>
      <w:rFonts w:asciiTheme="minorHAnsi" w:hAnsiTheme="minorHAnsi"/>
      <w:color w:val="auto"/>
      <w:spacing w:val="0"/>
      <w:sz w:val="22"/>
      <w:szCs w:val="22"/>
    </w:rPr>
  </w:style>
  <w:style w:type="paragraph" w:styleId="TOC8">
    <w:name w:val="toc 8"/>
    <w:basedOn w:val="Normal"/>
    <w:next w:val="Normal"/>
    <w:autoRedefine/>
    <w:uiPriority w:val="39"/>
    <w:semiHidden/>
    <w:unhideWhenUsed/>
    <w:rsid w:val="002B6683"/>
    <w:pPr>
      <w:spacing w:after="0" w:line="278" w:lineRule="auto"/>
    </w:pPr>
    <w:rPr>
      <w:rFonts w:asciiTheme="minorHAnsi" w:hAnsiTheme="minorHAnsi"/>
      <w:color w:val="auto"/>
      <w:spacing w:val="0"/>
      <w:sz w:val="22"/>
      <w:szCs w:val="22"/>
    </w:rPr>
  </w:style>
  <w:style w:type="paragraph" w:styleId="TOC9">
    <w:name w:val="toc 9"/>
    <w:basedOn w:val="Normal"/>
    <w:next w:val="Normal"/>
    <w:autoRedefine/>
    <w:uiPriority w:val="39"/>
    <w:semiHidden/>
    <w:unhideWhenUsed/>
    <w:rsid w:val="002B6683"/>
    <w:pPr>
      <w:spacing w:after="0" w:line="278" w:lineRule="auto"/>
    </w:pPr>
    <w:rPr>
      <w:rFonts w:asciiTheme="minorHAnsi" w:hAnsiTheme="minorHAnsi"/>
      <w:color w:val="auto"/>
      <w:spacing w:val="0"/>
      <w:sz w:val="22"/>
      <w:szCs w:val="22"/>
    </w:rPr>
  </w:style>
  <w:style w:type="character" w:styleId="Strong">
    <w:name w:val="Strong"/>
    <w:basedOn w:val="DefaultParagraphFont"/>
    <w:uiPriority w:val="22"/>
    <w:qFormat/>
    <w:rsid w:val="00AD442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912914">
      <w:bodyDiv w:val="1"/>
      <w:marLeft w:val="0"/>
      <w:marRight w:val="0"/>
      <w:marTop w:val="0"/>
      <w:marBottom w:val="0"/>
      <w:divBdr>
        <w:top w:val="none" w:sz="0" w:space="0" w:color="auto"/>
        <w:left w:val="none" w:sz="0" w:space="0" w:color="auto"/>
        <w:bottom w:val="none" w:sz="0" w:space="0" w:color="auto"/>
        <w:right w:val="none" w:sz="0" w:space="0" w:color="auto"/>
      </w:divBdr>
    </w:div>
    <w:div w:id="227766021">
      <w:bodyDiv w:val="1"/>
      <w:marLeft w:val="0"/>
      <w:marRight w:val="0"/>
      <w:marTop w:val="0"/>
      <w:marBottom w:val="0"/>
      <w:divBdr>
        <w:top w:val="none" w:sz="0" w:space="0" w:color="auto"/>
        <w:left w:val="none" w:sz="0" w:space="0" w:color="auto"/>
        <w:bottom w:val="none" w:sz="0" w:space="0" w:color="auto"/>
        <w:right w:val="none" w:sz="0" w:space="0" w:color="auto"/>
      </w:divBdr>
    </w:div>
    <w:div w:id="727219114">
      <w:bodyDiv w:val="1"/>
      <w:marLeft w:val="0"/>
      <w:marRight w:val="0"/>
      <w:marTop w:val="0"/>
      <w:marBottom w:val="0"/>
      <w:divBdr>
        <w:top w:val="none" w:sz="0" w:space="0" w:color="auto"/>
        <w:left w:val="none" w:sz="0" w:space="0" w:color="auto"/>
        <w:bottom w:val="none" w:sz="0" w:space="0" w:color="auto"/>
        <w:right w:val="none" w:sz="0" w:space="0" w:color="auto"/>
      </w:divBdr>
    </w:div>
    <w:div w:id="1032801513">
      <w:bodyDiv w:val="1"/>
      <w:marLeft w:val="0"/>
      <w:marRight w:val="0"/>
      <w:marTop w:val="0"/>
      <w:marBottom w:val="0"/>
      <w:divBdr>
        <w:top w:val="none" w:sz="0" w:space="0" w:color="auto"/>
        <w:left w:val="none" w:sz="0" w:space="0" w:color="auto"/>
        <w:bottom w:val="none" w:sz="0" w:space="0" w:color="auto"/>
        <w:right w:val="none" w:sz="0" w:space="0" w:color="auto"/>
      </w:divBdr>
    </w:div>
    <w:div w:id="1216695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8.jpeg"/><Relationship Id="rId26" Type="http://schemas.openxmlformats.org/officeDocument/2006/relationships/image" Target="media/image16.jpg"/><Relationship Id="rId39" Type="http://schemas.openxmlformats.org/officeDocument/2006/relationships/image" Target="media/image23.jp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7.jpg"/><Relationship Id="rId25" Type="http://schemas.openxmlformats.org/officeDocument/2006/relationships/image" Target="media/image15.jpeg"/><Relationship Id="rId33" Type="http://schemas.openxmlformats.org/officeDocument/2006/relationships/image" Target="media/image20.jpg"/><Relationship Id="rId38" Type="http://schemas.openxmlformats.org/officeDocument/2006/relationships/image" Target="media/image28.jpeg"/><Relationship Id="rId46"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8.jpg"/><Relationship Id="rId41" Type="http://schemas.openxmlformats.org/officeDocument/2006/relationships/image" Target="media/image24.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2.jpg"/><Relationship Id="rId40" Type="http://schemas.openxmlformats.org/officeDocument/2006/relationships/image" Target="media/image30.jpeg"/><Relationship Id="rId45"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header" Target="header2.xml"/><Relationship Id="rId19" Type="http://schemas.openxmlformats.org/officeDocument/2006/relationships/image" Target="media/image9.jpeg"/><Relationship Id="rId31" Type="http://schemas.openxmlformats.org/officeDocument/2006/relationships/image" Target="media/image19.jpg"/><Relationship Id="rId44" Type="http://schemas.openxmlformats.org/officeDocument/2006/relationships/image" Target="media/image34.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2.jpeg"/><Relationship Id="rId27" Type="http://schemas.openxmlformats.org/officeDocument/2006/relationships/image" Target="media/image17.jpg"/><Relationship Id="rId30" Type="http://schemas.openxmlformats.org/officeDocument/2006/relationships/image" Target="media/image20.jpeg"/><Relationship Id="rId35" Type="http://schemas.openxmlformats.org/officeDocument/2006/relationships/image" Target="media/image21.jpg"/><Relationship Id="rId43" Type="http://schemas.openxmlformats.org/officeDocument/2006/relationships/image" Target="media/image25.jpg"/><Relationship Id="rId48"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sel\Documents\Custom%20Office%20Templates\Deliverable_Draft_v1.6.7_landscape.dotx" TargetMode="External"/></Relationships>
</file>

<file path=word/theme/theme1.xml><?xml version="1.0" encoding="utf-8"?>
<a:theme xmlns:a="http://schemas.openxmlformats.org/drawingml/2006/main" name="Office Theme">
  <a:themeElements>
    <a:clrScheme name="Colours Alliance">
      <a:dk1>
        <a:sysClr val="windowText" lastClr="000000"/>
      </a:dk1>
      <a:lt1>
        <a:sysClr val="window" lastClr="FFFFFF"/>
      </a:lt1>
      <a:dk2>
        <a:srgbClr val="0E2841"/>
      </a:dk2>
      <a:lt2>
        <a:srgbClr val="F2F2F2"/>
      </a:lt2>
      <a:accent1>
        <a:srgbClr val="E41C38"/>
      </a:accent1>
      <a:accent2>
        <a:srgbClr val="F05A5B"/>
      </a:accent2>
      <a:accent3>
        <a:srgbClr val="9C4198"/>
      </a:accent3>
      <a:accent4>
        <a:srgbClr val="354EA0"/>
      </a:accent4>
      <a:accent5>
        <a:srgbClr val="72A951"/>
      </a:accent5>
      <a:accent6>
        <a:srgbClr val="DE8B03"/>
      </a:accent6>
      <a:hlink>
        <a:srgbClr val="0070C0"/>
      </a:hlink>
      <a:folHlink>
        <a:srgbClr val="00B0F0"/>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06955A5-9820-4CE5-913E-50DECB57DADC}">
  <we:reference id="WA104381727" version="1.0.1.0" store="Omex" storeType="OMEX"/>
  <we:alternateReferences>
    <we:reference id="WA104381727" version="1.0.1.0" store="WA104381727" storeType="OMEX"/>
  </we:alternateReferences>
  <we:properties>
    <we:property name="documentId" value="&quot;604e92730c8367ec&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8DFD24-1F86-4788-929A-F032822A0F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Deliverable_Draft_v1.6.7_landscape.dotx</Template>
  <TotalTime>547</TotalTime>
  <Pages>78</Pages>
  <Words>66897</Words>
  <Characters>381317</Characters>
  <Application>Microsoft Office Word</Application>
  <DocSecurity>0</DocSecurity>
  <Lines>3177</Lines>
  <Paragraphs>894</Paragraphs>
  <ScaleCrop>false</ScaleCrop>
  <HeadingPairs>
    <vt:vector size="8" baseType="variant">
      <vt:variant>
        <vt:lpstr>Rubrik</vt:lpstr>
      </vt:variant>
      <vt:variant>
        <vt:i4>1</vt:i4>
      </vt:variant>
      <vt:variant>
        <vt:lpstr>Title</vt:lpstr>
      </vt:variant>
      <vt:variant>
        <vt:i4>1</vt:i4>
      </vt:variant>
      <vt:variant>
        <vt:lpstr>Titel</vt:lpstr>
      </vt:variant>
      <vt:variant>
        <vt:i4>1</vt:i4>
      </vt:variant>
      <vt:variant>
        <vt:lpstr>Naslov</vt:lpstr>
      </vt:variant>
      <vt:variant>
        <vt:i4>1</vt:i4>
      </vt:variant>
    </vt:vector>
  </HeadingPairs>
  <TitlesOfParts>
    <vt:vector size="4" baseType="lpstr">
      <vt:lpstr/>
      <vt:lpstr/>
      <vt:lpstr/>
      <vt:lpstr/>
    </vt:vector>
  </TitlesOfParts>
  <Manager/>
  <Company/>
  <LinksUpToDate>false</LinksUpToDate>
  <CharactersWithSpaces>447320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Dominik Halilovic</dc:creator>
  <cp:lastModifiedBy>user</cp:lastModifiedBy>
  <cp:revision>196</cp:revision>
  <dcterms:created xsi:type="dcterms:W3CDTF">2025-09-18T08:17:00Z</dcterms:created>
  <dcterms:modified xsi:type="dcterms:W3CDTF">2025-10-17T08:46:00Z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d6e62e8dde1d49362edcafc495ffd9cd03899e6e58447b7538b90d6d08c82da6</vt:lpwstr>
  </property>
  <property fmtid="{D5CDD505-2E9C-101B-9397-08002B2CF9AE}" pid="3" name="Version">
    <vt:lpwstr>1.0</vt:lpwstr>
  </property>
  <property fmtid="{D5CDD505-2E9C-101B-9397-08002B2CF9AE}" pid="4" name="MSIP_Label_9144ccec-98ca-4847-b090-103d5c6592f4_Enabled">
    <vt:lpwstr>true</vt:lpwstr>
  </property>
  <property fmtid="{D5CDD505-2E9C-101B-9397-08002B2CF9AE}" pid="5" name="MSIP_Label_9144ccec-98ca-4847-b090-103d5c6592f4_SetDate">
    <vt:lpwstr>2025-09-18T08:17:52Z</vt:lpwstr>
  </property>
  <property fmtid="{D5CDD505-2E9C-101B-9397-08002B2CF9AE}" pid="6" name="MSIP_Label_9144ccec-98ca-4847-b090-103d5c6592f4_Method">
    <vt:lpwstr>Standard</vt:lpwstr>
  </property>
  <property fmtid="{D5CDD505-2E9C-101B-9397-08002B2CF9AE}" pid="7" name="MSIP_Label_9144ccec-98ca-4847-b090-103d5c6592f4_Name">
    <vt:lpwstr>Information class 1</vt:lpwstr>
  </property>
  <property fmtid="{D5CDD505-2E9C-101B-9397-08002B2CF9AE}" pid="8" name="MSIP_Label_9144ccec-98ca-4847-b090-103d5c6592f4_SiteId">
    <vt:lpwstr>fb665cd7-b4b7-4578-8a42-29ff69176bdf</vt:lpwstr>
  </property>
  <property fmtid="{D5CDD505-2E9C-101B-9397-08002B2CF9AE}" pid="9" name="MSIP_Label_9144ccec-98ca-4847-b090-103d5c6592f4_ActionId">
    <vt:lpwstr>97518f69-997b-4c86-80ea-9ea87313f624</vt:lpwstr>
  </property>
  <property fmtid="{D5CDD505-2E9C-101B-9397-08002B2CF9AE}" pid="10" name="MSIP_Label_9144ccec-98ca-4847-b090-103d5c6592f4_ContentBits">
    <vt:lpwstr>0</vt:lpwstr>
  </property>
  <property fmtid="{D5CDD505-2E9C-101B-9397-08002B2CF9AE}" pid="11" name="MSIP_Label_9144ccec-98ca-4847-b090-103d5c6592f4_Tag">
    <vt:lpwstr>10, 3, 0, 1</vt:lpwstr>
  </property>
</Properties>
</file>