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EDDD9" w14:textId="032CC29F" w:rsidR="00787B3A" w:rsidRPr="00C204AC" w:rsidRDefault="00787B3A">
      <w:pPr>
        <w:rPr>
          <w:rFonts w:cstheme="minorHAnsi"/>
          <w:sz w:val="24"/>
          <w:szCs w:val="24"/>
        </w:rPr>
      </w:pPr>
      <w:r w:rsidRPr="00C204AC">
        <w:rPr>
          <w:rFonts w:cstheme="minorHAnsi"/>
          <w:sz w:val="24"/>
          <w:szCs w:val="24"/>
        </w:rPr>
        <w:t>Questions and Answers:</w:t>
      </w:r>
    </w:p>
    <w:p w14:paraId="05AFEAB8" w14:textId="41266709" w:rsidR="006A63BF" w:rsidRPr="006A63BF" w:rsidRDefault="006A63BF" w:rsidP="006A63BF">
      <w:pPr>
        <w:shd w:val="clear" w:color="auto" w:fill="FFFFFF"/>
        <w:spacing w:after="0" w:line="240" w:lineRule="auto"/>
        <w:textAlignment w:val="baseline"/>
        <w:rPr>
          <w:rFonts w:eastAsia="Times New Roman" w:cstheme="minorHAnsi"/>
          <w:color w:val="FF0000"/>
          <w:sz w:val="24"/>
          <w:szCs w:val="24"/>
        </w:rPr>
      </w:pPr>
      <w:r w:rsidRPr="006A63BF">
        <w:rPr>
          <w:rFonts w:eastAsia="Times New Roman" w:cstheme="minorHAnsi"/>
          <w:color w:val="000000"/>
          <w:sz w:val="24"/>
          <w:szCs w:val="24"/>
        </w:rPr>
        <w:t>1. Section 2.1 states that the proposed Software Subscription Platform shall include 100 user licenses. The Official Bid Price Sheet requests a Per Unit Cost, identifies the Unit of Measurement as "Yearly," and shows an Estimated Quantity of One (1) for each contract year. Could you please clarify whether the annual unit represents the complete Software Subscription Platform, including the required 100 user licenses, or one individual user license with pricing expected on a per-user basis?</w:t>
      </w:r>
      <w:r w:rsidRPr="00C204AC">
        <w:rPr>
          <w:rFonts w:eastAsia="Times New Roman" w:cstheme="minorHAnsi"/>
          <w:color w:val="242424"/>
          <w:sz w:val="24"/>
          <w:szCs w:val="24"/>
        </w:rPr>
        <w:t xml:space="preserve"> </w:t>
      </w:r>
      <w:r w:rsidRPr="006834C0">
        <w:rPr>
          <w:rFonts w:eastAsia="Times New Roman" w:cstheme="minorHAnsi"/>
          <w:color w:val="FF0000"/>
          <w:sz w:val="24"/>
          <w:szCs w:val="24"/>
        </w:rPr>
        <w:t>The bid should include the complete software platform with the cost for 100 licenses for year 1 and then for year 2.</w:t>
      </w:r>
    </w:p>
    <w:p w14:paraId="48CC5223" w14:textId="77777777" w:rsidR="006A63BF" w:rsidRPr="006A63BF" w:rsidRDefault="006A63BF" w:rsidP="006A63BF">
      <w:pPr>
        <w:shd w:val="clear" w:color="auto" w:fill="FFFFFF"/>
        <w:spacing w:after="0" w:line="240" w:lineRule="auto"/>
        <w:textAlignment w:val="baseline"/>
        <w:rPr>
          <w:rFonts w:eastAsia="Times New Roman" w:cstheme="minorHAnsi"/>
          <w:color w:val="000000"/>
          <w:sz w:val="24"/>
          <w:szCs w:val="24"/>
        </w:rPr>
      </w:pPr>
    </w:p>
    <w:p w14:paraId="6177D284" w14:textId="6574C0ED" w:rsidR="006A63BF" w:rsidRPr="006A63BF" w:rsidRDefault="006A63BF" w:rsidP="006A63BF">
      <w:pPr>
        <w:shd w:val="clear" w:color="auto" w:fill="FFFFFF"/>
        <w:spacing w:after="0" w:line="240" w:lineRule="auto"/>
        <w:textAlignment w:val="baseline"/>
        <w:rPr>
          <w:rFonts w:eastAsia="Times New Roman" w:cstheme="minorHAnsi"/>
          <w:color w:val="000000"/>
          <w:sz w:val="24"/>
          <w:szCs w:val="24"/>
        </w:rPr>
      </w:pPr>
      <w:r w:rsidRPr="006A63BF">
        <w:rPr>
          <w:rFonts w:eastAsia="Times New Roman" w:cstheme="minorHAnsi"/>
          <w:color w:val="000000"/>
          <w:sz w:val="24"/>
          <w:szCs w:val="24"/>
        </w:rPr>
        <w:t>2. Section 2.1 contains detailed functional requirements for the proposed LMS. However, Section 1.7 appears to require submission only of the administrative documents and Official Bid Price Sheet, while also advising bidders not to include additional documents such as cover letters or promotional material. To ensure a responsive submission, should bidders limit their response strictly to the documents identified in Section 1.7, or may bidders include a concise technical compliance statement demonstrating how the proposed LMS satisfies the requirements of Section 2.1?</w:t>
      </w:r>
      <w:r w:rsidRPr="00C204AC">
        <w:rPr>
          <w:rFonts w:eastAsia="Times New Roman" w:cstheme="minorHAnsi"/>
          <w:color w:val="242424"/>
          <w:sz w:val="24"/>
          <w:szCs w:val="24"/>
        </w:rPr>
        <w:t xml:space="preserve"> </w:t>
      </w:r>
      <w:r w:rsidRPr="006834C0">
        <w:rPr>
          <w:rFonts w:eastAsia="Times New Roman" w:cstheme="minorHAnsi"/>
          <w:color w:val="FF0000"/>
          <w:sz w:val="24"/>
          <w:szCs w:val="24"/>
        </w:rPr>
        <w:t>Documentation should be limited solely to the items listed in Section 1.7. If additional information is required, we will contact you</w:t>
      </w:r>
      <w:r w:rsidRPr="006834C0">
        <w:rPr>
          <w:rFonts w:eastAsia="Times New Roman" w:cstheme="minorHAnsi"/>
          <w:color w:val="242424"/>
          <w:sz w:val="24"/>
          <w:szCs w:val="24"/>
        </w:rPr>
        <w:t>.</w:t>
      </w:r>
    </w:p>
    <w:p w14:paraId="4CD40EEF" w14:textId="77777777" w:rsidR="006A63BF" w:rsidRPr="006A63BF" w:rsidRDefault="006A63BF" w:rsidP="006A63BF">
      <w:pPr>
        <w:shd w:val="clear" w:color="auto" w:fill="FFFFFF"/>
        <w:spacing w:after="0" w:line="240" w:lineRule="auto"/>
        <w:textAlignment w:val="baseline"/>
        <w:rPr>
          <w:rFonts w:eastAsia="Times New Roman" w:cstheme="minorHAnsi"/>
          <w:color w:val="000000"/>
          <w:sz w:val="24"/>
          <w:szCs w:val="24"/>
        </w:rPr>
      </w:pPr>
    </w:p>
    <w:p w14:paraId="7E4DBFC3" w14:textId="762C6425" w:rsidR="006A63BF" w:rsidRPr="006A63BF" w:rsidRDefault="006A63BF" w:rsidP="006A63BF">
      <w:pPr>
        <w:shd w:val="clear" w:color="auto" w:fill="FFFFFF"/>
        <w:spacing w:after="0" w:line="240" w:lineRule="auto"/>
        <w:textAlignment w:val="baseline"/>
        <w:rPr>
          <w:rFonts w:eastAsia="Times New Roman" w:cstheme="minorHAnsi"/>
          <w:color w:val="000000"/>
          <w:sz w:val="24"/>
          <w:szCs w:val="24"/>
        </w:rPr>
      </w:pPr>
      <w:r w:rsidRPr="006A63BF">
        <w:rPr>
          <w:rFonts w:eastAsia="Times New Roman" w:cstheme="minorHAnsi"/>
          <w:color w:val="000000"/>
          <w:sz w:val="24"/>
          <w:szCs w:val="24"/>
        </w:rPr>
        <w:t>3. Section 2.1 references onboarding services and data migration. Does SAU Tech currently utilize an LMS or other training platform? If so, should bidders include migration of users, courses, historical completion records, certificates, or other existing training data within the proposed pricing?</w:t>
      </w:r>
      <w:r w:rsidRPr="00C204AC">
        <w:rPr>
          <w:rFonts w:eastAsia="Times New Roman" w:cstheme="minorHAnsi"/>
          <w:color w:val="242424"/>
          <w:sz w:val="24"/>
          <w:szCs w:val="24"/>
        </w:rPr>
        <w:t xml:space="preserve"> </w:t>
      </w:r>
      <w:r w:rsidRPr="006834C0">
        <w:rPr>
          <w:rFonts w:eastAsia="Times New Roman" w:cstheme="minorHAnsi"/>
          <w:color w:val="FF0000"/>
          <w:sz w:val="24"/>
          <w:szCs w:val="24"/>
        </w:rPr>
        <w:t>Currently, we do not operate a Learning Management System (LMS) or training platform that would necessitate migration</w:t>
      </w:r>
      <w:r w:rsidRPr="006834C0">
        <w:rPr>
          <w:rFonts w:eastAsia="Times New Roman" w:cstheme="minorHAnsi"/>
          <w:color w:val="242424"/>
          <w:sz w:val="24"/>
          <w:szCs w:val="24"/>
        </w:rPr>
        <w:t>.</w:t>
      </w:r>
    </w:p>
    <w:p w14:paraId="6CB53308" w14:textId="77777777" w:rsidR="006A63BF" w:rsidRPr="00C204AC" w:rsidRDefault="006A63BF" w:rsidP="006834C0">
      <w:pPr>
        <w:shd w:val="clear" w:color="auto" w:fill="FFFFFF"/>
        <w:spacing w:after="0" w:line="240" w:lineRule="auto"/>
        <w:textAlignment w:val="baseline"/>
        <w:rPr>
          <w:rFonts w:eastAsia="Times New Roman" w:cstheme="minorHAnsi"/>
          <w:color w:val="242424"/>
          <w:sz w:val="24"/>
          <w:szCs w:val="24"/>
        </w:rPr>
      </w:pPr>
    </w:p>
    <w:p w14:paraId="1A0D4DD3" w14:textId="77777777" w:rsidR="00787B3A" w:rsidRPr="00787B3A" w:rsidRDefault="00787B3A" w:rsidP="00787B3A">
      <w:pPr>
        <w:shd w:val="clear" w:color="auto" w:fill="FFFFFF"/>
        <w:spacing w:after="0" w:line="240" w:lineRule="auto"/>
        <w:textAlignment w:val="baseline"/>
        <w:rPr>
          <w:rFonts w:eastAsia="Times New Roman" w:cstheme="minorHAnsi"/>
          <w:color w:val="242424"/>
          <w:sz w:val="24"/>
          <w:szCs w:val="24"/>
        </w:rPr>
      </w:pPr>
    </w:p>
    <w:p w14:paraId="0B6F6582" w14:textId="732D2897" w:rsidR="00787B3A" w:rsidRPr="00787B3A" w:rsidRDefault="00C204AC" w:rsidP="00787B3A">
      <w:pPr>
        <w:shd w:val="clear" w:color="auto" w:fill="FFFFFF"/>
        <w:spacing w:after="0" w:line="240" w:lineRule="auto"/>
        <w:textAlignment w:val="baseline"/>
        <w:rPr>
          <w:rFonts w:eastAsia="Times New Roman" w:cstheme="minorHAnsi"/>
          <w:color w:val="242424"/>
          <w:sz w:val="24"/>
          <w:szCs w:val="24"/>
        </w:rPr>
      </w:pPr>
      <w:r w:rsidRPr="00C204AC">
        <w:rPr>
          <w:rFonts w:eastAsia="Times New Roman" w:cstheme="minorHAnsi"/>
          <w:color w:val="242424"/>
          <w:sz w:val="24"/>
          <w:szCs w:val="24"/>
        </w:rPr>
        <w:t>4</w:t>
      </w:r>
      <w:r w:rsidR="00787B3A" w:rsidRPr="00787B3A">
        <w:rPr>
          <w:rFonts w:eastAsia="Times New Roman" w:cstheme="minorHAnsi"/>
          <w:color w:val="242424"/>
          <w:sz w:val="24"/>
          <w:szCs w:val="24"/>
        </w:rPr>
        <w:t>. Section 2.1, License Model: Should pricing assume 100 dedicated (named) user licenses or 100 concurrent user licenses? </w:t>
      </w:r>
      <w:r w:rsidR="00787B3A" w:rsidRPr="00787B3A">
        <w:rPr>
          <w:rFonts w:eastAsia="Times New Roman" w:cstheme="minorHAnsi"/>
          <w:color w:val="C82613"/>
          <w:sz w:val="24"/>
          <w:szCs w:val="24"/>
          <w:bdr w:val="none" w:sz="0" w:space="0" w:color="auto" w:frame="1"/>
        </w:rPr>
        <w:t>They are dedicated (named) user licenses.</w:t>
      </w:r>
      <w:r w:rsidR="00787B3A" w:rsidRPr="00787B3A">
        <w:rPr>
          <w:rFonts w:eastAsia="Times New Roman" w:cstheme="minorHAnsi"/>
          <w:color w:val="242424"/>
          <w:sz w:val="24"/>
          <w:szCs w:val="24"/>
        </w:rPr>
        <w:t> Do instructor, manager, and administrator accounts count against the 100 licenses?</w:t>
      </w:r>
      <w:r w:rsidR="00787B3A" w:rsidRPr="00787B3A">
        <w:rPr>
          <w:rFonts w:eastAsia="Times New Roman" w:cstheme="minorHAnsi"/>
          <w:color w:val="242424"/>
          <w:sz w:val="24"/>
          <w:szCs w:val="24"/>
          <w:bdr w:val="none" w:sz="0" w:space="0" w:color="auto" w:frame="1"/>
        </w:rPr>
        <w:t> </w:t>
      </w:r>
      <w:r w:rsidR="00787B3A" w:rsidRPr="00787B3A">
        <w:rPr>
          <w:rFonts w:eastAsia="Times New Roman" w:cstheme="minorHAnsi"/>
          <w:color w:val="C82613"/>
          <w:sz w:val="24"/>
          <w:szCs w:val="24"/>
          <w:bdr w:val="none" w:sz="0" w:space="0" w:color="auto" w:frame="1"/>
        </w:rPr>
        <w:t>Yes</w:t>
      </w:r>
      <w:r w:rsidR="00787B3A" w:rsidRPr="00787B3A">
        <w:rPr>
          <w:rFonts w:eastAsia="Times New Roman" w:cstheme="minorHAnsi"/>
          <w:color w:val="242424"/>
          <w:sz w:val="24"/>
          <w:szCs w:val="24"/>
        </w:rPr>
        <w:br/>
        <w:t>2. Section 2.1, Compliance &amp; Certification: Is the Contractor required to supply the compliance course content itself (FDA, SQF, ISO 9001, AS9100), or to provide the platform capability to host, deliver, and track compliance content supplied by SAU Tech or third-party publishers?  </w:t>
      </w:r>
      <w:r w:rsidR="00787B3A" w:rsidRPr="00787B3A">
        <w:rPr>
          <w:rFonts w:eastAsia="Times New Roman" w:cstheme="minorHAnsi"/>
          <w:color w:val="C82613"/>
          <w:sz w:val="24"/>
          <w:szCs w:val="24"/>
          <w:bdr w:val="none" w:sz="0" w:space="0" w:color="auto" w:frame="1"/>
        </w:rPr>
        <w:t>We would like for the compliance course content to be supplied, but if not able to supply it, the platform should support custom content uploading and mapping if needed to integrate specific ISO/AS modules.</w:t>
      </w:r>
      <w:r w:rsidR="00787B3A" w:rsidRPr="00787B3A">
        <w:rPr>
          <w:rFonts w:eastAsia="Times New Roman" w:cstheme="minorHAnsi"/>
          <w:color w:val="242424"/>
          <w:sz w:val="24"/>
          <w:szCs w:val="24"/>
        </w:rPr>
        <w:br/>
      </w:r>
      <w:r w:rsidRPr="00C204AC">
        <w:rPr>
          <w:rFonts w:eastAsia="Times New Roman" w:cstheme="minorHAnsi"/>
          <w:color w:val="242424"/>
          <w:sz w:val="24"/>
          <w:szCs w:val="24"/>
        </w:rPr>
        <w:t>5</w:t>
      </w:r>
      <w:r w:rsidR="00787B3A" w:rsidRPr="00787B3A">
        <w:rPr>
          <w:rFonts w:eastAsia="Times New Roman" w:cstheme="minorHAnsi"/>
          <w:color w:val="242424"/>
          <w:sz w:val="24"/>
          <w:szCs w:val="24"/>
        </w:rPr>
        <w:t>. Official Bid Price Sheet: Should one-time costs such as implementation, onboarding, and data migration be included in the Year 1 subscription price, given the price sheet contains only annual subscription lines?</w:t>
      </w:r>
      <w:r w:rsidR="00787B3A" w:rsidRPr="00787B3A">
        <w:rPr>
          <w:rFonts w:eastAsia="Times New Roman" w:cstheme="minorHAnsi"/>
          <w:color w:val="242424"/>
          <w:sz w:val="24"/>
          <w:szCs w:val="24"/>
          <w:bdr w:val="none" w:sz="0" w:space="0" w:color="auto" w:frame="1"/>
        </w:rPr>
        <w:t> </w:t>
      </w:r>
      <w:r w:rsidR="00787B3A" w:rsidRPr="00787B3A">
        <w:rPr>
          <w:rFonts w:eastAsia="Times New Roman" w:cstheme="minorHAnsi"/>
          <w:color w:val="C82613"/>
          <w:sz w:val="24"/>
          <w:szCs w:val="24"/>
          <w:bdr w:val="none" w:sz="0" w:space="0" w:color="auto" w:frame="1"/>
        </w:rPr>
        <w:t>Yes, it should include all cost associated with implementation for year one.  Migration is not needed.</w:t>
      </w:r>
      <w:r w:rsidR="00787B3A" w:rsidRPr="00787B3A">
        <w:rPr>
          <w:rFonts w:eastAsia="Times New Roman" w:cstheme="minorHAnsi"/>
          <w:color w:val="242424"/>
          <w:sz w:val="24"/>
          <w:szCs w:val="24"/>
        </w:rPr>
        <w:br/>
      </w:r>
      <w:r w:rsidRPr="00C204AC">
        <w:rPr>
          <w:rFonts w:eastAsia="Times New Roman" w:cstheme="minorHAnsi"/>
          <w:color w:val="242424"/>
          <w:sz w:val="24"/>
          <w:szCs w:val="24"/>
        </w:rPr>
        <w:t>6</w:t>
      </w:r>
      <w:r w:rsidR="00787B3A" w:rsidRPr="00787B3A">
        <w:rPr>
          <w:rFonts w:eastAsia="Times New Roman" w:cstheme="minorHAnsi"/>
          <w:color w:val="242424"/>
          <w:sz w:val="24"/>
          <w:szCs w:val="24"/>
        </w:rPr>
        <w:t>. Section 1.3: For the five optional renewal years, will renewal pricing be based on the Year 2 price, subject to adjustment at renewal as described in Section 1.7.B.2.c.iv?</w:t>
      </w:r>
      <w:r w:rsidR="00787B3A" w:rsidRPr="00787B3A">
        <w:rPr>
          <w:rFonts w:eastAsia="Times New Roman" w:cstheme="minorHAnsi"/>
          <w:color w:val="242424"/>
          <w:sz w:val="24"/>
          <w:szCs w:val="24"/>
          <w:bdr w:val="none" w:sz="0" w:space="0" w:color="auto" w:frame="1"/>
        </w:rPr>
        <w:t> </w:t>
      </w:r>
      <w:r w:rsidR="00787B3A" w:rsidRPr="00787B3A">
        <w:rPr>
          <w:rFonts w:eastAsia="Times New Roman" w:cstheme="minorHAnsi"/>
          <w:color w:val="C82613"/>
          <w:sz w:val="24"/>
          <w:szCs w:val="24"/>
          <w:bdr w:val="none" w:sz="0" w:space="0" w:color="auto" w:frame="1"/>
        </w:rPr>
        <w:t>We will negotiate the terms at the time of renewal (after 2 years).</w:t>
      </w:r>
      <w:r w:rsidR="00787B3A" w:rsidRPr="00787B3A">
        <w:rPr>
          <w:rFonts w:eastAsia="Times New Roman" w:cstheme="minorHAnsi"/>
          <w:color w:val="242424"/>
          <w:sz w:val="24"/>
          <w:szCs w:val="24"/>
        </w:rPr>
        <w:br/>
      </w:r>
      <w:r w:rsidRPr="00C204AC">
        <w:rPr>
          <w:rFonts w:eastAsia="Times New Roman" w:cstheme="minorHAnsi"/>
          <w:color w:val="242424"/>
          <w:sz w:val="24"/>
          <w:szCs w:val="24"/>
        </w:rPr>
        <w:t>7</w:t>
      </w:r>
      <w:r w:rsidR="00787B3A" w:rsidRPr="00787B3A">
        <w:rPr>
          <w:rFonts w:eastAsia="Times New Roman" w:cstheme="minorHAnsi"/>
          <w:color w:val="242424"/>
          <w:sz w:val="24"/>
          <w:szCs w:val="24"/>
        </w:rPr>
        <w:t xml:space="preserve">. Section 2.1, Proctoring Options: Is built-in support for identity verification and timed assessments sufficient, or does SAU Tech require a live or AI-based remote proctoring </w:t>
      </w:r>
      <w:r w:rsidR="00787B3A" w:rsidRPr="00787B3A">
        <w:rPr>
          <w:rFonts w:eastAsia="Times New Roman" w:cstheme="minorHAnsi"/>
          <w:color w:val="242424"/>
          <w:sz w:val="24"/>
          <w:szCs w:val="24"/>
        </w:rPr>
        <w:lastRenderedPageBreak/>
        <w:t>service?</w:t>
      </w:r>
      <w:r w:rsidR="00787B3A" w:rsidRPr="00787B3A">
        <w:rPr>
          <w:rFonts w:eastAsia="Times New Roman" w:cstheme="minorHAnsi"/>
          <w:color w:val="242424"/>
          <w:sz w:val="24"/>
          <w:szCs w:val="24"/>
          <w:bdr w:val="none" w:sz="0" w:space="0" w:color="auto" w:frame="1"/>
        </w:rPr>
        <w:t> </w:t>
      </w:r>
      <w:r w:rsidR="00787B3A" w:rsidRPr="00787B3A">
        <w:rPr>
          <w:rFonts w:eastAsia="Times New Roman" w:cstheme="minorHAnsi"/>
          <w:color w:val="C82613"/>
          <w:sz w:val="24"/>
          <w:szCs w:val="24"/>
          <w:bdr w:val="none" w:sz="0" w:space="0" w:color="auto" w:frame="1"/>
        </w:rPr>
        <w:t>Built-in support is mandatory.</w:t>
      </w:r>
      <w:r w:rsidR="00787B3A" w:rsidRPr="00787B3A">
        <w:rPr>
          <w:rFonts w:eastAsia="Times New Roman" w:cstheme="minorHAnsi"/>
          <w:color w:val="242424"/>
          <w:sz w:val="24"/>
          <w:szCs w:val="24"/>
        </w:rPr>
        <w:br/>
        <w:t>6. Section 2.1, Onboarding Services: Is there an existing LMS or learner-record data set to be migrated? If so, approximately how many records and in what format?</w:t>
      </w:r>
      <w:r w:rsidR="00787B3A" w:rsidRPr="00787B3A">
        <w:rPr>
          <w:rFonts w:eastAsia="Times New Roman" w:cstheme="minorHAnsi"/>
          <w:color w:val="242424"/>
          <w:sz w:val="24"/>
          <w:szCs w:val="24"/>
          <w:bdr w:val="none" w:sz="0" w:space="0" w:color="auto" w:frame="1"/>
        </w:rPr>
        <w:t> </w:t>
      </w:r>
      <w:r w:rsidR="00787B3A" w:rsidRPr="00787B3A">
        <w:rPr>
          <w:rFonts w:eastAsia="Times New Roman" w:cstheme="minorHAnsi"/>
          <w:color w:val="C82613"/>
          <w:sz w:val="24"/>
          <w:szCs w:val="24"/>
          <w:bdr w:val="none" w:sz="0" w:space="0" w:color="auto" w:frame="1"/>
        </w:rPr>
        <w:t>No, there is not.</w:t>
      </w:r>
    </w:p>
    <w:p w14:paraId="4B95D523" w14:textId="77777777" w:rsidR="00787B3A" w:rsidRPr="00787B3A" w:rsidRDefault="00787B3A" w:rsidP="00787B3A">
      <w:pPr>
        <w:shd w:val="clear" w:color="auto" w:fill="FFFFFF"/>
        <w:spacing w:after="0" w:line="240" w:lineRule="auto"/>
        <w:textAlignment w:val="baseline"/>
        <w:rPr>
          <w:rFonts w:ascii="Calibri" w:eastAsia="Times New Roman" w:hAnsi="Calibri" w:cs="Calibri"/>
          <w:color w:val="242424"/>
          <w:sz w:val="24"/>
          <w:szCs w:val="24"/>
        </w:rPr>
      </w:pPr>
    </w:p>
    <w:p w14:paraId="2D0400E3" w14:textId="77777777" w:rsidR="00787B3A" w:rsidRDefault="00787B3A"/>
    <w:sectPr w:rsidR="00787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3A"/>
    <w:rsid w:val="006834C0"/>
    <w:rsid w:val="006A63BF"/>
    <w:rsid w:val="00787B3A"/>
    <w:rsid w:val="00C204AC"/>
    <w:rsid w:val="00DD3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0B7A"/>
  <w15:chartTrackingRefBased/>
  <w15:docId w15:val="{0D85EE8B-BEF3-459E-A92B-85987AB0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31656">
      <w:bodyDiv w:val="1"/>
      <w:marLeft w:val="0"/>
      <w:marRight w:val="0"/>
      <w:marTop w:val="0"/>
      <w:marBottom w:val="0"/>
      <w:divBdr>
        <w:top w:val="none" w:sz="0" w:space="0" w:color="auto"/>
        <w:left w:val="none" w:sz="0" w:space="0" w:color="auto"/>
        <w:bottom w:val="none" w:sz="0" w:space="0" w:color="auto"/>
        <w:right w:val="none" w:sz="0" w:space="0" w:color="auto"/>
      </w:divBdr>
      <w:divsChild>
        <w:div w:id="716511683">
          <w:marLeft w:val="0"/>
          <w:marRight w:val="0"/>
          <w:marTop w:val="0"/>
          <w:marBottom w:val="0"/>
          <w:divBdr>
            <w:top w:val="none" w:sz="0" w:space="0" w:color="auto"/>
            <w:left w:val="none" w:sz="0" w:space="0" w:color="auto"/>
            <w:bottom w:val="none" w:sz="0" w:space="0" w:color="auto"/>
            <w:right w:val="none" w:sz="0" w:space="0" w:color="auto"/>
          </w:divBdr>
        </w:div>
        <w:div w:id="1326860508">
          <w:marLeft w:val="0"/>
          <w:marRight w:val="0"/>
          <w:marTop w:val="0"/>
          <w:marBottom w:val="0"/>
          <w:divBdr>
            <w:top w:val="none" w:sz="0" w:space="0" w:color="auto"/>
            <w:left w:val="none" w:sz="0" w:space="0" w:color="auto"/>
            <w:bottom w:val="none" w:sz="0" w:space="0" w:color="auto"/>
            <w:right w:val="none" w:sz="0" w:space="0" w:color="auto"/>
          </w:divBdr>
        </w:div>
        <w:div w:id="1186674302">
          <w:marLeft w:val="0"/>
          <w:marRight w:val="0"/>
          <w:marTop w:val="0"/>
          <w:marBottom w:val="0"/>
          <w:divBdr>
            <w:top w:val="none" w:sz="0" w:space="0" w:color="auto"/>
            <w:left w:val="none" w:sz="0" w:space="0" w:color="auto"/>
            <w:bottom w:val="none" w:sz="0" w:space="0" w:color="auto"/>
            <w:right w:val="none" w:sz="0" w:space="0" w:color="auto"/>
          </w:divBdr>
        </w:div>
        <w:div w:id="588074845">
          <w:marLeft w:val="0"/>
          <w:marRight w:val="0"/>
          <w:marTop w:val="0"/>
          <w:marBottom w:val="0"/>
          <w:divBdr>
            <w:top w:val="none" w:sz="0" w:space="0" w:color="auto"/>
            <w:left w:val="none" w:sz="0" w:space="0" w:color="auto"/>
            <w:bottom w:val="none" w:sz="0" w:space="0" w:color="auto"/>
            <w:right w:val="none" w:sz="0" w:space="0" w:color="auto"/>
          </w:divBdr>
        </w:div>
        <w:div w:id="1401171709">
          <w:marLeft w:val="0"/>
          <w:marRight w:val="0"/>
          <w:marTop w:val="0"/>
          <w:marBottom w:val="0"/>
          <w:divBdr>
            <w:top w:val="none" w:sz="0" w:space="0" w:color="auto"/>
            <w:left w:val="none" w:sz="0" w:space="0" w:color="auto"/>
            <w:bottom w:val="none" w:sz="0" w:space="0" w:color="auto"/>
            <w:right w:val="none" w:sz="0" w:space="0" w:color="auto"/>
          </w:divBdr>
        </w:div>
      </w:divsChild>
    </w:div>
    <w:div w:id="910164253">
      <w:bodyDiv w:val="1"/>
      <w:marLeft w:val="0"/>
      <w:marRight w:val="0"/>
      <w:marTop w:val="0"/>
      <w:marBottom w:val="0"/>
      <w:divBdr>
        <w:top w:val="none" w:sz="0" w:space="0" w:color="auto"/>
        <w:left w:val="none" w:sz="0" w:space="0" w:color="auto"/>
        <w:bottom w:val="none" w:sz="0" w:space="0" w:color="auto"/>
        <w:right w:val="none" w:sz="0" w:space="0" w:color="auto"/>
      </w:divBdr>
      <w:divsChild>
        <w:div w:id="1475179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4335178">
              <w:marLeft w:val="0"/>
              <w:marRight w:val="0"/>
              <w:marTop w:val="0"/>
              <w:marBottom w:val="0"/>
              <w:divBdr>
                <w:top w:val="none" w:sz="0" w:space="0" w:color="auto"/>
                <w:left w:val="none" w:sz="0" w:space="0" w:color="auto"/>
                <w:bottom w:val="none" w:sz="0" w:space="0" w:color="auto"/>
                <w:right w:val="none" w:sz="0" w:space="0" w:color="auto"/>
              </w:divBdr>
            </w:div>
            <w:div w:id="1820926694">
              <w:marLeft w:val="0"/>
              <w:marRight w:val="0"/>
              <w:marTop w:val="0"/>
              <w:marBottom w:val="0"/>
              <w:divBdr>
                <w:top w:val="none" w:sz="0" w:space="0" w:color="auto"/>
                <w:left w:val="none" w:sz="0" w:space="0" w:color="auto"/>
                <w:bottom w:val="none" w:sz="0" w:space="0" w:color="auto"/>
                <w:right w:val="none" w:sz="0" w:space="0" w:color="auto"/>
              </w:divBdr>
              <w:divsChild>
                <w:div w:id="848180619">
                  <w:marLeft w:val="0"/>
                  <w:marRight w:val="0"/>
                  <w:marTop w:val="0"/>
                  <w:marBottom w:val="0"/>
                  <w:divBdr>
                    <w:top w:val="none" w:sz="0" w:space="0" w:color="auto"/>
                    <w:left w:val="none" w:sz="0" w:space="0" w:color="auto"/>
                    <w:bottom w:val="none" w:sz="0" w:space="0" w:color="auto"/>
                    <w:right w:val="none" w:sz="0" w:space="0" w:color="auto"/>
                  </w:divBdr>
                </w:div>
                <w:div w:id="822282726">
                  <w:marLeft w:val="0"/>
                  <w:marRight w:val="0"/>
                  <w:marTop w:val="0"/>
                  <w:marBottom w:val="0"/>
                  <w:divBdr>
                    <w:top w:val="none" w:sz="0" w:space="0" w:color="auto"/>
                    <w:left w:val="none" w:sz="0" w:space="0" w:color="auto"/>
                    <w:bottom w:val="none" w:sz="0" w:space="0" w:color="auto"/>
                    <w:right w:val="none" w:sz="0" w:space="0" w:color="auto"/>
                  </w:divBdr>
                </w:div>
                <w:div w:id="1463770914">
                  <w:marLeft w:val="0"/>
                  <w:marRight w:val="0"/>
                  <w:marTop w:val="0"/>
                  <w:marBottom w:val="0"/>
                  <w:divBdr>
                    <w:top w:val="none" w:sz="0" w:space="0" w:color="auto"/>
                    <w:left w:val="none" w:sz="0" w:space="0" w:color="auto"/>
                    <w:bottom w:val="none" w:sz="0" w:space="0" w:color="auto"/>
                    <w:right w:val="none" w:sz="0" w:space="0" w:color="auto"/>
                  </w:divBdr>
                </w:div>
                <w:div w:id="1235166928">
                  <w:marLeft w:val="0"/>
                  <w:marRight w:val="0"/>
                  <w:marTop w:val="0"/>
                  <w:marBottom w:val="0"/>
                  <w:divBdr>
                    <w:top w:val="none" w:sz="0" w:space="0" w:color="auto"/>
                    <w:left w:val="none" w:sz="0" w:space="0" w:color="auto"/>
                    <w:bottom w:val="none" w:sz="0" w:space="0" w:color="auto"/>
                    <w:right w:val="none" w:sz="0" w:space="0" w:color="auto"/>
                  </w:divBdr>
                </w:div>
                <w:div w:id="214782176">
                  <w:marLeft w:val="0"/>
                  <w:marRight w:val="0"/>
                  <w:marTop w:val="0"/>
                  <w:marBottom w:val="0"/>
                  <w:divBdr>
                    <w:top w:val="none" w:sz="0" w:space="0" w:color="auto"/>
                    <w:left w:val="none" w:sz="0" w:space="0" w:color="auto"/>
                    <w:bottom w:val="none" w:sz="0" w:space="0" w:color="auto"/>
                    <w:right w:val="none" w:sz="0" w:space="0" w:color="auto"/>
                  </w:divBdr>
                </w:div>
                <w:div w:id="1160462597">
                  <w:marLeft w:val="0"/>
                  <w:marRight w:val="0"/>
                  <w:marTop w:val="0"/>
                  <w:marBottom w:val="0"/>
                  <w:divBdr>
                    <w:top w:val="none" w:sz="0" w:space="0" w:color="auto"/>
                    <w:left w:val="none" w:sz="0" w:space="0" w:color="auto"/>
                    <w:bottom w:val="none" w:sz="0" w:space="0" w:color="auto"/>
                    <w:right w:val="none" w:sz="0" w:space="0" w:color="auto"/>
                  </w:divBdr>
                </w:div>
                <w:div w:id="550920625">
                  <w:marLeft w:val="0"/>
                  <w:marRight w:val="0"/>
                  <w:marTop w:val="0"/>
                  <w:marBottom w:val="0"/>
                  <w:divBdr>
                    <w:top w:val="none" w:sz="0" w:space="0" w:color="auto"/>
                    <w:left w:val="none" w:sz="0" w:space="0" w:color="auto"/>
                    <w:bottom w:val="none" w:sz="0" w:space="0" w:color="auto"/>
                    <w:right w:val="none" w:sz="0" w:space="0" w:color="auto"/>
                  </w:divBdr>
                  <w:divsChild>
                    <w:div w:id="20881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705421">
      <w:bodyDiv w:val="1"/>
      <w:marLeft w:val="0"/>
      <w:marRight w:val="0"/>
      <w:marTop w:val="0"/>
      <w:marBottom w:val="0"/>
      <w:divBdr>
        <w:top w:val="none" w:sz="0" w:space="0" w:color="auto"/>
        <w:left w:val="none" w:sz="0" w:space="0" w:color="auto"/>
        <w:bottom w:val="none" w:sz="0" w:space="0" w:color="auto"/>
        <w:right w:val="none" w:sz="0" w:space="0" w:color="auto"/>
      </w:divBdr>
      <w:divsChild>
        <w:div w:id="1034771118">
          <w:marLeft w:val="0"/>
          <w:marRight w:val="0"/>
          <w:marTop w:val="0"/>
          <w:marBottom w:val="0"/>
          <w:divBdr>
            <w:top w:val="none" w:sz="0" w:space="0" w:color="auto"/>
            <w:left w:val="none" w:sz="0" w:space="0" w:color="auto"/>
            <w:bottom w:val="none" w:sz="0" w:space="0" w:color="auto"/>
            <w:right w:val="none" w:sz="0" w:space="0" w:color="auto"/>
          </w:divBdr>
        </w:div>
        <w:div w:id="1690527676">
          <w:marLeft w:val="0"/>
          <w:marRight w:val="0"/>
          <w:marTop w:val="0"/>
          <w:marBottom w:val="0"/>
          <w:divBdr>
            <w:top w:val="none" w:sz="0" w:space="0" w:color="auto"/>
            <w:left w:val="none" w:sz="0" w:space="0" w:color="auto"/>
            <w:bottom w:val="none" w:sz="0" w:space="0" w:color="auto"/>
            <w:right w:val="none" w:sz="0" w:space="0" w:color="auto"/>
          </w:divBdr>
        </w:div>
        <w:div w:id="1178545103">
          <w:marLeft w:val="0"/>
          <w:marRight w:val="0"/>
          <w:marTop w:val="0"/>
          <w:marBottom w:val="0"/>
          <w:divBdr>
            <w:top w:val="none" w:sz="0" w:space="0" w:color="auto"/>
            <w:left w:val="none" w:sz="0" w:space="0" w:color="auto"/>
            <w:bottom w:val="none" w:sz="0" w:space="0" w:color="auto"/>
            <w:right w:val="none" w:sz="0" w:space="0" w:color="auto"/>
          </w:divBdr>
        </w:div>
        <w:div w:id="1076587251">
          <w:marLeft w:val="0"/>
          <w:marRight w:val="0"/>
          <w:marTop w:val="0"/>
          <w:marBottom w:val="0"/>
          <w:divBdr>
            <w:top w:val="none" w:sz="0" w:space="0" w:color="auto"/>
            <w:left w:val="none" w:sz="0" w:space="0" w:color="auto"/>
            <w:bottom w:val="none" w:sz="0" w:space="0" w:color="auto"/>
            <w:right w:val="none" w:sz="0" w:space="0" w:color="auto"/>
          </w:divBdr>
        </w:div>
        <w:div w:id="294605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Keisha Robinson</dc:creator>
  <cp:keywords/>
  <dc:description/>
  <cp:lastModifiedBy>Keisha Robinson</cp:lastModifiedBy>
  <cp:revision>4</cp:revision>
  <dcterms:created xsi:type="dcterms:W3CDTF">2026-08-11T00:06:00Z</dcterms:created>
  <dcterms:modified xsi:type="dcterms:W3CDTF">2026-08-11T00:11:00Z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d4c80cd3-3e06-47cc-8ceb-3e8c49aa8ca8</vt:lpwstr>
  </property>
</Properties>
</file>