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ADAA" w14:textId="77777777" w:rsidR="008A69C3" w:rsidRDefault="008A69C3" w:rsidP="008A69C3">
      <w:pPr>
        <w:pStyle w:val="Heading2"/>
      </w:pPr>
      <w:r w:rsidRPr="008A69C3">
        <w:t>GP Off-Boarding</w:t>
      </w:r>
    </w:p>
    <w:p w14:paraId="3E00A157" w14:textId="77777777" w:rsidR="002C591A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8EB0A" w14:textId="27B8790E" w:rsidR="008A69C3" w:rsidRPr="008A69C3" w:rsidRDefault="008A69C3" w:rsidP="008A69C3">
      <w:pPr>
        <w:pStyle w:val="Heading2"/>
      </w:pPr>
      <w:r w:rsidRPr="008A69C3">
        <w:t>Purpose</w:t>
      </w:r>
    </w:p>
    <w:p w14:paraId="4244D719" w14:textId="796D34A5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To ensure that when a GP leaves the practice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69C3">
        <w:rPr>
          <w:rFonts w:ascii="Times New Roman" w:hAnsi="Times New Roman" w:cs="Times New Roman"/>
          <w:sz w:val="24"/>
          <w:szCs w:val="24"/>
        </w:rPr>
        <w:t>whether permanently or temporarily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69C3">
        <w:rPr>
          <w:rFonts w:ascii="Times New Roman" w:hAnsi="Times New Roman" w:cs="Times New Roman"/>
          <w:sz w:val="24"/>
          <w:szCs w:val="24"/>
        </w:rPr>
        <w:t xml:space="preserve">all clinical, administrative, and data responsibilities are completed safely and in compliance with professional and legal </w:t>
      </w:r>
      <w:r w:rsidRPr="008A69C3">
        <w:rPr>
          <w:rFonts w:ascii="Times New Roman" w:hAnsi="Times New Roman" w:cs="Times New Roman"/>
          <w:sz w:val="24"/>
          <w:szCs w:val="24"/>
        </w:rPr>
        <w:t>standards. The</w:t>
      </w:r>
      <w:r w:rsidRPr="008A69C3">
        <w:rPr>
          <w:rFonts w:ascii="Times New Roman" w:hAnsi="Times New Roman" w:cs="Times New Roman"/>
          <w:sz w:val="24"/>
          <w:szCs w:val="24"/>
        </w:rPr>
        <w:t xml:space="preserve"> goal is to protect patient continuity of care, maintain data integrity, and ensure compliance with GDPR and Medical Council guidelines.</w:t>
      </w:r>
    </w:p>
    <w:p w14:paraId="1C2A4F41" w14:textId="77777777" w:rsidR="008A69C3" w:rsidRDefault="008A69C3" w:rsidP="008A69C3">
      <w:pPr>
        <w:pStyle w:val="Heading2"/>
      </w:pPr>
      <w:r w:rsidRPr="008A69C3">
        <w:t>Scope:</w:t>
      </w:r>
    </w:p>
    <w:p w14:paraId="1E2F2417" w14:textId="77777777" w:rsid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This SOP applies to all GPs leaving the practice (partners, assistants, sessional, or locum doctors).</w:t>
      </w:r>
    </w:p>
    <w:p w14:paraId="50D2E23A" w14:textId="77777777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85808" w14:textId="453DA31C" w:rsidR="008A69C3" w:rsidRPr="008A69C3" w:rsidRDefault="008A69C3" w:rsidP="008A69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</w:p>
    <w:p w14:paraId="36A5DDEF" w14:textId="77777777" w:rsidR="008A69C3" w:rsidRPr="008A69C3" w:rsidRDefault="008A69C3" w:rsidP="008A69C3">
      <w:pPr>
        <w:numPr>
          <w:ilvl w:val="0"/>
          <w:numId w:val="10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Practice Manager:</w:t>
      </w:r>
      <w:r w:rsidRPr="008A69C3">
        <w:rPr>
          <w:rFonts w:ascii="Times New Roman" w:hAnsi="Times New Roman" w:cs="Times New Roman"/>
          <w:sz w:val="24"/>
          <w:szCs w:val="24"/>
        </w:rPr>
        <w:t xml:space="preserve"> Coordinates and oversees the off-boarding process.</w:t>
      </w:r>
    </w:p>
    <w:p w14:paraId="143FE80D" w14:textId="77777777" w:rsidR="008A69C3" w:rsidRPr="008A69C3" w:rsidRDefault="008A69C3" w:rsidP="008A69C3">
      <w:pPr>
        <w:numPr>
          <w:ilvl w:val="0"/>
          <w:numId w:val="10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Lead GP / Clinical Director:</w:t>
      </w:r>
      <w:r w:rsidRPr="008A69C3">
        <w:rPr>
          <w:rFonts w:ascii="Times New Roman" w:hAnsi="Times New Roman" w:cs="Times New Roman"/>
          <w:sz w:val="24"/>
          <w:szCs w:val="24"/>
        </w:rPr>
        <w:t xml:space="preserve"> Ensures clinical handover and continuity of patient care.</w:t>
      </w:r>
    </w:p>
    <w:p w14:paraId="72B60679" w14:textId="77777777" w:rsidR="008A69C3" w:rsidRPr="008A69C3" w:rsidRDefault="008A69C3" w:rsidP="008A69C3">
      <w:pPr>
        <w:numPr>
          <w:ilvl w:val="0"/>
          <w:numId w:val="10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IT Administrator / System Manager:</w:t>
      </w:r>
      <w:r w:rsidRPr="008A69C3">
        <w:rPr>
          <w:rFonts w:ascii="Times New Roman" w:hAnsi="Times New Roman" w:cs="Times New Roman"/>
          <w:sz w:val="24"/>
          <w:szCs w:val="24"/>
        </w:rPr>
        <w:t xml:space="preserve"> Manages deactivation of accounts and access.</w:t>
      </w:r>
    </w:p>
    <w:p w14:paraId="4C23424C" w14:textId="77777777" w:rsidR="008A69C3" w:rsidRPr="008A69C3" w:rsidRDefault="008A69C3" w:rsidP="008A69C3">
      <w:pPr>
        <w:numPr>
          <w:ilvl w:val="0"/>
          <w:numId w:val="10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Departing GP:</w:t>
      </w:r>
      <w:r w:rsidRPr="008A69C3">
        <w:rPr>
          <w:rFonts w:ascii="Times New Roman" w:hAnsi="Times New Roman" w:cs="Times New Roman"/>
          <w:sz w:val="24"/>
          <w:szCs w:val="24"/>
        </w:rPr>
        <w:t xml:space="preserve"> Completes all clinical and administrative obligations before leaving.</w:t>
      </w:r>
    </w:p>
    <w:p w14:paraId="7FB33EA3" w14:textId="325076F5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550D2" w14:textId="630C89F2" w:rsidR="008A69C3" w:rsidRPr="008A69C3" w:rsidRDefault="008A69C3" w:rsidP="008A69C3">
      <w:pPr>
        <w:pStyle w:val="Heading2"/>
      </w:pPr>
      <w:r w:rsidRPr="008A69C3">
        <w:t>Procedure</w:t>
      </w:r>
    </w:p>
    <w:p w14:paraId="543C38FA" w14:textId="77777777" w:rsidR="008A69C3" w:rsidRPr="008A69C3" w:rsidRDefault="008A69C3" w:rsidP="008A69C3">
      <w:pPr>
        <w:pStyle w:val="Heading3"/>
      </w:pPr>
      <w:r w:rsidRPr="008A69C3">
        <w:t>Notice and Planning</w:t>
      </w:r>
    </w:p>
    <w:p w14:paraId="2562A763" w14:textId="50210BF5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Notice of Departure</w:t>
      </w:r>
    </w:p>
    <w:p w14:paraId="54BC4F44" w14:textId="77777777" w:rsidR="008A69C3" w:rsidRPr="008A69C3" w:rsidRDefault="008A69C3" w:rsidP="008A69C3">
      <w:pPr>
        <w:numPr>
          <w:ilvl w:val="0"/>
          <w:numId w:val="10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The GP should provide written notice as per their employment or partnership agreement.</w:t>
      </w:r>
    </w:p>
    <w:p w14:paraId="5739B66C" w14:textId="77777777" w:rsidR="008A69C3" w:rsidRPr="008A69C3" w:rsidRDefault="008A69C3" w:rsidP="008A69C3">
      <w:pPr>
        <w:numPr>
          <w:ilvl w:val="0"/>
          <w:numId w:val="10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The Practice Manager acknowledges receipt and schedules an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exit planning meeting</w:t>
      </w:r>
      <w:r w:rsidRPr="008A69C3">
        <w:rPr>
          <w:rFonts w:ascii="Times New Roman" w:hAnsi="Times New Roman" w:cs="Times New Roman"/>
          <w:sz w:val="24"/>
          <w:szCs w:val="24"/>
        </w:rPr>
        <w:t>.</w:t>
      </w:r>
    </w:p>
    <w:p w14:paraId="18A722CC" w14:textId="77777777" w:rsidR="008A69C3" w:rsidRDefault="008A69C3" w:rsidP="008A69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83B74" w14:textId="2F5CDD6B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Exit Planning Meeting</w:t>
      </w:r>
      <w:r w:rsidRPr="008A69C3">
        <w:rPr>
          <w:rFonts w:ascii="Times New Roman" w:hAnsi="Times New Roman" w:cs="Times New Roman"/>
          <w:sz w:val="24"/>
          <w:szCs w:val="24"/>
        </w:rPr>
        <w:br/>
        <w:t>Held with the Practice Manager and Lead GP to:</w:t>
      </w:r>
    </w:p>
    <w:p w14:paraId="28ADB266" w14:textId="77777777" w:rsidR="008A69C3" w:rsidRPr="008A69C3" w:rsidRDefault="008A69C3" w:rsidP="008A69C3">
      <w:pPr>
        <w:numPr>
          <w:ilvl w:val="0"/>
          <w:numId w:val="10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Confirm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last working day</w:t>
      </w:r>
      <w:r w:rsidRPr="008A69C3">
        <w:rPr>
          <w:rFonts w:ascii="Times New Roman" w:hAnsi="Times New Roman" w:cs="Times New Roman"/>
          <w:sz w:val="24"/>
          <w:szCs w:val="24"/>
        </w:rPr>
        <w:t xml:space="preserve"> and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handover period</w:t>
      </w:r>
      <w:r w:rsidRPr="008A69C3">
        <w:rPr>
          <w:rFonts w:ascii="Times New Roman" w:hAnsi="Times New Roman" w:cs="Times New Roman"/>
          <w:sz w:val="24"/>
          <w:szCs w:val="24"/>
        </w:rPr>
        <w:t>.</w:t>
      </w:r>
    </w:p>
    <w:p w14:paraId="2AA1C40E" w14:textId="77777777" w:rsidR="008A69C3" w:rsidRPr="008A69C3" w:rsidRDefault="008A69C3" w:rsidP="008A69C3">
      <w:pPr>
        <w:numPr>
          <w:ilvl w:val="0"/>
          <w:numId w:val="10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patients under ongoing care</w:t>
      </w:r>
      <w:r w:rsidRPr="008A69C3">
        <w:rPr>
          <w:rFonts w:ascii="Times New Roman" w:hAnsi="Times New Roman" w:cs="Times New Roman"/>
          <w:sz w:val="24"/>
          <w:szCs w:val="24"/>
        </w:rPr>
        <w:t xml:space="preserve"> (e.g., chronic illness reviews, results pending).</w:t>
      </w:r>
    </w:p>
    <w:p w14:paraId="1AEB0E20" w14:textId="77777777" w:rsidR="008A69C3" w:rsidRPr="008A69C3" w:rsidRDefault="008A69C3" w:rsidP="008A69C3">
      <w:pPr>
        <w:numPr>
          <w:ilvl w:val="0"/>
          <w:numId w:val="10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Discuss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administrative wrap-up tasks</w:t>
      </w:r>
      <w:r w:rsidRPr="008A69C3">
        <w:rPr>
          <w:rFonts w:ascii="Times New Roman" w:hAnsi="Times New Roman" w:cs="Times New Roman"/>
          <w:sz w:val="24"/>
          <w:szCs w:val="24"/>
        </w:rPr>
        <w:t>, prescriptions, and referrals.</w:t>
      </w:r>
    </w:p>
    <w:p w14:paraId="4689AE94" w14:textId="77777777" w:rsidR="008A69C3" w:rsidRPr="008A69C3" w:rsidRDefault="008A69C3" w:rsidP="008A69C3">
      <w:pPr>
        <w:numPr>
          <w:ilvl w:val="0"/>
          <w:numId w:val="10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Review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data security, confidentiality, and equipment return</w:t>
      </w:r>
      <w:r w:rsidRPr="008A69C3">
        <w:rPr>
          <w:rFonts w:ascii="Times New Roman" w:hAnsi="Times New Roman" w:cs="Times New Roman"/>
          <w:sz w:val="24"/>
          <w:szCs w:val="24"/>
        </w:rPr>
        <w:t xml:space="preserve"> requirements.</w:t>
      </w:r>
    </w:p>
    <w:p w14:paraId="2AFB2C26" w14:textId="3863FAA2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9731E" w14:textId="65260004" w:rsidR="008A69C3" w:rsidRPr="008A69C3" w:rsidRDefault="008A69C3" w:rsidP="008A69C3">
      <w:pPr>
        <w:pStyle w:val="Heading3"/>
      </w:pPr>
      <w:r w:rsidRPr="008A69C3">
        <w:t>Clinical Responsibilities Prior to Departure</w:t>
      </w:r>
    </w:p>
    <w:p w14:paraId="3121FA0D" w14:textId="30F05144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Patient Care Handover</w:t>
      </w:r>
    </w:p>
    <w:p w14:paraId="7F828861" w14:textId="77777777" w:rsidR="008A69C3" w:rsidRPr="008A69C3" w:rsidRDefault="008A69C3" w:rsidP="008A69C3">
      <w:pPr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Review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active patient lists</w:t>
      </w:r>
      <w:r w:rsidRPr="008A69C3">
        <w:rPr>
          <w:rFonts w:ascii="Times New Roman" w:hAnsi="Times New Roman" w:cs="Times New Roman"/>
          <w:sz w:val="24"/>
          <w:szCs w:val="24"/>
        </w:rPr>
        <w:t xml:space="preserve"> and ensure ongoing cases are handed over to a designated GP.</w:t>
      </w:r>
    </w:p>
    <w:p w14:paraId="4DB6FDC4" w14:textId="77777777" w:rsidR="008A69C3" w:rsidRPr="008A69C3" w:rsidRDefault="008A69C3" w:rsidP="008A69C3">
      <w:pPr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Update the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Practice Management System (PMS)</w:t>
      </w:r>
      <w:r w:rsidRPr="008A69C3">
        <w:rPr>
          <w:rFonts w:ascii="Times New Roman" w:hAnsi="Times New Roman" w:cs="Times New Roman"/>
          <w:sz w:val="24"/>
          <w:szCs w:val="24"/>
        </w:rPr>
        <w:t xml:space="preserve"> to reflect the new responsible GP.</w:t>
      </w:r>
    </w:p>
    <w:p w14:paraId="0032287D" w14:textId="77777777" w:rsidR="008A69C3" w:rsidRPr="008A69C3" w:rsidRDefault="008A69C3" w:rsidP="008A69C3">
      <w:pPr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Complete or delegate all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open test results</w:t>
      </w:r>
      <w:r w:rsidRPr="008A69C3">
        <w:rPr>
          <w:rFonts w:ascii="Times New Roman" w:hAnsi="Times New Roman" w:cs="Times New Roman"/>
          <w:sz w:val="24"/>
          <w:szCs w:val="24"/>
        </w:rPr>
        <w:t xml:space="preserve">,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referrals</w:t>
      </w:r>
      <w:r w:rsidRPr="008A69C3">
        <w:rPr>
          <w:rFonts w:ascii="Times New Roman" w:hAnsi="Times New Roman" w:cs="Times New Roman"/>
          <w:sz w:val="24"/>
          <w:szCs w:val="24"/>
        </w:rPr>
        <w:t xml:space="preserve">, and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tasks</w:t>
      </w:r>
      <w:r w:rsidRPr="008A69C3">
        <w:rPr>
          <w:rFonts w:ascii="Times New Roman" w:hAnsi="Times New Roman" w:cs="Times New Roman"/>
          <w:sz w:val="24"/>
          <w:szCs w:val="24"/>
        </w:rPr>
        <w:t>.</w:t>
      </w:r>
    </w:p>
    <w:p w14:paraId="1F48068C" w14:textId="77777777" w:rsidR="008A69C3" w:rsidRPr="008A69C3" w:rsidRDefault="008A69C3" w:rsidP="008A69C3">
      <w:pPr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Ensure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repeat prescriptions</w:t>
      </w:r>
      <w:r w:rsidRPr="008A69C3">
        <w:rPr>
          <w:rFonts w:ascii="Times New Roman" w:hAnsi="Times New Roman" w:cs="Times New Roman"/>
          <w:sz w:val="24"/>
          <w:szCs w:val="24"/>
        </w:rPr>
        <w:t xml:space="preserve"> and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shared care arrangements</w:t>
      </w:r>
      <w:r w:rsidRPr="008A69C3">
        <w:rPr>
          <w:rFonts w:ascii="Times New Roman" w:hAnsi="Times New Roman" w:cs="Times New Roman"/>
          <w:sz w:val="24"/>
          <w:szCs w:val="24"/>
        </w:rPr>
        <w:t xml:space="preserve"> are up to date.</w:t>
      </w:r>
    </w:p>
    <w:p w14:paraId="040DCC4F" w14:textId="77777777" w:rsidR="008A69C3" w:rsidRDefault="008A69C3" w:rsidP="008A69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FF91C" w14:textId="5FE58AE1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lastRenderedPageBreak/>
        <w:t>Clinical Records</w:t>
      </w:r>
    </w:p>
    <w:p w14:paraId="30747DA4" w14:textId="77777777" w:rsidR="008A69C3" w:rsidRPr="008A69C3" w:rsidRDefault="008A69C3" w:rsidP="008A69C3">
      <w:pPr>
        <w:numPr>
          <w:ilvl w:val="0"/>
          <w:numId w:val="10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Finalise and sign off on all consultation notes and electronic records.</w:t>
      </w:r>
    </w:p>
    <w:p w14:paraId="0004C796" w14:textId="77777777" w:rsidR="008A69C3" w:rsidRPr="008A69C3" w:rsidRDefault="008A69C3" w:rsidP="008A69C3">
      <w:pPr>
        <w:numPr>
          <w:ilvl w:val="0"/>
          <w:numId w:val="10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Review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incomplete records or drafts</w:t>
      </w:r>
      <w:r w:rsidRPr="008A69C3">
        <w:rPr>
          <w:rFonts w:ascii="Times New Roman" w:hAnsi="Times New Roman" w:cs="Times New Roman"/>
          <w:sz w:val="24"/>
          <w:szCs w:val="24"/>
        </w:rPr>
        <w:t xml:space="preserve"> in the PMS.</w:t>
      </w:r>
    </w:p>
    <w:p w14:paraId="52697226" w14:textId="77777777" w:rsidR="008A69C3" w:rsidRPr="008A69C3" w:rsidRDefault="008A69C3" w:rsidP="008A69C3">
      <w:pPr>
        <w:numPr>
          <w:ilvl w:val="0"/>
          <w:numId w:val="10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Ensure all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letters, referrals, and results</w:t>
      </w:r>
      <w:r w:rsidRPr="008A69C3">
        <w:rPr>
          <w:rFonts w:ascii="Times New Roman" w:hAnsi="Times New Roman" w:cs="Times New Roman"/>
          <w:sz w:val="24"/>
          <w:szCs w:val="24"/>
        </w:rPr>
        <w:t xml:space="preserve"> are appropriately filed and actioned.</w:t>
      </w:r>
    </w:p>
    <w:p w14:paraId="324CFF89" w14:textId="18ED3A62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 xml:space="preserve"> Results and Correspondence</w:t>
      </w:r>
    </w:p>
    <w:p w14:paraId="4EF40967" w14:textId="77777777" w:rsidR="008A69C3" w:rsidRPr="008A69C3" w:rsidRDefault="008A69C3" w:rsidP="008A69C3">
      <w:pPr>
        <w:numPr>
          <w:ilvl w:val="0"/>
          <w:numId w:val="10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Clear all pending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lab results, hospital correspondence, and e-referrals</w:t>
      </w:r>
      <w:r w:rsidRPr="008A69C3">
        <w:rPr>
          <w:rFonts w:ascii="Times New Roman" w:hAnsi="Times New Roman" w:cs="Times New Roman"/>
          <w:sz w:val="24"/>
          <w:szCs w:val="24"/>
        </w:rPr>
        <w:t>.</w:t>
      </w:r>
    </w:p>
    <w:p w14:paraId="03199E12" w14:textId="77777777" w:rsidR="008A69C3" w:rsidRPr="008A69C3" w:rsidRDefault="008A69C3" w:rsidP="008A69C3">
      <w:pPr>
        <w:numPr>
          <w:ilvl w:val="0"/>
          <w:numId w:val="10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Reassign responsibility in PMS if results will return after departure date.</w:t>
      </w:r>
    </w:p>
    <w:p w14:paraId="2AF9E229" w14:textId="77777777" w:rsidR="008A69C3" w:rsidRPr="008A69C3" w:rsidRDefault="008A69C3" w:rsidP="008A69C3">
      <w:pPr>
        <w:pStyle w:val="Heading2"/>
      </w:pPr>
      <w:r w:rsidRPr="008A69C3">
        <w:t>Administrative and HR Procedures</w:t>
      </w:r>
    </w:p>
    <w:p w14:paraId="4F65FBA9" w14:textId="06024025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Return of Property</w:t>
      </w:r>
      <w:r w:rsidRPr="008A69C3">
        <w:rPr>
          <w:rFonts w:ascii="Times New Roman" w:hAnsi="Times New Roman" w:cs="Times New Roman"/>
          <w:sz w:val="24"/>
          <w:szCs w:val="24"/>
        </w:rPr>
        <w:br/>
        <w:t>Ensure return of all practice property, including:</w:t>
      </w:r>
    </w:p>
    <w:p w14:paraId="16746826" w14:textId="77777777" w:rsidR="008A69C3" w:rsidRPr="008A69C3" w:rsidRDefault="008A69C3" w:rsidP="008A69C3">
      <w:pPr>
        <w:numPr>
          <w:ilvl w:val="0"/>
          <w:numId w:val="1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Prescription pads (GMS and private).</w:t>
      </w:r>
    </w:p>
    <w:p w14:paraId="0ACC46E9" w14:textId="77777777" w:rsidR="008A69C3" w:rsidRPr="008A69C3" w:rsidRDefault="008A69C3" w:rsidP="008A69C3">
      <w:pPr>
        <w:numPr>
          <w:ilvl w:val="0"/>
          <w:numId w:val="1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Smart cards / Healthmail access tokens.</w:t>
      </w:r>
    </w:p>
    <w:p w14:paraId="59C90899" w14:textId="77777777" w:rsidR="008A69C3" w:rsidRPr="008A69C3" w:rsidRDefault="008A69C3" w:rsidP="008A69C3">
      <w:pPr>
        <w:numPr>
          <w:ilvl w:val="0"/>
          <w:numId w:val="1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Keys, fobs, or ID badges.</w:t>
      </w:r>
    </w:p>
    <w:p w14:paraId="105BB904" w14:textId="77777777" w:rsidR="008A69C3" w:rsidRPr="008A69C3" w:rsidRDefault="008A69C3" w:rsidP="008A69C3">
      <w:pPr>
        <w:numPr>
          <w:ilvl w:val="0"/>
          <w:numId w:val="1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IT hardware (laptop, phone, tablet).</w:t>
      </w:r>
    </w:p>
    <w:p w14:paraId="29D5835B" w14:textId="77777777" w:rsidR="008A69C3" w:rsidRPr="008A69C3" w:rsidRDefault="008A69C3" w:rsidP="008A69C3">
      <w:pPr>
        <w:numPr>
          <w:ilvl w:val="0"/>
          <w:numId w:val="1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Medical equipment (stethoscope, BP monitor, etc. if issued).</w:t>
      </w:r>
    </w:p>
    <w:p w14:paraId="7F1CF6AC" w14:textId="77777777" w:rsidR="008A69C3" w:rsidRPr="008A69C3" w:rsidRDefault="008A69C3" w:rsidP="008A69C3">
      <w:pPr>
        <w:numPr>
          <w:ilvl w:val="0"/>
          <w:numId w:val="1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Any confidential paper records or notes.</w:t>
      </w:r>
    </w:p>
    <w:p w14:paraId="153022AB" w14:textId="7E0458C0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Payroll and Accounts</w:t>
      </w:r>
    </w:p>
    <w:p w14:paraId="72AEA919" w14:textId="77777777" w:rsidR="008A69C3" w:rsidRPr="008A69C3" w:rsidRDefault="008A69C3" w:rsidP="008A69C3">
      <w:pPr>
        <w:numPr>
          <w:ilvl w:val="0"/>
          <w:numId w:val="1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Confirm completion of final timesheet or claims (e.g., GMS, PCRS, maternity/paternity cover).</w:t>
      </w:r>
    </w:p>
    <w:p w14:paraId="319A2004" w14:textId="77777777" w:rsidR="008A69C3" w:rsidRPr="008A69C3" w:rsidRDefault="008A69C3" w:rsidP="008A69C3">
      <w:pPr>
        <w:numPr>
          <w:ilvl w:val="0"/>
          <w:numId w:val="1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Process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final salary</w:t>
      </w:r>
      <w:r w:rsidRPr="008A69C3">
        <w:rPr>
          <w:rFonts w:ascii="Times New Roman" w:hAnsi="Times New Roman" w:cs="Times New Roman"/>
          <w:sz w:val="24"/>
          <w:szCs w:val="24"/>
        </w:rPr>
        <w:t xml:space="preserve"> and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outstanding annual leave payments</w:t>
      </w:r>
      <w:r w:rsidRPr="008A69C3">
        <w:rPr>
          <w:rFonts w:ascii="Times New Roman" w:hAnsi="Times New Roman" w:cs="Times New Roman"/>
          <w:sz w:val="24"/>
          <w:szCs w:val="24"/>
        </w:rPr>
        <w:t>.</w:t>
      </w:r>
    </w:p>
    <w:p w14:paraId="00CAFDB8" w14:textId="77777777" w:rsidR="008A69C3" w:rsidRPr="008A69C3" w:rsidRDefault="008A69C3" w:rsidP="008A69C3">
      <w:pPr>
        <w:numPr>
          <w:ilvl w:val="0"/>
          <w:numId w:val="1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Remove GP from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practice insurance policy</w:t>
      </w:r>
      <w:r w:rsidRPr="008A69C3">
        <w:rPr>
          <w:rFonts w:ascii="Times New Roman" w:hAnsi="Times New Roman" w:cs="Times New Roman"/>
          <w:sz w:val="24"/>
          <w:szCs w:val="24"/>
        </w:rPr>
        <w:t xml:space="preserve"> (if applicable).</w:t>
      </w:r>
    </w:p>
    <w:p w14:paraId="06741B2B" w14:textId="7F566C8A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Exit Interview (Optional)</w:t>
      </w:r>
      <w:r w:rsidRPr="008A69C3">
        <w:rPr>
          <w:rFonts w:ascii="Times New Roman" w:hAnsi="Times New Roman" w:cs="Times New Roman"/>
          <w:sz w:val="24"/>
          <w:szCs w:val="24"/>
        </w:rPr>
        <w:br/>
        <w:t>Conduct an exit interview with the Practice Manager or Lead GP to gather feedback and ensure closure.</w:t>
      </w:r>
    </w:p>
    <w:p w14:paraId="2F42F141" w14:textId="111D2D95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2E052A" w14:textId="606C08C3" w:rsidR="008A69C3" w:rsidRPr="008A69C3" w:rsidRDefault="008A69C3" w:rsidP="008A69C3">
      <w:pPr>
        <w:pStyle w:val="Heading2"/>
      </w:pPr>
      <w:r w:rsidRPr="008A69C3">
        <w:t>IT and Data Security</w:t>
      </w:r>
    </w:p>
    <w:p w14:paraId="5422C04E" w14:textId="77777777" w:rsidR="008A69C3" w:rsidRDefault="008A69C3" w:rsidP="008A69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CCEF2" w14:textId="77777777" w:rsidR="008A69C3" w:rsidRDefault="008A69C3" w:rsidP="008A69C3">
      <w:pPr>
        <w:pStyle w:val="Heading3"/>
      </w:pPr>
      <w:r w:rsidRPr="008A69C3">
        <w:t>Account Deactivation</w:t>
      </w:r>
    </w:p>
    <w:p w14:paraId="1E88FFCD" w14:textId="1CA50425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br/>
        <w:t>On the final working day:</w:t>
      </w:r>
    </w:p>
    <w:p w14:paraId="08CA2E0C" w14:textId="77777777" w:rsidR="008A69C3" w:rsidRPr="008A69C3" w:rsidRDefault="008A69C3" w:rsidP="008A69C3">
      <w:pPr>
        <w:numPr>
          <w:ilvl w:val="0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Disable access to:</w:t>
      </w:r>
    </w:p>
    <w:p w14:paraId="4F553C47" w14:textId="4E620E1D" w:rsidR="008A69C3" w:rsidRPr="008A69C3" w:rsidRDefault="008A69C3" w:rsidP="008A69C3">
      <w:pPr>
        <w:numPr>
          <w:ilvl w:val="1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Socrates</w:t>
      </w:r>
    </w:p>
    <w:p w14:paraId="13F6594C" w14:textId="77777777" w:rsidR="008A69C3" w:rsidRPr="008A69C3" w:rsidRDefault="008A69C3" w:rsidP="008A69C3">
      <w:pPr>
        <w:numPr>
          <w:ilvl w:val="1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Healthmail and internal email.</w:t>
      </w:r>
    </w:p>
    <w:p w14:paraId="6CCC627E" w14:textId="77777777" w:rsidR="008A69C3" w:rsidRPr="008A69C3" w:rsidRDefault="008A69C3" w:rsidP="008A69C3">
      <w:pPr>
        <w:numPr>
          <w:ilvl w:val="1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Healthlink / </w:t>
      </w:r>
      <w:proofErr w:type="spellStart"/>
      <w:r w:rsidRPr="008A69C3">
        <w:rPr>
          <w:rFonts w:ascii="Times New Roman" w:hAnsi="Times New Roman" w:cs="Times New Roman"/>
          <w:sz w:val="24"/>
          <w:szCs w:val="24"/>
        </w:rPr>
        <w:t>eReferral</w:t>
      </w:r>
      <w:proofErr w:type="spellEnd"/>
      <w:r w:rsidRPr="008A69C3">
        <w:rPr>
          <w:rFonts w:ascii="Times New Roman" w:hAnsi="Times New Roman" w:cs="Times New Roman"/>
          <w:sz w:val="24"/>
          <w:szCs w:val="24"/>
        </w:rPr>
        <w:t xml:space="preserve"> systems.</w:t>
      </w:r>
    </w:p>
    <w:p w14:paraId="77EB6A37" w14:textId="77777777" w:rsidR="008A69C3" w:rsidRDefault="008A69C3" w:rsidP="008A69C3">
      <w:pPr>
        <w:numPr>
          <w:ilvl w:val="1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PCRS portal.</w:t>
      </w:r>
    </w:p>
    <w:p w14:paraId="6107C64D" w14:textId="56F75B43" w:rsidR="008A69C3" w:rsidRDefault="008A69C3" w:rsidP="008A69C3">
      <w:pPr>
        <w:numPr>
          <w:ilvl w:val="1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Bonsecours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Galway</w:t>
      </w:r>
    </w:p>
    <w:p w14:paraId="24F80DFF" w14:textId="40C81523" w:rsidR="008A69C3" w:rsidRDefault="008A69C3" w:rsidP="008A69C3">
      <w:pPr>
        <w:numPr>
          <w:ilvl w:val="1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 Labs</w:t>
      </w:r>
    </w:p>
    <w:p w14:paraId="5E34E166" w14:textId="0C4C6A36" w:rsidR="008A69C3" w:rsidRPr="008A69C3" w:rsidRDefault="008A69C3" w:rsidP="008A69C3">
      <w:pPr>
        <w:numPr>
          <w:ilvl w:val="1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Westdoc</w:t>
      </w:r>
      <w:proofErr w:type="spellEnd"/>
    </w:p>
    <w:p w14:paraId="1D56B64B" w14:textId="77777777" w:rsidR="008A69C3" w:rsidRPr="008A69C3" w:rsidRDefault="008A69C3" w:rsidP="008A69C3">
      <w:pPr>
        <w:numPr>
          <w:ilvl w:val="0"/>
          <w:numId w:val="1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Remove from shared drives and internal communication groups.</w:t>
      </w:r>
    </w:p>
    <w:p w14:paraId="695970CA" w14:textId="77777777" w:rsidR="008A69C3" w:rsidRDefault="008A69C3" w:rsidP="008A69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C2DE5" w14:textId="6F60A2FB" w:rsidR="008A69C3" w:rsidRPr="008A69C3" w:rsidRDefault="008A69C3" w:rsidP="008A69C3">
      <w:pPr>
        <w:pStyle w:val="Heading3"/>
      </w:pPr>
      <w:r w:rsidRPr="008A69C3">
        <w:t>Data Retention and Confidentiality</w:t>
      </w:r>
    </w:p>
    <w:p w14:paraId="5C996B14" w14:textId="77777777" w:rsidR="008A69C3" w:rsidRPr="008A69C3" w:rsidRDefault="008A69C3" w:rsidP="008A69C3">
      <w:pPr>
        <w:numPr>
          <w:ilvl w:val="0"/>
          <w:numId w:val="1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Ensure all patient data remains within the practice systems.</w:t>
      </w:r>
    </w:p>
    <w:p w14:paraId="04ADC3A6" w14:textId="77777777" w:rsidR="008A69C3" w:rsidRPr="008A69C3" w:rsidRDefault="008A69C3" w:rsidP="008A69C3">
      <w:pPr>
        <w:numPr>
          <w:ilvl w:val="0"/>
          <w:numId w:val="1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lastRenderedPageBreak/>
        <w:t>The GP must not retain copies of patient records or data.</w:t>
      </w:r>
    </w:p>
    <w:p w14:paraId="19376191" w14:textId="77777777" w:rsidR="008A69C3" w:rsidRPr="008A69C3" w:rsidRDefault="008A69C3" w:rsidP="008A69C3">
      <w:pPr>
        <w:numPr>
          <w:ilvl w:val="0"/>
          <w:numId w:val="1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Departing GPs must re-sign or reaffirm the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Practice Confidentiality and GDPR Agreement</w:t>
      </w:r>
      <w:r w:rsidRPr="008A69C3">
        <w:rPr>
          <w:rFonts w:ascii="Times New Roman" w:hAnsi="Times New Roman" w:cs="Times New Roman"/>
          <w:sz w:val="24"/>
          <w:szCs w:val="24"/>
        </w:rPr>
        <w:t xml:space="preserve"> during off-boarding.</w:t>
      </w:r>
    </w:p>
    <w:p w14:paraId="7CA6BC3B" w14:textId="5881ABAC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02B5B" w14:textId="1FE4EB5F" w:rsidR="008A69C3" w:rsidRPr="008A69C3" w:rsidRDefault="008A69C3" w:rsidP="008A69C3">
      <w:pPr>
        <w:pStyle w:val="Heading2"/>
      </w:pPr>
      <w:r w:rsidRPr="008A69C3">
        <w:t>Communication</w:t>
      </w:r>
    </w:p>
    <w:p w14:paraId="6CDC08B7" w14:textId="0975B64B" w:rsidR="008A69C3" w:rsidRPr="008A69C3" w:rsidRDefault="008A69C3" w:rsidP="008A69C3">
      <w:pPr>
        <w:pStyle w:val="Heading3"/>
      </w:pPr>
      <w:r w:rsidRPr="008A69C3">
        <w:t>Internal Communication</w:t>
      </w:r>
    </w:p>
    <w:p w14:paraId="50473955" w14:textId="77777777" w:rsidR="008A69C3" w:rsidRPr="008A69C3" w:rsidRDefault="008A69C3" w:rsidP="008A69C3">
      <w:pPr>
        <w:numPr>
          <w:ilvl w:val="0"/>
          <w:numId w:val="1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Notify all staff of the GP’s departure and effective date.</w:t>
      </w:r>
    </w:p>
    <w:p w14:paraId="576F5E99" w14:textId="77777777" w:rsidR="008A69C3" w:rsidRPr="008A69C3" w:rsidRDefault="008A69C3" w:rsidP="008A69C3">
      <w:pPr>
        <w:numPr>
          <w:ilvl w:val="0"/>
          <w:numId w:val="1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Update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rota</w:t>
      </w:r>
      <w:r w:rsidRPr="008A69C3">
        <w:rPr>
          <w:rFonts w:ascii="Times New Roman" w:hAnsi="Times New Roman" w:cs="Times New Roman"/>
          <w:sz w:val="24"/>
          <w:szCs w:val="24"/>
        </w:rPr>
        <w:t xml:space="preserve">,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on-call schedules</w:t>
      </w:r>
      <w:r w:rsidRPr="008A69C3">
        <w:rPr>
          <w:rFonts w:ascii="Times New Roman" w:hAnsi="Times New Roman" w:cs="Times New Roman"/>
          <w:sz w:val="24"/>
          <w:szCs w:val="24"/>
        </w:rPr>
        <w:t xml:space="preserve">, and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practice website / signage</w:t>
      </w:r>
      <w:r w:rsidRPr="008A69C3">
        <w:rPr>
          <w:rFonts w:ascii="Times New Roman" w:hAnsi="Times New Roman" w:cs="Times New Roman"/>
          <w:sz w:val="24"/>
          <w:szCs w:val="24"/>
        </w:rPr>
        <w:t>.</w:t>
      </w:r>
    </w:p>
    <w:p w14:paraId="668D02EC" w14:textId="1AB1571F" w:rsidR="008A69C3" w:rsidRPr="008A69C3" w:rsidRDefault="008A69C3" w:rsidP="008A69C3">
      <w:pPr>
        <w:pStyle w:val="Heading3"/>
      </w:pPr>
      <w:r w:rsidRPr="008A69C3">
        <w:t>Patient Communication</w:t>
      </w:r>
    </w:p>
    <w:p w14:paraId="4AB614CA" w14:textId="77777777" w:rsidR="008A69C3" w:rsidRPr="008A69C3" w:rsidRDefault="008A69C3" w:rsidP="008A69C3">
      <w:pPr>
        <w:numPr>
          <w:ilvl w:val="0"/>
          <w:numId w:val="1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Where relevant, inform patients under the GP’s care that another doctor will take over their management.</w:t>
      </w:r>
    </w:p>
    <w:p w14:paraId="4648694A" w14:textId="77777777" w:rsidR="008A69C3" w:rsidRPr="008A69C3" w:rsidRDefault="008A69C3" w:rsidP="008A69C3">
      <w:pPr>
        <w:numPr>
          <w:ilvl w:val="0"/>
          <w:numId w:val="1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If the GP was a named GMS doctor, update the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PCRS panel</w:t>
      </w:r>
      <w:r w:rsidRPr="008A69C3">
        <w:rPr>
          <w:rFonts w:ascii="Times New Roman" w:hAnsi="Times New Roman" w:cs="Times New Roman"/>
          <w:sz w:val="24"/>
          <w:szCs w:val="24"/>
        </w:rPr>
        <w:t xml:space="preserve"> and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HSE records</w:t>
      </w:r>
      <w:r w:rsidRPr="008A69C3">
        <w:rPr>
          <w:rFonts w:ascii="Times New Roman" w:hAnsi="Times New Roman" w:cs="Times New Roman"/>
          <w:sz w:val="24"/>
          <w:szCs w:val="24"/>
        </w:rPr>
        <w:t xml:space="preserve"> accordingly.</w:t>
      </w:r>
    </w:p>
    <w:p w14:paraId="62FC28E7" w14:textId="2560B3B2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A0AC5" w14:textId="795E3474" w:rsidR="008A69C3" w:rsidRPr="008A69C3" w:rsidRDefault="008A69C3" w:rsidP="008A69C3">
      <w:pPr>
        <w:pStyle w:val="Heading3"/>
      </w:pPr>
      <w:r w:rsidRPr="008A69C3">
        <w:t>Post-Departure Actions</w:t>
      </w:r>
    </w:p>
    <w:p w14:paraId="423C1423" w14:textId="0091D298" w:rsidR="008A69C3" w:rsidRPr="008A69C3" w:rsidRDefault="008A69C3" w:rsidP="008A69C3">
      <w:pPr>
        <w:pStyle w:val="Heading3"/>
      </w:pPr>
      <w:r w:rsidRPr="008A69C3">
        <w:t>Access Review</w:t>
      </w:r>
    </w:p>
    <w:p w14:paraId="15DD6433" w14:textId="77777777" w:rsidR="008A69C3" w:rsidRPr="008A69C3" w:rsidRDefault="008A69C3" w:rsidP="008A69C3">
      <w:pPr>
        <w:numPr>
          <w:ilvl w:val="0"/>
          <w:numId w:val="1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Confirm all system access has been revoked.</w:t>
      </w:r>
    </w:p>
    <w:p w14:paraId="6959B810" w14:textId="77777777" w:rsidR="008A69C3" w:rsidRPr="008A69C3" w:rsidRDefault="008A69C3" w:rsidP="008A69C3">
      <w:pPr>
        <w:numPr>
          <w:ilvl w:val="0"/>
          <w:numId w:val="1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Archive the GP’s Healthmail mailbox in accordance with GDPR retention policies.</w:t>
      </w:r>
    </w:p>
    <w:p w14:paraId="551C2928" w14:textId="77777777" w:rsidR="008A69C3" w:rsidRDefault="008A69C3" w:rsidP="008A69C3">
      <w:pPr>
        <w:pStyle w:val="Heading3"/>
      </w:pPr>
      <w:r w:rsidRPr="008A69C3">
        <w:t>Record Keeping</w:t>
      </w:r>
    </w:p>
    <w:p w14:paraId="31F73F37" w14:textId="782F9961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br/>
        <w:t>Maintain the following in the GP’s HR file:</w:t>
      </w:r>
    </w:p>
    <w:p w14:paraId="7540EF0E" w14:textId="77777777" w:rsidR="008A69C3" w:rsidRPr="008A69C3" w:rsidRDefault="008A69C3" w:rsidP="008A69C3">
      <w:pPr>
        <w:numPr>
          <w:ilvl w:val="0"/>
          <w:numId w:val="1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Notice of resignation / end of contract letter.</w:t>
      </w:r>
    </w:p>
    <w:p w14:paraId="571FD044" w14:textId="77777777" w:rsidR="008A69C3" w:rsidRPr="008A69C3" w:rsidRDefault="008A69C3" w:rsidP="008A69C3">
      <w:pPr>
        <w:numPr>
          <w:ilvl w:val="0"/>
          <w:numId w:val="1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Exit checklist and completion date.</w:t>
      </w:r>
    </w:p>
    <w:p w14:paraId="7A8594FF" w14:textId="77777777" w:rsidR="008A69C3" w:rsidRPr="008A69C3" w:rsidRDefault="008A69C3" w:rsidP="008A69C3">
      <w:pPr>
        <w:numPr>
          <w:ilvl w:val="0"/>
          <w:numId w:val="1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Confirmation of equipment return.</w:t>
      </w:r>
    </w:p>
    <w:p w14:paraId="71B1E1BC" w14:textId="77777777" w:rsidR="008A69C3" w:rsidRPr="008A69C3" w:rsidRDefault="008A69C3" w:rsidP="008A69C3">
      <w:pPr>
        <w:numPr>
          <w:ilvl w:val="0"/>
          <w:numId w:val="1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Signed confidentiality reaffirmation.</w:t>
      </w:r>
    </w:p>
    <w:p w14:paraId="502DE71A" w14:textId="77777777" w:rsidR="008A69C3" w:rsidRDefault="008A69C3" w:rsidP="008A69C3">
      <w:pPr>
        <w:numPr>
          <w:ilvl w:val="0"/>
          <w:numId w:val="1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Record of any outstanding payments made.</w:t>
      </w:r>
    </w:p>
    <w:p w14:paraId="0CD8B3DF" w14:textId="77777777" w:rsidR="008A69C3" w:rsidRPr="008A69C3" w:rsidRDefault="008A69C3" w:rsidP="008A69C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E42D977" w14:textId="77777777" w:rsidR="008A69C3" w:rsidRDefault="008A69C3" w:rsidP="008A69C3">
      <w:pPr>
        <w:pStyle w:val="Heading3"/>
      </w:pPr>
      <w:r w:rsidRPr="008A69C3">
        <w:t>Outstanding Correspondence</w:t>
      </w:r>
    </w:p>
    <w:p w14:paraId="0C07A964" w14:textId="4CCA0C33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br/>
        <w:t>Ensure any correspondence (e.g., hospital letters, results) still being addressed to the departing GP is re-routed to the designated successor GP.</w:t>
      </w:r>
    </w:p>
    <w:p w14:paraId="1CFA05BF" w14:textId="4492F13A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B2E81" w14:textId="5E97DA21" w:rsidR="008A69C3" w:rsidRPr="008A69C3" w:rsidRDefault="008A69C3" w:rsidP="008A69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Legal and Governance Considerations</w:t>
      </w:r>
    </w:p>
    <w:p w14:paraId="2DF3D498" w14:textId="77777777" w:rsidR="008A69C3" w:rsidRPr="008A69C3" w:rsidRDefault="008A69C3" w:rsidP="008A69C3">
      <w:pPr>
        <w:numPr>
          <w:ilvl w:val="0"/>
          <w:numId w:val="1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Comply with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Medical Council of Ireland</w:t>
      </w:r>
      <w:r w:rsidRPr="008A69C3">
        <w:rPr>
          <w:rFonts w:ascii="Times New Roman" w:hAnsi="Times New Roman" w:cs="Times New Roman"/>
          <w:sz w:val="24"/>
          <w:szCs w:val="24"/>
        </w:rPr>
        <w:t xml:space="preserve"> guidance on patient record retention and transfer.</w:t>
      </w:r>
    </w:p>
    <w:p w14:paraId="7E2F9ADD" w14:textId="77777777" w:rsidR="008A69C3" w:rsidRPr="008A69C3" w:rsidRDefault="008A69C3" w:rsidP="008A69C3">
      <w:pPr>
        <w:numPr>
          <w:ilvl w:val="0"/>
          <w:numId w:val="1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Ensure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data protection compliance</w:t>
      </w:r>
      <w:r w:rsidRPr="008A69C3">
        <w:rPr>
          <w:rFonts w:ascii="Times New Roman" w:hAnsi="Times New Roman" w:cs="Times New Roman"/>
          <w:sz w:val="24"/>
          <w:szCs w:val="24"/>
        </w:rPr>
        <w:t xml:space="preserve"> under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GDPR (2018)</w:t>
      </w:r>
      <w:r w:rsidRPr="008A69C3">
        <w:rPr>
          <w:rFonts w:ascii="Times New Roman" w:hAnsi="Times New Roman" w:cs="Times New Roman"/>
          <w:sz w:val="24"/>
          <w:szCs w:val="24"/>
        </w:rPr>
        <w:t>.</w:t>
      </w:r>
    </w:p>
    <w:p w14:paraId="035513B7" w14:textId="77777777" w:rsidR="008A69C3" w:rsidRPr="008A69C3" w:rsidRDefault="008A69C3" w:rsidP="008A69C3">
      <w:pPr>
        <w:numPr>
          <w:ilvl w:val="0"/>
          <w:numId w:val="1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 xml:space="preserve">For partnerships, follow terms of the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Partnership Agreement</w:t>
      </w:r>
      <w:r w:rsidRPr="008A69C3">
        <w:rPr>
          <w:rFonts w:ascii="Times New Roman" w:hAnsi="Times New Roman" w:cs="Times New Roman"/>
          <w:sz w:val="24"/>
          <w:szCs w:val="24"/>
        </w:rPr>
        <w:t xml:space="preserve"> regarding property, finances, and patient lists.</w:t>
      </w:r>
    </w:p>
    <w:p w14:paraId="71E1F7AB" w14:textId="77777777" w:rsidR="008A69C3" w:rsidRPr="008A69C3" w:rsidRDefault="008A69C3" w:rsidP="008A69C3">
      <w:pPr>
        <w:numPr>
          <w:ilvl w:val="0"/>
          <w:numId w:val="1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lastRenderedPageBreak/>
        <w:t xml:space="preserve">Maintain adequate </w:t>
      </w:r>
      <w:r w:rsidRPr="008A69C3">
        <w:rPr>
          <w:rFonts w:ascii="Times New Roman" w:hAnsi="Times New Roman" w:cs="Times New Roman"/>
          <w:b/>
          <w:bCs/>
          <w:sz w:val="24"/>
          <w:szCs w:val="24"/>
        </w:rPr>
        <w:t>clinical indemnity cover</w:t>
      </w:r>
      <w:r w:rsidRPr="008A69C3">
        <w:rPr>
          <w:rFonts w:ascii="Times New Roman" w:hAnsi="Times New Roman" w:cs="Times New Roman"/>
          <w:sz w:val="24"/>
          <w:szCs w:val="24"/>
        </w:rPr>
        <w:t xml:space="preserve"> for historical cases as per Medical Protection Society / indemnity provider guidance.</w:t>
      </w:r>
    </w:p>
    <w:p w14:paraId="04E75111" w14:textId="2A12106B" w:rsidR="008A69C3" w:rsidRPr="008A69C3" w:rsidRDefault="008A69C3" w:rsidP="008A69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D999F" w14:textId="7B307286" w:rsidR="008A69C3" w:rsidRPr="008A69C3" w:rsidRDefault="008A69C3" w:rsidP="008A69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69C3">
        <w:rPr>
          <w:rFonts w:ascii="Times New Roman" w:hAnsi="Times New Roman" w:cs="Times New Roman"/>
          <w:b/>
          <w:bCs/>
          <w:sz w:val="24"/>
          <w:szCs w:val="24"/>
        </w:rPr>
        <w:t>Related Policies / Documents</w:t>
      </w:r>
    </w:p>
    <w:p w14:paraId="3F9B3530" w14:textId="77777777" w:rsidR="008A69C3" w:rsidRPr="008A69C3" w:rsidRDefault="008A69C3" w:rsidP="008A69C3">
      <w:pPr>
        <w:numPr>
          <w:ilvl w:val="0"/>
          <w:numId w:val="1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Data Protection &amp; Confidentiality Policy</w:t>
      </w:r>
    </w:p>
    <w:p w14:paraId="405456C4" w14:textId="77777777" w:rsidR="008A69C3" w:rsidRPr="008A69C3" w:rsidRDefault="008A69C3" w:rsidP="008A69C3">
      <w:pPr>
        <w:numPr>
          <w:ilvl w:val="0"/>
          <w:numId w:val="1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Clinical Governance Policy</w:t>
      </w:r>
    </w:p>
    <w:p w14:paraId="7E917F5B" w14:textId="77777777" w:rsidR="008A69C3" w:rsidRPr="008A69C3" w:rsidRDefault="008A69C3" w:rsidP="008A69C3">
      <w:pPr>
        <w:numPr>
          <w:ilvl w:val="0"/>
          <w:numId w:val="1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Staff Induction &amp; Off-Boarding Checklist</w:t>
      </w:r>
    </w:p>
    <w:p w14:paraId="2ECFC450" w14:textId="77777777" w:rsidR="008A69C3" w:rsidRPr="008A69C3" w:rsidRDefault="008A69C3" w:rsidP="008A69C3">
      <w:pPr>
        <w:numPr>
          <w:ilvl w:val="0"/>
          <w:numId w:val="1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Practice IT Security Policy</w:t>
      </w:r>
    </w:p>
    <w:p w14:paraId="73AB0D72" w14:textId="77777777" w:rsidR="008A69C3" w:rsidRPr="008A69C3" w:rsidRDefault="008A69C3" w:rsidP="008A69C3">
      <w:pPr>
        <w:numPr>
          <w:ilvl w:val="0"/>
          <w:numId w:val="1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69C3">
        <w:rPr>
          <w:rFonts w:ascii="Times New Roman" w:hAnsi="Times New Roman" w:cs="Times New Roman"/>
          <w:sz w:val="24"/>
          <w:szCs w:val="24"/>
        </w:rPr>
        <w:t>Partnership or Employment Contract</w:t>
      </w:r>
    </w:p>
    <w:p w14:paraId="60F51AE7" w14:textId="77777777" w:rsidR="002C591A" w:rsidRPr="003112A1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09C5" w14:textId="77777777" w:rsidR="0003158E" w:rsidRDefault="0003158E" w:rsidP="003112A1">
      <w:pPr>
        <w:spacing w:after="0" w:line="240" w:lineRule="auto"/>
      </w:pPr>
      <w:r>
        <w:separator/>
      </w:r>
    </w:p>
  </w:endnote>
  <w:endnote w:type="continuationSeparator" w:id="0">
    <w:p w14:paraId="17F98855" w14:textId="77777777" w:rsidR="0003158E" w:rsidRDefault="0003158E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52DF" w14:textId="77777777" w:rsidR="0003158E" w:rsidRDefault="0003158E" w:rsidP="003112A1">
      <w:pPr>
        <w:spacing w:after="0" w:line="240" w:lineRule="auto"/>
      </w:pPr>
      <w:r>
        <w:separator/>
      </w:r>
    </w:p>
  </w:footnote>
  <w:footnote w:type="continuationSeparator" w:id="0">
    <w:p w14:paraId="79371AA0" w14:textId="77777777" w:rsidR="0003158E" w:rsidRDefault="0003158E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E3"/>
    <w:multiLevelType w:val="multilevel"/>
    <w:tmpl w:val="DB3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E7FE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7149B"/>
    <w:multiLevelType w:val="multilevel"/>
    <w:tmpl w:val="7E5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72633"/>
    <w:multiLevelType w:val="hybridMultilevel"/>
    <w:tmpl w:val="6DB67ED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965E70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B1FE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24549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FF1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3D7B59"/>
    <w:multiLevelType w:val="hybridMultilevel"/>
    <w:tmpl w:val="98A461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5354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270B5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E86356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A1B52"/>
    <w:multiLevelType w:val="hybridMultilevel"/>
    <w:tmpl w:val="964080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6E27F5"/>
    <w:multiLevelType w:val="hybridMultilevel"/>
    <w:tmpl w:val="2EEC8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A0E9F"/>
    <w:multiLevelType w:val="multilevel"/>
    <w:tmpl w:val="59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178FD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5C5D96"/>
    <w:multiLevelType w:val="hybridMultilevel"/>
    <w:tmpl w:val="306E3A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518E9"/>
    <w:multiLevelType w:val="multilevel"/>
    <w:tmpl w:val="A120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F939C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5C1B54"/>
    <w:multiLevelType w:val="hybridMultilevel"/>
    <w:tmpl w:val="5672C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015497"/>
    <w:multiLevelType w:val="hybridMultilevel"/>
    <w:tmpl w:val="F0B4F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0E30A9"/>
    <w:multiLevelType w:val="hybridMultilevel"/>
    <w:tmpl w:val="F44EF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35D3F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5E62E6"/>
    <w:multiLevelType w:val="hybridMultilevel"/>
    <w:tmpl w:val="C3DEA6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152766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03741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29252B"/>
    <w:multiLevelType w:val="hybridMultilevel"/>
    <w:tmpl w:val="2794A86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24D26F1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302C15"/>
    <w:multiLevelType w:val="multilevel"/>
    <w:tmpl w:val="9D7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CC76A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F0876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20137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C30CA"/>
    <w:multiLevelType w:val="hybridMultilevel"/>
    <w:tmpl w:val="D6307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033AF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03A692D"/>
    <w:multiLevelType w:val="multilevel"/>
    <w:tmpl w:val="812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A2643C"/>
    <w:multiLevelType w:val="multilevel"/>
    <w:tmpl w:val="50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A3234A"/>
    <w:multiLevelType w:val="hybridMultilevel"/>
    <w:tmpl w:val="2DD0D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2D22D8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5E5A65"/>
    <w:multiLevelType w:val="hybridMultilevel"/>
    <w:tmpl w:val="5D061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DC3BCF"/>
    <w:multiLevelType w:val="hybridMultilevel"/>
    <w:tmpl w:val="EFEA6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1D2D66"/>
    <w:multiLevelType w:val="hybridMultilevel"/>
    <w:tmpl w:val="AFBEA7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3934C9"/>
    <w:multiLevelType w:val="hybridMultilevel"/>
    <w:tmpl w:val="9F843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F14224"/>
    <w:multiLevelType w:val="hybridMultilevel"/>
    <w:tmpl w:val="4342A2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3B3A9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3F5C45"/>
    <w:multiLevelType w:val="hybridMultilevel"/>
    <w:tmpl w:val="FA1EE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A1033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03373E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981F31"/>
    <w:multiLevelType w:val="multilevel"/>
    <w:tmpl w:val="980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C95D45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9F7442"/>
    <w:multiLevelType w:val="hybridMultilevel"/>
    <w:tmpl w:val="A98CF9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485B3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7A55B9"/>
    <w:multiLevelType w:val="hybridMultilevel"/>
    <w:tmpl w:val="ACE45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581295"/>
    <w:multiLevelType w:val="hybridMultilevel"/>
    <w:tmpl w:val="36408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B523FD"/>
    <w:multiLevelType w:val="multilevel"/>
    <w:tmpl w:val="B6C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D32FDF"/>
    <w:multiLevelType w:val="multilevel"/>
    <w:tmpl w:val="981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3A71DD"/>
    <w:multiLevelType w:val="multilevel"/>
    <w:tmpl w:val="19C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630636"/>
    <w:multiLevelType w:val="hybridMultilevel"/>
    <w:tmpl w:val="54AA55E6"/>
    <w:lvl w:ilvl="0" w:tplc="9AA8C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B902A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DF86691"/>
    <w:multiLevelType w:val="hybridMultilevel"/>
    <w:tmpl w:val="132E2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351465"/>
    <w:multiLevelType w:val="multilevel"/>
    <w:tmpl w:val="174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267546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0A547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B6171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075BCA"/>
    <w:multiLevelType w:val="hybridMultilevel"/>
    <w:tmpl w:val="DEC4B1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7652E3"/>
    <w:multiLevelType w:val="multilevel"/>
    <w:tmpl w:val="325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A6091B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510D6"/>
    <w:multiLevelType w:val="multilevel"/>
    <w:tmpl w:val="3CE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E57491"/>
    <w:multiLevelType w:val="hybridMultilevel"/>
    <w:tmpl w:val="6D688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4B606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892E6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633D72"/>
    <w:multiLevelType w:val="hybridMultilevel"/>
    <w:tmpl w:val="F32EBD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F4075F"/>
    <w:multiLevelType w:val="multilevel"/>
    <w:tmpl w:val="F1E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3EA59B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8B51EB"/>
    <w:multiLevelType w:val="multilevel"/>
    <w:tmpl w:val="DE0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D94929"/>
    <w:multiLevelType w:val="hybridMultilevel"/>
    <w:tmpl w:val="D61A5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8721AA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8846C1"/>
    <w:multiLevelType w:val="hybridMultilevel"/>
    <w:tmpl w:val="5888C5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C7D339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6A62F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B5321C"/>
    <w:multiLevelType w:val="hybridMultilevel"/>
    <w:tmpl w:val="8F9A71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127269F"/>
    <w:multiLevelType w:val="multilevel"/>
    <w:tmpl w:val="B0C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39C7C37"/>
    <w:multiLevelType w:val="hybridMultilevel"/>
    <w:tmpl w:val="381C1B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C04422"/>
    <w:multiLevelType w:val="multilevel"/>
    <w:tmpl w:val="3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6573772"/>
    <w:multiLevelType w:val="multilevel"/>
    <w:tmpl w:val="8B0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6590820"/>
    <w:multiLevelType w:val="multilevel"/>
    <w:tmpl w:val="E20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7351161"/>
    <w:multiLevelType w:val="multilevel"/>
    <w:tmpl w:val="BDD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FA3D5D"/>
    <w:multiLevelType w:val="multilevel"/>
    <w:tmpl w:val="A5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A1975C6"/>
    <w:multiLevelType w:val="multilevel"/>
    <w:tmpl w:val="22F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B832D94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B8B4CA1"/>
    <w:multiLevelType w:val="multilevel"/>
    <w:tmpl w:val="E8E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B8D201A"/>
    <w:multiLevelType w:val="hybridMultilevel"/>
    <w:tmpl w:val="981600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B93056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9711D9"/>
    <w:multiLevelType w:val="multilevel"/>
    <w:tmpl w:val="EA7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3B3FC8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984034">
    <w:abstractNumId w:val="42"/>
  </w:num>
  <w:num w:numId="2" w16cid:durableId="1616449306">
    <w:abstractNumId w:val="16"/>
  </w:num>
  <w:num w:numId="3" w16cid:durableId="1032222847">
    <w:abstractNumId w:val="116"/>
  </w:num>
  <w:num w:numId="4" w16cid:durableId="1215042456">
    <w:abstractNumId w:val="97"/>
  </w:num>
  <w:num w:numId="5" w16cid:durableId="272977350">
    <w:abstractNumId w:val="84"/>
  </w:num>
  <w:num w:numId="6" w16cid:durableId="547112220">
    <w:abstractNumId w:val="117"/>
  </w:num>
  <w:num w:numId="7" w16cid:durableId="73089774">
    <w:abstractNumId w:val="96"/>
  </w:num>
  <w:num w:numId="8" w16cid:durableId="18745405">
    <w:abstractNumId w:val="94"/>
  </w:num>
  <w:num w:numId="9" w16cid:durableId="1598052001">
    <w:abstractNumId w:val="40"/>
  </w:num>
  <w:num w:numId="10" w16cid:durableId="109126603">
    <w:abstractNumId w:val="89"/>
  </w:num>
  <w:num w:numId="11" w16cid:durableId="1138184454">
    <w:abstractNumId w:val="13"/>
  </w:num>
  <w:num w:numId="12" w16cid:durableId="1913271040">
    <w:abstractNumId w:val="58"/>
  </w:num>
  <w:num w:numId="13" w16cid:durableId="1650790915">
    <w:abstractNumId w:val="49"/>
  </w:num>
  <w:num w:numId="14" w16cid:durableId="1173881109">
    <w:abstractNumId w:val="59"/>
  </w:num>
  <w:num w:numId="15" w16cid:durableId="1048724254">
    <w:abstractNumId w:val="15"/>
  </w:num>
  <w:num w:numId="16" w16cid:durableId="2034728586">
    <w:abstractNumId w:val="82"/>
  </w:num>
  <w:num w:numId="17" w16cid:durableId="2140343671">
    <w:abstractNumId w:val="64"/>
  </w:num>
  <w:num w:numId="18" w16cid:durableId="631132654">
    <w:abstractNumId w:val="76"/>
  </w:num>
  <w:num w:numId="19" w16cid:durableId="24597995">
    <w:abstractNumId w:val="72"/>
  </w:num>
  <w:num w:numId="20" w16cid:durableId="81144291">
    <w:abstractNumId w:val="36"/>
  </w:num>
  <w:num w:numId="21" w16cid:durableId="1602378773">
    <w:abstractNumId w:val="83"/>
  </w:num>
  <w:num w:numId="22" w16cid:durableId="1272472155">
    <w:abstractNumId w:val="107"/>
  </w:num>
  <w:num w:numId="23" w16cid:durableId="1611736072">
    <w:abstractNumId w:val="9"/>
  </w:num>
  <w:num w:numId="24" w16cid:durableId="873031723">
    <w:abstractNumId w:val="109"/>
  </w:num>
  <w:num w:numId="25" w16cid:durableId="1590889943">
    <w:abstractNumId w:val="39"/>
  </w:num>
  <w:num w:numId="26" w16cid:durableId="1316447800">
    <w:abstractNumId w:val="41"/>
  </w:num>
  <w:num w:numId="27" w16cid:durableId="520824792">
    <w:abstractNumId w:val="91"/>
  </w:num>
  <w:num w:numId="28" w16cid:durableId="637758818">
    <w:abstractNumId w:val="71"/>
  </w:num>
  <w:num w:numId="29" w16cid:durableId="325475514">
    <w:abstractNumId w:val="103"/>
  </w:num>
  <w:num w:numId="30" w16cid:durableId="666058225">
    <w:abstractNumId w:val="67"/>
  </w:num>
  <w:num w:numId="31" w16cid:durableId="74211860">
    <w:abstractNumId w:val="18"/>
  </w:num>
  <w:num w:numId="32" w16cid:durableId="114644129">
    <w:abstractNumId w:val="88"/>
  </w:num>
  <w:num w:numId="33" w16cid:durableId="829835238">
    <w:abstractNumId w:val="43"/>
  </w:num>
  <w:num w:numId="34" w16cid:durableId="1063794378">
    <w:abstractNumId w:val="11"/>
  </w:num>
  <w:num w:numId="35" w16cid:durableId="471141619">
    <w:abstractNumId w:val="21"/>
  </w:num>
  <w:num w:numId="36" w16cid:durableId="1105072255">
    <w:abstractNumId w:val="106"/>
  </w:num>
  <w:num w:numId="37" w16cid:durableId="247077197">
    <w:abstractNumId w:val="70"/>
  </w:num>
  <w:num w:numId="38" w16cid:durableId="1521239813">
    <w:abstractNumId w:val="7"/>
  </w:num>
  <w:num w:numId="39" w16cid:durableId="94592731">
    <w:abstractNumId w:val="57"/>
  </w:num>
  <w:num w:numId="40" w16cid:durableId="882248052">
    <w:abstractNumId w:val="86"/>
  </w:num>
  <w:num w:numId="41" w16cid:durableId="435946446">
    <w:abstractNumId w:val="34"/>
  </w:num>
  <w:num w:numId="42" w16cid:durableId="320961279">
    <w:abstractNumId w:val="19"/>
  </w:num>
  <w:num w:numId="43" w16cid:durableId="1354841778">
    <w:abstractNumId w:val="101"/>
  </w:num>
  <w:num w:numId="44" w16cid:durableId="1543983638">
    <w:abstractNumId w:val="115"/>
  </w:num>
  <w:num w:numId="45" w16cid:durableId="883058979">
    <w:abstractNumId w:val="0"/>
  </w:num>
  <w:num w:numId="46" w16cid:durableId="129134975">
    <w:abstractNumId w:val="80"/>
  </w:num>
  <w:num w:numId="47" w16cid:durableId="1061294433">
    <w:abstractNumId w:val="108"/>
  </w:num>
  <w:num w:numId="48" w16cid:durableId="8141422">
    <w:abstractNumId w:val="78"/>
  </w:num>
  <w:num w:numId="49" w16cid:durableId="1800804623">
    <w:abstractNumId w:val="111"/>
  </w:num>
  <w:num w:numId="50" w16cid:durableId="1592854287">
    <w:abstractNumId w:val="6"/>
  </w:num>
  <w:num w:numId="51" w16cid:durableId="1916011000">
    <w:abstractNumId w:val="45"/>
  </w:num>
  <w:num w:numId="52" w16cid:durableId="999383175">
    <w:abstractNumId w:val="79"/>
  </w:num>
  <w:num w:numId="53" w16cid:durableId="198326288">
    <w:abstractNumId w:val="77"/>
  </w:num>
  <w:num w:numId="54" w16cid:durableId="2042894921">
    <w:abstractNumId w:val="25"/>
  </w:num>
  <w:num w:numId="55" w16cid:durableId="1497726308">
    <w:abstractNumId w:val="62"/>
  </w:num>
  <w:num w:numId="56" w16cid:durableId="2068261933">
    <w:abstractNumId w:val="92"/>
  </w:num>
  <w:num w:numId="57" w16cid:durableId="338971191">
    <w:abstractNumId w:val="95"/>
  </w:num>
  <w:num w:numId="58" w16cid:durableId="457801138">
    <w:abstractNumId w:val="46"/>
  </w:num>
  <w:num w:numId="59" w16cid:durableId="128784786">
    <w:abstractNumId w:val="50"/>
  </w:num>
  <w:num w:numId="60" w16cid:durableId="1233812952">
    <w:abstractNumId w:val="14"/>
  </w:num>
  <w:num w:numId="61" w16cid:durableId="1294485066">
    <w:abstractNumId w:val="63"/>
  </w:num>
  <w:num w:numId="62" w16cid:durableId="749548080">
    <w:abstractNumId w:val="37"/>
  </w:num>
  <w:num w:numId="63" w16cid:durableId="34357996">
    <w:abstractNumId w:val="30"/>
  </w:num>
  <w:num w:numId="64" w16cid:durableId="1557549369">
    <w:abstractNumId w:val="51"/>
  </w:num>
  <w:num w:numId="65" w16cid:durableId="1684436761">
    <w:abstractNumId w:val="53"/>
  </w:num>
  <w:num w:numId="66" w16cid:durableId="824317758">
    <w:abstractNumId w:val="87"/>
  </w:num>
  <w:num w:numId="67" w16cid:durableId="1580284807">
    <w:abstractNumId w:val="113"/>
  </w:num>
  <w:num w:numId="68" w16cid:durableId="1625424765">
    <w:abstractNumId w:val="102"/>
  </w:num>
  <w:num w:numId="69" w16cid:durableId="1121461487">
    <w:abstractNumId w:val="23"/>
  </w:num>
  <w:num w:numId="70" w16cid:durableId="662244383">
    <w:abstractNumId w:val="44"/>
  </w:num>
  <w:num w:numId="71" w16cid:durableId="754548691">
    <w:abstractNumId w:val="20"/>
  </w:num>
  <w:num w:numId="72" w16cid:durableId="792554484">
    <w:abstractNumId w:val="48"/>
  </w:num>
  <w:num w:numId="73" w16cid:durableId="1170024508">
    <w:abstractNumId w:val="60"/>
  </w:num>
  <w:num w:numId="74" w16cid:durableId="1551962536">
    <w:abstractNumId w:val="17"/>
  </w:num>
  <w:num w:numId="75" w16cid:durableId="1870219090">
    <w:abstractNumId w:val="68"/>
  </w:num>
  <w:num w:numId="76" w16cid:durableId="302394928">
    <w:abstractNumId w:val="27"/>
  </w:num>
  <w:num w:numId="77" w16cid:durableId="853375169">
    <w:abstractNumId w:val="81"/>
  </w:num>
  <w:num w:numId="78" w16cid:durableId="1535001731">
    <w:abstractNumId w:val="24"/>
  </w:num>
  <w:num w:numId="79" w16cid:durableId="1019552916">
    <w:abstractNumId w:val="100"/>
  </w:num>
  <w:num w:numId="80" w16cid:durableId="1214847217">
    <w:abstractNumId w:val="8"/>
  </w:num>
  <w:num w:numId="81" w16cid:durableId="564342597">
    <w:abstractNumId w:val="47"/>
  </w:num>
  <w:num w:numId="82" w16cid:durableId="1335113926">
    <w:abstractNumId w:val="32"/>
  </w:num>
  <w:num w:numId="83" w16cid:durableId="1406026562">
    <w:abstractNumId w:val="66"/>
  </w:num>
  <w:num w:numId="84" w16cid:durableId="1189831280">
    <w:abstractNumId w:val="104"/>
  </w:num>
  <w:num w:numId="85" w16cid:durableId="1736321754">
    <w:abstractNumId w:val="112"/>
  </w:num>
  <w:num w:numId="86" w16cid:durableId="2024699954">
    <w:abstractNumId w:val="56"/>
  </w:num>
  <w:num w:numId="87" w16cid:durableId="73086295">
    <w:abstractNumId w:val="105"/>
  </w:num>
  <w:num w:numId="88" w16cid:durableId="1079206759">
    <w:abstractNumId w:val="110"/>
  </w:num>
  <w:num w:numId="89" w16cid:durableId="1578828011">
    <w:abstractNumId w:val="65"/>
  </w:num>
  <w:num w:numId="90" w16cid:durableId="1130634815">
    <w:abstractNumId w:val="114"/>
  </w:num>
  <w:num w:numId="91" w16cid:durableId="1452358041">
    <w:abstractNumId w:val="2"/>
  </w:num>
  <w:num w:numId="92" w16cid:durableId="74210657">
    <w:abstractNumId w:val="3"/>
  </w:num>
  <w:num w:numId="93" w16cid:durableId="1295796436">
    <w:abstractNumId w:val="90"/>
  </w:num>
  <w:num w:numId="94" w16cid:durableId="757677746">
    <w:abstractNumId w:val="29"/>
  </w:num>
  <w:num w:numId="95" w16cid:durableId="1755393778">
    <w:abstractNumId w:val="93"/>
  </w:num>
  <w:num w:numId="96" w16cid:durableId="447817760">
    <w:abstractNumId w:val="38"/>
  </w:num>
  <w:num w:numId="97" w16cid:durableId="646936285">
    <w:abstractNumId w:val="4"/>
  </w:num>
  <w:num w:numId="98" w16cid:durableId="1080639704">
    <w:abstractNumId w:val="74"/>
  </w:num>
  <w:num w:numId="99" w16cid:durableId="404768243">
    <w:abstractNumId w:val="69"/>
  </w:num>
  <w:num w:numId="100" w16cid:durableId="1524055348">
    <w:abstractNumId w:val="61"/>
  </w:num>
  <w:num w:numId="101" w16cid:durableId="1836340396">
    <w:abstractNumId w:val="54"/>
  </w:num>
  <w:num w:numId="102" w16cid:durableId="2128966238">
    <w:abstractNumId w:val="33"/>
  </w:num>
  <w:num w:numId="103" w16cid:durableId="2134862282">
    <w:abstractNumId w:val="75"/>
  </w:num>
  <w:num w:numId="104" w16cid:durableId="323096104">
    <w:abstractNumId w:val="55"/>
  </w:num>
  <w:num w:numId="105" w16cid:durableId="1981227060">
    <w:abstractNumId w:val="1"/>
  </w:num>
  <w:num w:numId="106" w16cid:durableId="25714510">
    <w:abstractNumId w:val="26"/>
  </w:num>
  <w:num w:numId="107" w16cid:durableId="757483001">
    <w:abstractNumId w:val="99"/>
  </w:num>
  <w:num w:numId="108" w16cid:durableId="567762273">
    <w:abstractNumId w:val="22"/>
  </w:num>
  <w:num w:numId="109" w16cid:durableId="861741652">
    <w:abstractNumId w:val="12"/>
  </w:num>
  <w:num w:numId="110" w16cid:durableId="1142624063">
    <w:abstractNumId w:val="73"/>
  </w:num>
  <w:num w:numId="111" w16cid:durableId="691734207">
    <w:abstractNumId w:val="10"/>
  </w:num>
  <w:num w:numId="112" w16cid:durableId="786124057">
    <w:abstractNumId w:val="98"/>
  </w:num>
  <w:num w:numId="113" w16cid:durableId="615521306">
    <w:abstractNumId w:val="118"/>
  </w:num>
  <w:num w:numId="114" w16cid:durableId="717751301">
    <w:abstractNumId w:val="52"/>
  </w:num>
  <w:num w:numId="115" w16cid:durableId="1579168414">
    <w:abstractNumId w:val="85"/>
  </w:num>
  <w:num w:numId="116" w16cid:durableId="816805899">
    <w:abstractNumId w:val="28"/>
  </w:num>
  <w:num w:numId="117" w16cid:durableId="659234301">
    <w:abstractNumId w:val="31"/>
  </w:num>
  <w:num w:numId="118" w16cid:durableId="1105148775">
    <w:abstractNumId w:val="35"/>
  </w:num>
  <w:num w:numId="119" w16cid:durableId="629173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3158E"/>
    <w:rsid w:val="00066147"/>
    <w:rsid w:val="00103F85"/>
    <w:rsid w:val="00127776"/>
    <w:rsid w:val="0014661B"/>
    <w:rsid w:val="00152993"/>
    <w:rsid w:val="001870EA"/>
    <w:rsid w:val="001A066E"/>
    <w:rsid w:val="001D6BB9"/>
    <w:rsid w:val="00247F9B"/>
    <w:rsid w:val="0025491C"/>
    <w:rsid w:val="00295467"/>
    <w:rsid w:val="00297CDB"/>
    <w:rsid w:val="002B5D39"/>
    <w:rsid w:val="002C3C50"/>
    <w:rsid w:val="002C591A"/>
    <w:rsid w:val="003112A1"/>
    <w:rsid w:val="00350F08"/>
    <w:rsid w:val="003C4B82"/>
    <w:rsid w:val="004954FD"/>
    <w:rsid w:val="00552CA3"/>
    <w:rsid w:val="00590F00"/>
    <w:rsid w:val="005C7045"/>
    <w:rsid w:val="005E6041"/>
    <w:rsid w:val="005F73FB"/>
    <w:rsid w:val="006114DD"/>
    <w:rsid w:val="00626F87"/>
    <w:rsid w:val="006279D7"/>
    <w:rsid w:val="00642662"/>
    <w:rsid w:val="006F7781"/>
    <w:rsid w:val="00711D97"/>
    <w:rsid w:val="0074796A"/>
    <w:rsid w:val="007A01DE"/>
    <w:rsid w:val="007A32A6"/>
    <w:rsid w:val="007C2F33"/>
    <w:rsid w:val="007D1AB0"/>
    <w:rsid w:val="007D22D2"/>
    <w:rsid w:val="007F4F9C"/>
    <w:rsid w:val="00876E53"/>
    <w:rsid w:val="008770D1"/>
    <w:rsid w:val="00885B1C"/>
    <w:rsid w:val="008942D2"/>
    <w:rsid w:val="00895224"/>
    <w:rsid w:val="008A69C3"/>
    <w:rsid w:val="008C592E"/>
    <w:rsid w:val="008D0C38"/>
    <w:rsid w:val="00933D2D"/>
    <w:rsid w:val="0098236B"/>
    <w:rsid w:val="009967F0"/>
    <w:rsid w:val="009C60ED"/>
    <w:rsid w:val="009E3165"/>
    <w:rsid w:val="00A26AED"/>
    <w:rsid w:val="00A7072B"/>
    <w:rsid w:val="00AB7FF6"/>
    <w:rsid w:val="00AC1C5E"/>
    <w:rsid w:val="00AC7A9B"/>
    <w:rsid w:val="00AD6440"/>
    <w:rsid w:val="00AF560E"/>
    <w:rsid w:val="00B00F0F"/>
    <w:rsid w:val="00B32CCB"/>
    <w:rsid w:val="00B9032B"/>
    <w:rsid w:val="00B96339"/>
    <w:rsid w:val="00BA06A9"/>
    <w:rsid w:val="00BB77D2"/>
    <w:rsid w:val="00BE6D05"/>
    <w:rsid w:val="00BF7CA1"/>
    <w:rsid w:val="00C84F82"/>
    <w:rsid w:val="00CB697B"/>
    <w:rsid w:val="00CD37F4"/>
    <w:rsid w:val="00CD76FA"/>
    <w:rsid w:val="00D22277"/>
    <w:rsid w:val="00D30BC5"/>
    <w:rsid w:val="00D34ABB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F651EE"/>
    <w:rsid w:val="00F65773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9967F0"/>
    <w:pPr>
      <w:keepNext/>
      <w:keepLines/>
      <w:spacing w:before="160" w:after="0"/>
      <w:outlineLvl w:val="1"/>
    </w:pPr>
    <w:rPr>
      <w:rFonts w:ascii="Times New Roman" w:eastAsiaTheme="majorEastAsia" w:hAnsi="Times New Roman" w:cs="Times New Roman"/>
      <w:b/>
      <w:sz w:val="36"/>
      <w:szCs w:val="36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D34ABB"/>
    <w:pPr>
      <w:keepNext/>
      <w:keepLines/>
      <w:spacing w:before="160" w:after="80"/>
      <w:outlineLvl w:val="2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9967F0"/>
    <w:rPr>
      <w:rFonts w:ascii="Times New Roman" w:eastAsiaTheme="majorEastAsia" w:hAnsi="Times New Roman" w:cs="Times New Roman"/>
      <w:b/>
      <w:kern w:val="0"/>
      <w:sz w:val="36"/>
      <w:szCs w:val="36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D34ABB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96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2025-10-05T17:23:00Z</dcterms:created>
  <dcterms:modified xsi:type="dcterms:W3CDTF">2025-10-05T17:23:00Z</dcterms:modified>
</cp:coreProperties>
</file>