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C0D" w:rsidRDefault="0068197C" w:rsidP="00934463">
      <w:pPr>
        <w:spacing w:after="0"/>
        <w:jc w:val="center"/>
        <w:rPr>
          <w:rFonts w:asciiTheme="majorHAnsi" w:hAnsiTheme="majorHAnsi"/>
          <w:b/>
          <w:sz w:val="24"/>
          <w:szCs w:val="24"/>
        </w:rPr>
      </w:pPr>
      <w:r>
        <w:rPr>
          <w:noProof/>
          <w:lang w:val="en-US" w:eastAsia="en-US"/>
        </w:rPr>
        <w:drawing>
          <wp:inline distT="0" distB="0" distL="0" distR="0" wp14:anchorId="41FC9AD2" wp14:editId="41C03343">
            <wp:extent cx="714375" cy="1257300"/>
            <wp:effectExtent l="0" t="0" r="9525" b="0"/>
            <wp:docPr id="1" name="Picture 1" descr="gtn-logo"/>
            <wp:cNvGraphicFramePr/>
            <a:graphic xmlns:a="http://schemas.openxmlformats.org/drawingml/2006/main">
              <a:graphicData uri="http://schemas.openxmlformats.org/drawingml/2006/picture">
                <pic:pic xmlns:pic="http://schemas.openxmlformats.org/drawingml/2006/picture">
                  <pic:nvPicPr>
                    <pic:cNvPr id="1" name="Picture 1" descr="gtn-logo"/>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4375" cy="1257300"/>
                    </a:xfrm>
                    <a:prstGeom prst="rect">
                      <a:avLst/>
                    </a:prstGeom>
                    <a:noFill/>
                  </pic:spPr>
                </pic:pic>
              </a:graphicData>
            </a:graphic>
          </wp:inline>
        </w:drawing>
      </w:r>
    </w:p>
    <w:p w:rsidR="008D733A" w:rsidRDefault="008D733A" w:rsidP="00934463">
      <w:pPr>
        <w:spacing w:after="0"/>
        <w:jc w:val="center"/>
        <w:rPr>
          <w:rFonts w:asciiTheme="majorHAnsi" w:hAnsiTheme="majorHAnsi"/>
          <w:b/>
          <w:sz w:val="32"/>
          <w:szCs w:val="32"/>
        </w:rPr>
      </w:pPr>
    </w:p>
    <w:p w:rsidR="00532C0D" w:rsidRPr="00532C0D" w:rsidRDefault="009C6008" w:rsidP="00934463">
      <w:pPr>
        <w:spacing w:after="0"/>
        <w:jc w:val="center"/>
        <w:rPr>
          <w:rFonts w:asciiTheme="majorHAnsi" w:hAnsiTheme="majorHAnsi"/>
          <w:b/>
          <w:sz w:val="32"/>
          <w:szCs w:val="32"/>
        </w:rPr>
      </w:pPr>
      <w:r>
        <w:rPr>
          <w:rFonts w:asciiTheme="majorHAnsi" w:hAnsiTheme="majorHAnsi"/>
          <w:b/>
          <w:sz w:val="32"/>
          <w:szCs w:val="32"/>
        </w:rPr>
        <w:t>GTN INDUSTRIES</w:t>
      </w:r>
      <w:bookmarkStart w:id="0" w:name="_GoBack"/>
      <w:bookmarkEnd w:id="0"/>
      <w:r w:rsidR="00532C0D" w:rsidRPr="00532C0D">
        <w:rPr>
          <w:rFonts w:asciiTheme="majorHAnsi" w:hAnsiTheme="majorHAnsi"/>
          <w:b/>
          <w:sz w:val="32"/>
          <w:szCs w:val="32"/>
        </w:rPr>
        <w:t xml:space="preserve"> LIMITED</w:t>
      </w:r>
    </w:p>
    <w:p w:rsidR="00532C0D" w:rsidRPr="00532C0D" w:rsidRDefault="00532C0D" w:rsidP="00934463">
      <w:pPr>
        <w:spacing w:after="0"/>
        <w:jc w:val="center"/>
        <w:rPr>
          <w:rFonts w:asciiTheme="majorHAnsi" w:hAnsiTheme="majorHAnsi"/>
          <w:b/>
          <w:sz w:val="32"/>
          <w:szCs w:val="32"/>
        </w:rPr>
      </w:pPr>
      <w:r w:rsidRPr="00532C0D">
        <w:rPr>
          <w:rFonts w:asciiTheme="majorHAnsi" w:hAnsiTheme="majorHAnsi"/>
          <w:b/>
          <w:sz w:val="32"/>
          <w:szCs w:val="32"/>
        </w:rPr>
        <w:t>POLICY ON MATERIAL SUBSIDIARIES</w:t>
      </w:r>
    </w:p>
    <w:p w:rsidR="00226219" w:rsidRPr="007C6ED6" w:rsidRDefault="00226219" w:rsidP="00934463">
      <w:pPr>
        <w:spacing w:after="0"/>
        <w:rPr>
          <w:rFonts w:asciiTheme="majorHAnsi" w:hAnsiTheme="majorHAnsi"/>
          <w:sz w:val="24"/>
          <w:szCs w:val="24"/>
        </w:rPr>
      </w:pPr>
    </w:p>
    <w:p w:rsidR="00226219" w:rsidRPr="007C6ED6" w:rsidRDefault="0030129A" w:rsidP="00934463">
      <w:pPr>
        <w:pStyle w:val="ListParagraph"/>
        <w:numPr>
          <w:ilvl w:val="0"/>
          <w:numId w:val="1"/>
        </w:numPr>
        <w:spacing w:after="0"/>
        <w:ind w:left="284" w:hanging="426"/>
        <w:rPr>
          <w:rFonts w:asciiTheme="majorHAnsi" w:hAnsiTheme="majorHAnsi"/>
          <w:b/>
          <w:sz w:val="24"/>
          <w:szCs w:val="24"/>
        </w:rPr>
      </w:pPr>
      <w:r w:rsidRPr="007C6ED6">
        <w:rPr>
          <w:rFonts w:asciiTheme="majorHAnsi" w:hAnsiTheme="majorHAnsi"/>
          <w:b/>
          <w:sz w:val="24"/>
          <w:szCs w:val="24"/>
        </w:rPr>
        <w:t>SCOPE AND PURPOSE OF THE POLICY:</w:t>
      </w:r>
    </w:p>
    <w:p w:rsidR="0030129A" w:rsidRPr="007C6ED6" w:rsidRDefault="0030129A" w:rsidP="00934463">
      <w:pPr>
        <w:pStyle w:val="ListParagraph"/>
        <w:spacing w:after="0"/>
        <w:ind w:left="284"/>
        <w:jc w:val="both"/>
        <w:rPr>
          <w:rFonts w:asciiTheme="majorHAnsi" w:hAnsiTheme="majorHAnsi"/>
          <w:sz w:val="24"/>
          <w:szCs w:val="24"/>
        </w:rPr>
      </w:pPr>
    </w:p>
    <w:p w:rsidR="0030129A" w:rsidRDefault="0030129A" w:rsidP="00934463">
      <w:pPr>
        <w:pStyle w:val="ListParagraph"/>
        <w:spacing w:after="0"/>
        <w:ind w:left="284"/>
        <w:jc w:val="both"/>
        <w:rPr>
          <w:rFonts w:asciiTheme="majorHAnsi" w:hAnsiTheme="majorHAnsi"/>
          <w:sz w:val="24"/>
          <w:szCs w:val="24"/>
        </w:rPr>
      </w:pPr>
      <w:r w:rsidRPr="007C6ED6">
        <w:rPr>
          <w:rFonts w:asciiTheme="majorHAnsi" w:hAnsiTheme="majorHAnsi"/>
          <w:sz w:val="24"/>
          <w:szCs w:val="24"/>
        </w:rPr>
        <w:t xml:space="preserve">The Purpose of this Policy is to determine Material Subsidiaries and Disclosure thereof </w:t>
      </w:r>
      <w:r w:rsidR="00795544">
        <w:rPr>
          <w:rFonts w:asciiTheme="majorHAnsi" w:hAnsiTheme="majorHAnsi"/>
          <w:sz w:val="24"/>
          <w:szCs w:val="24"/>
        </w:rPr>
        <w:t xml:space="preserve">as required </w:t>
      </w:r>
      <w:r w:rsidR="00423EE6">
        <w:rPr>
          <w:rFonts w:asciiTheme="majorHAnsi" w:hAnsiTheme="majorHAnsi"/>
          <w:sz w:val="24"/>
          <w:szCs w:val="24"/>
        </w:rPr>
        <w:t xml:space="preserve">under </w:t>
      </w:r>
      <w:r w:rsidR="00795544">
        <w:rPr>
          <w:rFonts w:asciiTheme="majorHAnsi" w:hAnsiTheme="majorHAnsi"/>
          <w:sz w:val="24"/>
          <w:szCs w:val="24"/>
        </w:rPr>
        <w:t>Regulation 16(1</w:t>
      </w:r>
      <w:proofErr w:type="gramStart"/>
      <w:r w:rsidR="00795544">
        <w:rPr>
          <w:rFonts w:asciiTheme="majorHAnsi" w:hAnsiTheme="majorHAnsi"/>
          <w:sz w:val="24"/>
          <w:szCs w:val="24"/>
        </w:rPr>
        <w:t>)</w:t>
      </w:r>
      <w:r w:rsidRPr="007C6ED6">
        <w:rPr>
          <w:rFonts w:asciiTheme="majorHAnsi" w:hAnsiTheme="majorHAnsi"/>
          <w:sz w:val="24"/>
          <w:szCs w:val="24"/>
        </w:rPr>
        <w:t>(</w:t>
      </w:r>
      <w:proofErr w:type="gramEnd"/>
      <w:r w:rsidRPr="007C6ED6">
        <w:rPr>
          <w:rFonts w:asciiTheme="majorHAnsi" w:hAnsiTheme="majorHAnsi"/>
          <w:sz w:val="24"/>
          <w:szCs w:val="24"/>
        </w:rPr>
        <w:t>c) of Securities and Exchange Board of India (Listing Obligation and Disclosure Requirements) Regulations, 2015.</w:t>
      </w:r>
    </w:p>
    <w:p w:rsidR="00532714" w:rsidRPr="006F5760" w:rsidRDefault="00532714" w:rsidP="006F5760">
      <w:pPr>
        <w:spacing w:after="0"/>
        <w:jc w:val="both"/>
        <w:rPr>
          <w:rFonts w:asciiTheme="majorHAnsi" w:hAnsiTheme="majorHAnsi"/>
          <w:sz w:val="24"/>
          <w:szCs w:val="24"/>
        </w:rPr>
      </w:pPr>
    </w:p>
    <w:p w:rsidR="0030129A" w:rsidRPr="007C6ED6" w:rsidRDefault="00B643BB" w:rsidP="00934463">
      <w:pPr>
        <w:pStyle w:val="ListParagraph"/>
        <w:numPr>
          <w:ilvl w:val="0"/>
          <w:numId w:val="1"/>
        </w:numPr>
        <w:spacing w:after="0"/>
        <w:ind w:left="284" w:hanging="426"/>
        <w:jc w:val="both"/>
        <w:rPr>
          <w:rFonts w:asciiTheme="majorHAnsi" w:hAnsiTheme="majorHAnsi"/>
          <w:b/>
          <w:sz w:val="24"/>
          <w:szCs w:val="24"/>
        </w:rPr>
      </w:pPr>
      <w:r w:rsidRPr="007C6ED6">
        <w:rPr>
          <w:rFonts w:asciiTheme="majorHAnsi" w:hAnsiTheme="majorHAnsi"/>
          <w:b/>
          <w:sz w:val="24"/>
          <w:szCs w:val="24"/>
        </w:rPr>
        <w:t>OBJECTIVE:</w:t>
      </w:r>
    </w:p>
    <w:p w:rsidR="0030129A" w:rsidRPr="007C6ED6" w:rsidRDefault="0030129A" w:rsidP="00934463">
      <w:pPr>
        <w:pStyle w:val="ListParagraph"/>
        <w:spacing w:after="0"/>
        <w:ind w:left="284"/>
        <w:jc w:val="both"/>
        <w:rPr>
          <w:rFonts w:asciiTheme="majorHAnsi" w:hAnsiTheme="majorHAnsi"/>
          <w:b/>
          <w:sz w:val="24"/>
          <w:szCs w:val="24"/>
        </w:rPr>
      </w:pPr>
    </w:p>
    <w:p w:rsidR="0030129A" w:rsidRPr="007C6ED6" w:rsidRDefault="00423EE6" w:rsidP="00934463">
      <w:pPr>
        <w:pStyle w:val="ListParagraph"/>
        <w:spacing w:after="0"/>
        <w:ind w:left="284"/>
        <w:jc w:val="both"/>
        <w:rPr>
          <w:rFonts w:asciiTheme="majorHAnsi" w:hAnsiTheme="majorHAnsi"/>
          <w:sz w:val="24"/>
          <w:szCs w:val="24"/>
        </w:rPr>
      </w:pPr>
      <w:r>
        <w:rPr>
          <w:rFonts w:asciiTheme="majorHAnsi" w:hAnsiTheme="majorHAnsi"/>
          <w:sz w:val="24"/>
          <w:szCs w:val="24"/>
        </w:rPr>
        <w:t>This</w:t>
      </w:r>
      <w:r w:rsidR="00B643BB" w:rsidRPr="007C6ED6">
        <w:rPr>
          <w:rFonts w:asciiTheme="majorHAnsi" w:hAnsiTheme="majorHAnsi"/>
          <w:sz w:val="24"/>
          <w:szCs w:val="24"/>
        </w:rPr>
        <w:t xml:space="preserve"> Policy has been framed to determine the Material Subsidiaries of Prime Urban Development India Limited</w:t>
      </w:r>
      <w:r>
        <w:rPr>
          <w:rFonts w:asciiTheme="majorHAnsi" w:hAnsiTheme="majorHAnsi"/>
          <w:sz w:val="24"/>
          <w:szCs w:val="24"/>
        </w:rPr>
        <w:t xml:space="preserve"> (the “Company”) and to provide the governance framework for such Subsidiaries</w:t>
      </w:r>
      <w:r w:rsidR="00B643BB" w:rsidRPr="007C6ED6">
        <w:rPr>
          <w:rFonts w:asciiTheme="majorHAnsi" w:hAnsiTheme="majorHAnsi"/>
          <w:sz w:val="24"/>
          <w:szCs w:val="24"/>
        </w:rPr>
        <w:t>.</w:t>
      </w:r>
    </w:p>
    <w:p w:rsidR="00B643BB" w:rsidRPr="007C6ED6" w:rsidRDefault="00B643BB" w:rsidP="00934463">
      <w:pPr>
        <w:pStyle w:val="ListParagraph"/>
        <w:spacing w:after="0"/>
        <w:ind w:left="284"/>
        <w:rPr>
          <w:rFonts w:asciiTheme="majorHAnsi" w:hAnsiTheme="majorHAnsi"/>
          <w:sz w:val="24"/>
          <w:szCs w:val="24"/>
        </w:rPr>
      </w:pPr>
    </w:p>
    <w:p w:rsidR="00E9051C" w:rsidRPr="007C6ED6" w:rsidRDefault="00E9051C" w:rsidP="00934463">
      <w:pPr>
        <w:pStyle w:val="ListParagraph"/>
        <w:numPr>
          <w:ilvl w:val="0"/>
          <w:numId w:val="1"/>
        </w:numPr>
        <w:spacing w:after="0"/>
        <w:ind w:left="284" w:hanging="426"/>
        <w:rPr>
          <w:rFonts w:asciiTheme="majorHAnsi" w:hAnsiTheme="majorHAnsi"/>
          <w:b/>
          <w:sz w:val="24"/>
          <w:szCs w:val="24"/>
        </w:rPr>
      </w:pPr>
      <w:r w:rsidRPr="007C6ED6">
        <w:rPr>
          <w:rFonts w:asciiTheme="majorHAnsi" w:hAnsiTheme="majorHAnsi"/>
          <w:b/>
          <w:sz w:val="24"/>
          <w:szCs w:val="24"/>
        </w:rPr>
        <w:t>DEFINITIONS:</w:t>
      </w:r>
    </w:p>
    <w:p w:rsidR="00E9051C" w:rsidRPr="007C6ED6" w:rsidRDefault="00E9051C" w:rsidP="00934463">
      <w:pPr>
        <w:pStyle w:val="ListParagraph"/>
        <w:spacing w:after="0"/>
        <w:ind w:left="284"/>
        <w:rPr>
          <w:rFonts w:asciiTheme="majorHAnsi" w:hAnsiTheme="majorHAnsi"/>
          <w:b/>
          <w:sz w:val="24"/>
          <w:szCs w:val="24"/>
        </w:rPr>
      </w:pPr>
    </w:p>
    <w:p w:rsidR="00E9051C" w:rsidRPr="007C6ED6" w:rsidRDefault="00E9051C" w:rsidP="00934463">
      <w:pPr>
        <w:pStyle w:val="ListParagraph"/>
        <w:spacing w:after="0"/>
        <w:ind w:left="284"/>
        <w:jc w:val="both"/>
        <w:rPr>
          <w:rFonts w:asciiTheme="majorHAnsi" w:hAnsiTheme="majorHAnsi"/>
          <w:b/>
          <w:sz w:val="24"/>
          <w:szCs w:val="24"/>
        </w:rPr>
      </w:pPr>
      <w:r w:rsidRPr="007C6ED6">
        <w:rPr>
          <w:rFonts w:asciiTheme="majorHAnsi" w:hAnsiTheme="majorHAnsi"/>
          <w:b/>
          <w:sz w:val="24"/>
          <w:szCs w:val="24"/>
        </w:rPr>
        <w:t xml:space="preserve">“Audit Committee or Committee” </w:t>
      </w:r>
      <w:r w:rsidRPr="007C6ED6">
        <w:rPr>
          <w:rFonts w:asciiTheme="majorHAnsi" w:hAnsiTheme="majorHAnsi"/>
          <w:sz w:val="24"/>
          <w:szCs w:val="24"/>
        </w:rPr>
        <w:t xml:space="preserve">means </w:t>
      </w:r>
      <w:r w:rsidR="00423EE6">
        <w:rPr>
          <w:rFonts w:asciiTheme="majorHAnsi" w:hAnsiTheme="majorHAnsi"/>
          <w:sz w:val="24"/>
          <w:szCs w:val="24"/>
        </w:rPr>
        <w:t>a Committee of Directors of the Company,</w:t>
      </w:r>
      <w:r w:rsidRPr="007C6ED6">
        <w:rPr>
          <w:rFonts w:asciiTheme="majorHAnsi" w:hAnsiTheme="majorHAnsi"/>
          <w:sz w:val="24"/>
          <w:szCs w:val="24"/>
        </w:rPr>
        <w:t xml:space="preserve"> </w:t>
      </w:r>
      <w:r w:rsidR="00423EE6">
        <w:rPr>
          <w:rFonts w:asciiTheme="majorHAnsi" w:hAnsiTheme="majorHAnsi"/>
          <w:sz w:val="24"/>
          <w:szCs w:val="24"/>
        </w:rPr>
        <w:t xml:space="preserve">as </w:t>
      </w:r>
      <w:r w:rsidRPr="007C6ED6">
        <w:rPr>
          <w:rFonts w:asciiTheme="majorHAnsi" w:hAnsiTheme="majorHAnsi"/>
          <w:sz w:val="24"/>
          <w:szCs w:val="24"/>
        </w:rPr>
        <w:t xml:space="preserve">constituted </w:t>
      </w:r>
      <w:r w:rsidR="00423EE6">
        <w:rPr>
          <w:rFonts w:asciiTheme="majorHAnsi" w:hAnsiTheme="majorHAnsi"/>
          <w:sz w:val="24"/>
          <w:szCs w:val="24"/>
        </w:rPr>
        <w:t xml:space="preserve">from time to time under Section 177 of the Companies Act, 2013 and Regulation 18 of the </w:t>
      </w:r>
      <w:r w:rsidR="00FB675C" w:rsidRPr="007C6ED6">
        <w:rPr>
          <w:rFonts w:asciiTheme="majorHAnsi" w:hAnsiTheme="majorHAnsi"/>
          <w:sz w:val="24"/>
          <w:szCs w:val="24"/>
        </w:rPr>
        <w:t>Securities and Exchange Board of India (Listing Obligation and Disclosure Requirements) Regulations, 2015</w:t>
      </w:r>
      <w:r w:rsidRPr="007C6ED6">
        <w:rPr>
          <w:rFonts w:asciiTheme="majorHAnsi" w:hAnsiTheme="majorHAnsi"/>
          <w:sz w:val="24"/>
          <w:szCs w:val="24"/>
        </w:rPr>
        <w:t>.</w:t>
      </w:r>
    </w:p>
    <w:p w:rsidR="00E9051C" w:rsidRPr="007C6ED6" w:rsidRDefault="00E9051C" w:rsidP="00934463">
      <w:pPr>
        <w:pStyle w:val="ListParagraph"/>
        <w:spacing w:after="0"/>
        <w:ind w:left="284"/>
        <w:jc w:val="both"/>
        <w:rPr>
          <w:rFonts w:asciiTheme="majorHAnsi" w:hAnsiTheme="majorHAnsi"/>
          <w:b/>
          <w:sz w:val="24"/>
          <w:szCs w:val="24"/>
        </w:rPr>
      </w:pPr>
    </w:p>
    <w:p w:rsidR="00E9051C" w:rsidRPr="007C6ED6" w:rsidRDefault="00E9051C" w:rsidP="00934463">
      <w:pPr>
        <w:pStyle w:val="ListParagraph"/>
        <w:spacing w:after="0"/>
        <w:ind w:left="284"/>
        <w:jc w:val="both"/>
        <w:rPr>
          <w:rFonts w:asciiTheme="majorHAnsi" w:hAnsiTheme="majorHAnsi"/>
          <w:b/>
          <w:sz w:val="24"/>
          <w:szCs w:val="24"/>
        </w:rPr>
      </w:pPr>
      <w:r w:rsidRPr="007C6ED6">
        <w:rPr>
          <w:rFonts w:asciiTheme="majorHAnsi" w:hAnsiTheme="majorHAnsi"/>
          <w:b/>
          <w:sz w:val="24"/>
          <w:szCs w:val="24"/>
        </w:rPr>
        <w:t xml:space="preserve">“Board of Directors” or “Board” </w:t>
      </w:r>
      <w:r w:rsidRPr="007C6ED6">
        <w:rPr>
          <w:rFonts w:asciiTheme="majorHAnsi" w:hAnsiTheme="majorHAnsi"/>
          <w:sz w:val="24"/>
          <w:szCs w:val="24"/>
        </w:rPr>
        <w:t>means the collective body of the Directors of the Company</w:t>
      </w:r>
      <w:r w:rsidR="00423EE6">
        <w:rPr>
          <w:rFonts w:asciiTheme="majorHAnsi" w:hAnsiTheme="majorHAnsi"/>
          <w:sz w:val="24"/>
          <w:szCs w:val="24"/>
        </w:rPr>
        <w:t>, as constituted from time to time</w:t>
      </w:r>
      <w:r w:rsidRPr="007C6ED6">
        <w:rPr>
          <w:rFonts w:asciiTheme="majorHAnsi" w:hAnsiTheme="majorHAnsi"/>
          <w:sz w:val="24"/>
          <w:szCs w:val="24"/>
        </w:rPr>
        <w:t xml:space="preserve">. </w:t>
      </w:r>
    </w:p>
    <w:p w:rsidR="003B098C" w:rsidRPr="007C6ED6" w:rsidRDefault="003B098C" w:rsidP="00934463">
      <w:pPr>
        <w:pStyle w:val="ListParagraph"/>
        <w:spacing w:after="0"/>
        <w:ind w:left="284"/>
        <w:jc w:val="both"/>
        <w:rPr>
          <w:rFonts w:asciiTheme="majorHAnsi" w:hAnsiTheme="majorHAnsi"/>
          <w:b/>
          <w:sz w:val="24"/>
          <w:szCs w:val="24"/>
        </w:rPr>
      </w:pPr>
    </w:p>
    <w:p w:rsidR="00E9051C" w:rsidRPr="007C6ED6" w:rsidRDefault="00E9051C" w:rsidP="00934463">
      <w:pPr>
        <w:pStyle w:val="ListParagraph"/>
        <w:spacing w:after="0"/>
        <w:ind w:left="284"/>
        <w:jc w:val="both"/>
        <w:rPr>
          <w:rFonts w:asciiTheme="majorHAnsi" w:hAnsiTheme="majorHAnsi"/>
          <w:b/>
          <w:sz w:val="24"/>
          <w:szCs w:val="24"/>
        </w:rPr>
      </w:pPr>
      <w:r w:rsidRPr="007C6ED6">
        <w:rPr>
          <w:rFonts w:asciiTheme="majorHAnsi" w:hAnsiTheme="majorHAnsi"/>
          <w:b/>
          <w:sz w:val="24"/>
          <w:szCs w:val="24"/>
        </w:rPr>
        <w:t xml:space="preserve">“Company”, “This Company”, “The Company”, </w:t>
      </w:r>
      <w:r w:rsidRPr="007C6ED6">
        <w:rPr>
          <w:rFonts w:asciiTheme="majorHAnsi" w:hAnsiTheme="majorHAnsi"/>
          <w:sz w:val="24"/>
          <w:szCs w:val="24"/>
        </w:rPr>
        <w:t>wherever occur in the policy shall mean “Prime Urban Development India Limited”.</w:t>
      </w:r>
      <w:r w:rsidRPr="007C6ED6">
        <w:rPr>
          <w:rFonts w:asciiTheme="majorHAnsi" w:hAnsiTheme="majorHAnsi"/>
          <w:b/>
          <w:sz w:val="24"/>
          <w:szCs w:val="24"/>
        </w:rPr>
        <w:t xml:space="preserve"> </w:t>
      </w:r>
    </w:p>
    <w:p w:rsidR="003B098C" w:rsidRPr="007C6ED6" w:rsidRDefault="003B098C" w:rsidP="00934463">
      <w:pPr>
        <w:pStyle w:val="ListParagraph"/>
        <w:spacing w:after="0"/>
        <w:ind w:left="284"/>
        <w:jc w:val="both"/>
        <w:rPr>
          <w:rFonts w:asciiTheme="majorHAnsi" w:hAnsiTheme="majorHAnsi"/>
          <w:b/>
          <w:sz w:val="24"/>
          <w:szCs w:val="24"/>
        </w:rPr>
      </w:pPr>
    </w:p>
    <w:p w:rsidR="00E9051C" w:rsidRPr="007C6ED6" w:rsidRDefault="00E9051C" w:rsidP="00934463">
      <w:pPr>
        <w:pStyle w:val="ListParagraph"/>
        <w:spacing w:after="0"/>
        <w:ind w:left="284"/>
        <w:jc w:val="both"/>
        <w:rPr>
          <w:rFonts w:asciiTheme="majorHAnsi" w:hAnsiTheme="majorHAnsi"/>
          <w:b/>
          <w:sz w:val="24"/>
          <w:szCs w:val="24"/>
        </w:rPr>
      </w:pPr>
      <w:r w:rsidRPr="007C6ED6">
        <w:rPr>
          <w:rFonts w:asciiTheme="majorHAnsi" w:hAnsiTheme="majorHAnsi"/>
          <w:b/>
          <w:sz w:val="24"/>
          <w:szCs w:val="24"/>
        </w:rPr>
        <w:t xml:space="preserve">“Control” </w:t>
      </w:r>
      <w:r w:rsidRPr="007C6ED6">
        <w:rPr>
          <w:rFonts w:asciiTheme="majorHAnsi" w:hAnsiTheme="majorHAnsi"/>
          <w:sz w:val="24"/>
          <w:szCs w:val="24"/>
        </w:rPr>
        <w:t xml:space="preserve">means the right to appoint majority of Directors </w:t>
      </w:r>
      <w:r w:rsidR="00E56236" w:rsidRPr="007C6ED6">
        <w:rPr>
          <w:rFonts w:asciiTheme="majorHAnsi" w:hAnsiTheme="majorHAnsi"/>
          <w:sz w:val="24"/>
          <w:szCs w:val="24"/>
        </w:rPr>
        <w:t>or to control the Management or policy decisions exercisable by a person or persons acting individually or in concert, directly or indirectly, including by virtue of their shareholding or management rights or shareholders agreements or voting  agreements or in any other manner.</w:t>
      </w:r>
    </w:p>
    <w:p w:rsidR="003B098C" w:rsidRPr="007C6ED6" w:rsidRDefault="003B098C" w:rsidP="00934463">
      <w:pPr>
        <w:pStyle w:val="ListParagraph"/>
        <w:spacing w:after="0"/>
        <w:ind w:left="284"/>
        <w:jc w:val="both"/>
        <w:rPr>
          <w:rFonts w:asciiTheme="majorHAnsi" w:hAnsiTheme="majorHAnsi"/>
          <w:b/>
          <w:sz w:val="24"/>
          <w:szCs w:val="24"/>
        </w:rPr>
      </w:pPr>
    </w:p>
    <w:p w:rsidR="003B098C" w:rsidRPr="007C6ED6" w:rsidRDefault="00E56236" w:rsidP="00934463">
      <w:pPr>
        <w:pStyle w:val="ListParagraph"/>
        <w:spacing w:after="0"/>
        <w:ind w:left="284"/>
        <w:jc w:val="both"/>
        <w:rPr>
          <w:rFonts w:asciiTheme="majorHAnsi" w:hAnsiTheme="majorHAnsi"/>
          <w:b/>
          <w:sz w:val="24"/>
          <w:szCs w:val="24"/>
        </w:rPr>
      </w:pPr>
      <w:r w:rsidRPr="007C6ED6">
        <w:rPr>
          <w:rFonts w:asciiTheme="majorHAnsi" w:hAnsiTheme="majorHAnsi"/>
          <w:b/>
          <w:sz w:val="24"/>
          <w:szCs w:val="24"/>
        </w:rPr>
        <w:lastRenderedPageBreak/>
        <w:t xml:space="preserve">“Independent Director” </w:t>
      </w:r>
      <w:r w:rsidRPr="007C6ED6">
        <w:rPr>
          <w:rFonts w:asciiTheme="majorHAnsi" w:hAnsiTheme="majorHAnsi"/>
          <w:sz w:val="24"/>
          <w:szCs w:val="24"/>
        </w:rPr>
        <w:t>means a Director of the Company</w:t>
      </w:r>
      <w:r w:rsidR="00532714">
        <w:rPr>
          <w:rFonts w:asciiTheme="majorHAnsi" w:hAnsiTheme="majorHAnsi"/>
          <w:sz w:val="24"/>
          <w:szCs w:val="24"/>
        </w:rPr>
        <w:t>, not</w:t>
      </w:r>
      <w:r w:rsidRPr="007C6ED6">
        <w:rPr>
          <w:rFonts w:asciiTheme="majorHAnsi" w:hAnsiTheme="majorHAnsi"/>
          <w:sz w:val="24"/>
          <w:szCs w:val="24"/>
        </w:rPr>
        <w:t xml:space="preserve"> being a </w:t>
      </w:r>
      <w:r w:rsidR="007126C4">
        <w:rPr>
          <w:rFonts w:asciiTheme="majorHAnsi" w:hAnsiTheme="majorHAnsi"/>
          <w:sz w:val="24"/>
          <w:szCs w:val="24"/>
        </w:rPr>
        <w:t>Whole-</w:t>
      </w:r>
      <w:r w:rsidRPr="007C6ED6">
        <w:rPr>
          <w:rFonts w:asciiTheme="majorHAnsi" w:hAnsiTheme="majorHAnsi"/>
          <w:sz w:val="24"/>
          <w:szCs w:val="24"/>
        </w:rPr>
        <w:t xml:space="preserve">time Director who is neither a </w:t>
      </w:r>
      <w:r w:rsidR="007126C4">
        <w:rPr>
          <w:rFonts w:asciiTheme="majorHAnsi" w:hAnsiTheme="majorHAnsi"/>
          <w:sz w:val="24"/>
          <w:szCs w:val="24"/>
        </w:rPr>
        <w:t>P</w:t>
      </w:r>
      <w:r w:rsidRPr="007C6ED6">
        <w:rPr>
          <w:rFonts w:asciiTheme="majorHAnsi" w:hAnsiTheme="majorHAnsi"/>
          <w:sz w:val="24"/>
          <w:szCs w:val="24"/>
        </w:rPr>
        <w:t xml:space="preserve">romoter nor belongs to the </w:t>
      </w:r>
      <w:r w:rsidR="007126C4">
        <w:rPr>
          <w:rFonts w:asciiTheme="majorHAnsi" w:hAnsiTheme="majorHAnsi"/>
          <w:sz w:val="24"/>
          <w:szCs w:val="24"/>
        </w:rPr>
        <w:t>P</w:t>
      </w:r>
      <w:r w:rsidRPr="007C6ED6">
        <w:rPr>
          <w:rFonts w:asciiTheme="majorHAnsi" w:hAnsiTheme="majorHAnsi"/>
          <w:sz w:val="24"/>
          <w:szCs w:val="24"/>
        </w:rPr>
        <w:t xml:space="preserve">romoter </w:t>
      </w:r>
      <w:r w:rsidR="007126C4">
        <w:rPr>
          <w:rFonts w:asciiTheme="majorHAnsi" w:hAnsiTheme="majorHAnsi"/>
          <w:sz w:val="24"/>
          <w:szCs w:val="24"/>
        </w:rPr>
        <w:t>G</w:t>
      </w:r>
      <w:r w:rsidRPr="007C6ED6">
        <w:rPr>
          <w:rFonts w:asciiTheme="majorHAnsi" w:hAnsiTheme="majorHAnsi"/>
          <w:sz w:val="24"/>
          <w:szCs w:val="24"/>
        </w:rPr>
        <w:t xml:space="preserve">roup of the Company and who satisfies other criteria for independence as laid down under the Companies Act, 2013 and the </w:t>
      </w:r>
      <w:r w:rsidR="00FB675C" w:rsidRPr="007C6ED6">
        <w:rPr>
          <w:rFonts w:asciiTheme="majorHAnsi" w:hAnsiTheme="majorHAnsi"/>
          <w:sz w:val="24"/>
          <w:szCs w:val="24"/>
        </w:rPr>
        <w:t>Securities and Exchange Board of India (Listing Obligation and Disclosure Requirements) Regulations, 2015</w:t>
      </w:r>
      <w:r w:rsidR="003959AC">
        <w:rPr>
          <w:rFonts w:asciiTheme="majorHAnsi" w:hAnsiTheme="majorHAnsi"/>
          <w:sz w:val="24"/>
          <w:szCs w:val="24"/>
        </w:rPr>
        <w:t>.</w:t>
      </w:r>
      <w:r w:rsidR="003B098C" w:rsidRPr="007C6ED6">
        <w:rPr>
          <w:rFonts w:asciiTheme="majorHAnsi" w:hAnsiTheme="majorHAnsi"/>
          <w:sz w:val="24"/>
          <w:szCs w:val="24"/>
        </w:rPr>
        <w:t xml:space="preserve"> </w:t>
      </w:r>
    </w:p>
    <w:p w:rsidR="003B098C" w:rsidRPr="006F5760" w:rsidRDefault="003B098C" w:rsidP="006F5760">
      <w:pPr>
        <w:spacing w:after="0"/>
        <w:jc w:val="both"/>
        <w:rPr>
          <w:rFonts w:asciiTheme="majorHAnsi" w:hAnsiTheme="majorHAnsi"/>
          <w:b/>
          <w:sz w:val="24"/>
          <w:szCs w:val="24"/>
        </w:rPr>
      </w:pPr>
    </w:p>
    <w:p w:rsidR="003B098C" w:rsidRPr="007C6ED6" w:rsidRDefault="003B098C" w:rsidP="00934463">
      <w:pPr>
        <w:pStyle w:val="ListParagraph"/>
        <w:spacing w:after="0"/>
        <w:ind w:left="284"/>
        <w:jc w:val="both"/>
        <w:rPr>
          <w:rFonts w:asciiTheme="majorHAnsi" w:hAnsiTheme="majorHAnsi"/>
          <w:b/>
          <w:sz w:val="24"/>
          <w:szCs w:val="24"/>
        </w:rPr>
      </w:pPr>
      <w:r w:rsidRPr="007C6ED6">
        <w:rPr>
          <w:rFonts w:asciiTheme="majorHAnsi" w:hAnsiTheme="majorHAnsi"/>
          <w:b/>
          <w:sz w:val="24"/>
          <w:szCs w:val="24"/>
        </w:rPr>
        <w:t xml:space="preserve">“Material Subsidiary” </w:t>
      </w:r>
      <w:r w:rsidRPr="007C6ED6">
        <w:rPr>
          <w:rFonts w:asciiTheme="majorHAnsi" w:hAnsiTheme="majorHAnsi"/>
          <w:sz w:val="24"/>
          <w:szCs w:val="24"/>
        </w:rPr>
        <w:t xml:space="preserve">means a </w:t>
      </w:r>
      <w:r w:rsidR="003959AC">
        <w:rPr>
          <w:rFonts w:asciiTheme="majorHAnsi" w:hAnsiTheme="majorHAnsi"/>
          <w:sz w:val="24"/>
          <w:szCs w:val="24"/>
        </w:rPr>
        <w:t>S</w:t>
      </w:r>
      <w:r w:rsidRPr="007C6ED6">
        <w:rPr>
          <w:rFonts w:asciiTheme="majorHAnsi" w:hAnsiTheme="majorHAnsi"/>
          <w:sz w:val="24"/>
          <w:szCs w:val="24"/>
        </w:rPr>
        <w:t>ubsidiary</w:t>
      </w:r>
      <w:r w:rsidR="003959AC">
        <w:rPr>
          <w:rFonts w:asciiTheme="majorHAnsi" w:hAnsiTheme="majorHAnsi"/>
          <w:sz w:val="24"/>
          <w:szCs w:val="24"/>
        </w:rPr>
        <w:t xml:space="preserve"> Company in accordance to Regulation 16(1)(c) of the </w:t>
      </w:r>
      <w:r w:rsidR="00FB675C" w:rsidRPr="007C6ED6">
        <w:rPr>
          <w:rFonts w:asciiTheme="majorHAnsi" w:hAnsiTheme="majorHAnsi"/>
          <w:sz w:val="24"/>
          <w:szCs w:val="24"/>
        </w:rPr>
        <w:t>Securities and Exchange Board of India (Listing Obligation and Disclosure Requirements) Regulations, 2015</w:t>
      </w:r>
      <w:r w:rsidR="00FB675C">
        <w:rPr>
          <w:rFonts w:asciiTheme="majorHAnsi" w:hAnsiTheme="majorHAnsi"/>
          <w:sz w:val="24"/>
          <w:szCs w:val="24"/>
        </w:rPr>
        <w:t xml:space="preserve"> including any statutory modification and or amendment thereof from time to time being in force</w:t>
      </w:r>
      <w:r w:rsidR="00A243D5">
        <w:rPr>
          <w:rFonts w:asciiTheme="majorHAnsi" w:hAnsiTheme="majorHAnsi"/>
          <w:sz w:val="24"/>
          <w:szCs w:val="24"/>
        </w:rPr>
        <w:t xml:space="preserve">. </w:t>
      </w:r>
    </w:p>
    <w:p w:rsidR="003B098C" w:rsidRPr="007C6ED6" w:rsidRDefault="003B098C" w:rsidP="00934463">
      <w:pPr>
        <w:pStyle w:val="ListParagraph"/>
        <w:spacing w:after="0"/>
        <w:ind w:left="284"/>
        <w:jc w:val="both"/>
        <w:rPr>
          <w:rFonts w:asciiTheme="majorHAnsi" w:hAnsiTheme="majorHAnsi"/>
          <w:b/>
          <w:sz w:val="24"/>
          <w:szCs w:val="24"/>
        </w:rPr>
      </w:pPr>
    </w:p>
    <w:p w:rsidR="003B098C" w:rsidRPr="007C6ED6" w:rsidRDefault="003B098C" w:rsidP="00934463">
      <w:pPr>
        <w:pStyle w:val="ListParagraph"/>
        <w:spacing w:after="0"/>
        <w:ind w:left="284"/>
        <w:jc w:val="both"/>
        <w:rPr>
          <w:rFonts w:asciiTheme="majorHAnsi" w:hAnsiTheme="majorHAnsi"/>
          <w:b/>
          <w:sz w:val="24"/>
          <w:szCs w:val="24"/>
        </w:rPr>
      </w:pPr>
      <w:r w:rsidRPr="007C6ED6">
        <w:rPr>
          <w:rFonts w:asciiTheme="majorHAnsi" w:hAnsiTheme="majorHAnsi"/>
          <w:b/>
          <w:sz w:val="24"/>
          <w:szCs w:val="24"/>
        </w:rPr>
        <w:t xml:space="preserve">“Policy” means </w:t>
      </w:r>
      <w:r w:rsidRPr="007C6ED6">
        <w:rPr>
          <w:rFonts w:asciiTheme="majorHAnsi" w:hAnsiTheme="majorHAnsi"/>
          <w:sz w:val="24"/>
          <w:szCs w:val="24"/>
        </w:rPr>
        <w:t>Policy on Material Subsidiary.</w:t>
      </w:r>
      <w:r w:rsidRPr="007C6ED6">
        <w:rPr>
          <w:rFonts w:asciiTheme="majorHAnsi" w:hAnsiTheme="majorHAnsi"/>
          <w:b/>
          <w:sz w:val="24"/>
          <w:szCs w:val="24"/>
        </w:rPr>
        <w:t xml:space="preserve"> </w:t>
      </w:r>
    </w:p>
    <w:p w:rsidR="003B098C" w:rsidRPr="007C6ED6" w:rsidRDefault="003B098C" w:rsidP="00934463">
      <w:pPr>
        <w:pStyle w:val="ListParagraph"/>
        <w:spacing w:after="0"/>
        <w:ind w:left="284"/>
        <w:jc w:val="both"/>
        <w:rPr>
          <w:rFonts w:asciiTheme="majorHAnsi" w:hAnsiTheme="majorHAnsi"/>
          <w:b/>
          <w:sz w:val="24"/>
          <w:szCs w:val="24"/>
        </w:rPr>
      </w:pPr>
    </w:p>
    <w:p w:rsidR="003B098C" w:rsidRPr="007C6ED6" w:rsidRDefault="003B098C" w:rsidP="00934463">
      <w:pPr>
        <w:pStyle w:val="ListParagraph"/>
        <w:spacing w:after="0"/>
        <w:ind w:left="284"/>
        <w:jc w:val="both"/>
        <w:rPr>
          <w:rFonts w:asciiTheme="majorHAnsi" w:hAnsiTheme="majorHAnsi"/>
          <w:b/>
          <w:sz w:val="24"/>
          <w:szCs w:val="24"/>
        </w:rPr>
      </w:pPr>
      <w:r w:rsidRPr="007C6ED6">
        <w:rPr>
          <w:rFonts w:asciiTheme="majorHAnsi" w:hAnsiTheme="majorHAnsi"/>
          <w:b/>
          <w:sz w:val="24"/>
          <w:szCs w:val="24"/>
        </w:rPr>
        <w:t xml:space="preserve">“Significant Transaction or Arrangement” </w:t>
      </w:r>
      <w:r w:rsidRPr="007C6ED6">
        <w:rPr>
          <w:rFonts w:asciiTheme="majorHAnsi" w:hAnsiTheme="majorHAnsi"/>
          <w:sz w:val="24"/>
          <w:szCs w:val="24"/>
        </w:rPr>
        <w:t xml:space="preserve">shall means any individual transaction or arrangement that exceeds or is likely to exceed </w:t>
      </w:r>
      <w:r w:rsidR="00A243D5">
        <w:rPr>
          <w:rFonts w:asciiTheme="majorHAnsi" w:hAnsiTheme="majorHAnsi"/>
          <w:sz w:val="24"/>
          <w:szCs w:val="24"/>
        </w:rPr>
        <w:t xml:space="preserve">ten </w:t>
      </w:r>
      <w:r w:rsidRPr="007C6ED6">
        <w:rPr>
          <w:rFonts w:asciiTheme="majorHAnsi" w:hAnsiTheme="majorHAnsi"/>
          <w:sz w:val="24"/>
          <w:szCs w:val="24"/>
        </w:rPr>
        <w:t>percent of the total reve</w:t>
      </w:r>
      <w:r w:rsidR="00FE1644" w:rsidRPr="007C6ED6">
        <w:rPr>
          <w:rFonts w:asciiTheme="majorHAnsi" w:hAnsiTheme="majorHAnsi"/>
          <w:sz w:val="24"/>
          <w:szCs w:val="24"/>
        </w:rPr>
        <w:t>nues or total expenses or total assets or total liabilities, as the case may be of the material unlisted subsidiary for the immediately preceding accounting year.</w:t>
      </w:r>
    </w:p>
    <w:p w:rsidR="00FE1644" w:rsidRPr="007C6ED6" w:rsidRDefault="00FE1644" w:rsidP="00934463">
      <w:pPr>
        <w:pStyle w:val="ListParagraph"/>
        <w:spacing w:after="0"/>
        <w:ind w:left="284"/>
        <w:jc w:val="both"/>
        <w:rPr>
          <w:rFonts w:asciiTheme="majorHAnsi" w:hAnsiTheme="majorHAnsi"/>
          <w:b/>
          <w:sz w:val="24"/>
          <w:szCs w:val="24"/>
        </w:rPr>
      </w:pPr>
    </w:p>
    <w:p w:rsidR="00E9051C" w:rsidRPr="007C6ED6" w:rsidRDefault="00FE1644" w:rsidP="00934463">
      <w:pPr>
        <w:pStyle w:val="ListParagraph"/>
        <w:spacing w:after="0"/>
        <w:ind w:left="284"/>
        <w:jc w:val="both"/>
        <w:rPr>
          <w:rFonts w:asciiTheme="majorHAnsi" w:hAnsiTheme="majorHAnsi"/>
          <w:sz w:val="24"/>
          <w:szCs w:val="24"/>
        </w:rPr>
      </w:pPr>
      <w:r w:rsidRPr="007C6ED6">
        <w:rPr>
          <w:rFonts w:asciiTheme="majorHAnsi" w:hAnsiTheme="majorHAnsi"/>
          <w:b/>
          <w:sz w:val="24"/>
          <w:szCs w:val="24"/>
        </w:rPr>
        <w:t>“Subsidiary</w:t>
      </w:r>
      <w:r w:rsidR="00756A6E">
        <w:rPr>
          <w:rFonts w:asciiTheme="majorHAnsi" w:hAnsiTheme="majorHAnsi"/>
          <w:b/>
          <w:sz w:val="24"/>
          <w:szCs w:val="24"/>
        </w:rPr>
        <w:t xml:space="preserve"> Company</w:t>
      </w:r>
      <w:r w:rsidRPr="007C6ED6">
        <w:rPr>
          <w:rFonts w:asciiTheme="majorHAnsi" w:hAnsiTheme="majorHAnsi"/>
          <w:b/>
          <w:sz w:val="24"/>
          <w:szCs w:val="24"/>
        </w:rPr>
        <w:t xml:space="preserve">” </w:t>
      </w:r>
      <w:r w:rsidRPr="007C6ED6">
        <w:rPr>
          <w:rFonts w:asciiTheme="majorHAnsi" w:hAnsiTheme="majorHAnsi"/>
          <w:sz w:val="24"/>
          <w:szCs w:val="24"/>
        </w:rPr>
        <w:t>shall be as defined under the Companies Act, 2013 and the Rules made there under.</w:t>
      </w:r>
    </w:p>
    <w:p w:rsidR="00FE1644" w:rsidRPr="007C6ED6" w:rsidRDefault="00FE1644" w:rsidP="00934463">
      <w:pPr>
        <w:pStyle w:val="ListParagraph"/>
        <w:spacing w:after="0"/>
        <w:ind w:left="284"/>
        <w:jc w:val="both"/>
        <w:rPr>
          <w:rFonts w:asciiTheme="majorHAnsi" w:hAnsiTheme="majorHAnsi"/>
          <w:b/>
          <w:sz w:val="24"/>
          <w:szCs w:val="24"/>
        </w:rPr>
      </w:pPr>
    </w:p>
    <w:p w:rsidR="00B643BB" w:rsidRPr="007C6ED6" w:rsidRDefault="00B643BB" w:rsidP="00934463">
      <w:pPr>
        <w:pStyle w:val="ListParagraph"/>
        <w:numPr>
          <w:ilvl w:val="0"/>
          <w:numId w:val="1"/>
        </w:numPr>
        <w:spacing w:after="0"/>
        <w:ind w:left="284" w:hanging="426"/>
        <w:rPr>
          <w:rFonts w:asciiTheme="majorHAnsi" w:hAnsiTheme="majorHAnsi"/>
          <w:b/>
          <w:sz w:val="24"/>
          <w:szCs w:val="24"/>
        </w:rPr>
      </w:pPr>
      <w:r w:rsidRPr="007C6ED6">
        <w:rPr>
          <w:rFonts w:asciiTheme="majorHAnsi" w:hAnsiTheme="majorHAnsi"/>
          <w:b/>
          <w:sz w:val="24"/>
          <w:szCs w:val="24"/>
        </w:rPr>
        <w:t>INTERPRETATION:</w:t>
      </w:r>
    </w:p>
    <w:p w:rsidR="00B643BB" w:rsidRPr="007C6ED6" w:rsidRDefault="00B643BB" w:rsidP="00934463">
      <w:pPr>
        <w:pStyle w:val="ListParagraph"/>
        <w:spacing w:after="0"/>
        <w:ind w:left="284"/>
        <w:rPr>
          <w:rFonts w:asciiTheme="majorHAnsi" w:hAnsiTheme="majorHAnsi"/>
          <w:sz w:val="24"/>
          <w:szCs w:val="24"/>
        </w:rPr>
      </w:pPr>
    </w:p>
    <w:p w:rsidR="00FE1644" w:rsidRPr="00A518E8" w:rsidRDefault="00FE1644" w:rsidP="00934463">
      <w:pPr>
        <w:pStyle w:val="ListParagraph"/>
        <w:spacing w:after="0"/>
        <w:ind w:left="284"/>
        <w:jc w:val="both"/>
        <w:rPr>
          <w:rFonts w:asciiTheme="majorHAnsi" w:hAnsiTheme="majorHAnsi"/>
          <w:sz w:val="24"/>
          <w:szCs w:val="24"/>
        </w:rPr>
      </w:pPr>
      <w:r w:rsidRPr="00A518E8">
        <w:rPr>
          <w:rFonts w:asciiTheme="majorHAnsi" w:hAnsiTheme="majorHAnsi"/>
          <w:sz w:val="24"/>
          <w:szCs w:val="24"/>
        </w:rPr>
        <w:t xml:space="preserve">Any </w:t>
      </w:r>
      <w:r w:rsidR="00F25526" w:rsidRPr="00A518E8">
        <w:rPr>
          <w:rFonts w:asciiTheme="majorHAnsi" w:hAnsiTheme="majorHAnsi"/>
          <w:sz w:val="24"/>
          <w:szCs w:val="24"/>
        </w:rPr>
        <w:t>other t</w:t>
      </w:r>
      <w:r w:rsidRPr="00A518E8">
        <w:rPr>
          <w:rFonts w:asciiTheme="majorHAnsi" w:hAnsiTheme="majorHAnsi"/>
          <w:sz w:val="24"/>
          <w:szCs w:val="24"/>
        </w:rPr>
        <w:t>erm</w:t>
      </w:r>
      <w:r w:rsidR="00F25526" w:rsidRPr="00A518E8">
        <w:rPr>
          <w:rFonts w:asciiTheme="majorHAnsi" w:hAnsiTheme="majorHAnsi"/>
          <w:sz w:val="24"/>
          <w:szCs w:val="24"/>
        </w:rPr>
        <w:t xml:space="preserve">s </w:t>
      </w:r>
      <w:r w:rsidRPr="00A518E8">
        <w:rPr>
          <w:rFonts w:asciiTheme="majorHAnsi" w:hAnsiTheme="majorHAnsi"/>
          <w:sz w:val="24"/>
          <w:szCs w:val="24"/>
        </w:rPr>
        <w:t>not been defined in this policy shall have the same meaning defined in the Companies Act, 2013, and/or Securities and Exchange Board of India (Listing Obligations and Disclosure Requirements) Regulations, 2015 or any other applicable law or regulation.</w:t>
      </w:r>
    </w:p>
    <w:p w:rsidR="00FE1644" w:rsidRPr="007C6ED6" w:rsidRDefault="00FE1644" w:rsidP="00934463">
      <w:pPr>
        <w:pStyle w:val="ListParagraph"/>
        <w:spacing w:after="0"/>
        <w:ind w:left="284"/>
        <w:rPr>
          <w:rFonts w:asciiTheme="majorHAnsi" w:hAnsiTheme="majorHAnsi"/>
          <w:sz w:val="24"/>
          <w:szCs w:val="24"/>
        </w:rPr>
      </w:pPr>
    </w:p>
    <w:p w:rsidR="00FE1644" w:rsidRPr="007C6ED6" w:rsidRDefault="00FE1644" w:rsidP="00934463">
      <w:pPr>
        <w:pStyle w:val="ListParagraph"/>
        <w:numPr>
          <w:ilvl w:val="0"/>
          <w:numId w:val="1"/>
        </w:numPr>
        <w:spacing w:after="0"/>
        <w:ind w:left="284" w:hanging="426"/>
        <w:rPr>
          <w:rFonts w:asciiTheme="majorHAnsi" w:hAnsiTheme="majorHAnsi"/>
          <w:b/>
          <w:sz w:val="24"/>
          <w:szCs w:val="24"/>
        </w:rPr>
      </w:pPr>
      <w:r w:rsidRPr="007C6ED6">
        <w:rPr>
          <w:rFonts w:asciiTheme="majorHAnsi" w:hAnsiTheme="majorHAnsi"/>
          <w:b/>
          <w:sz w:val="24"/>
          <w:szCs w:val="24"/>
        </w:rPr>
        <w:t>POLICY:</w:t>
      </w:r>
    </w:p>
    <w:p w:rsidR="00FE1644" w:rsidRPr="007C6ED6" w:rsidRDefault="00FE1644" w:rsidP="00934463">
      <w:pPr>
        <w:pStyle w:val="ListParagraph"/>
        <w:spacing w:after="0"/>
        <w:ind w:left="284"/>
        <w:rPr>
          <w:rFonts w:asciiTheme="majorHAnsi" w:hAnsiTheme="majorHAnsi"/>
          <w:b/>
          <w:sz w:val="24"/>
          <w:szCs w:val="24"/>
        </w:rPr>
      </w:pPr>
    </w:p>
    <w:p w:rsidR="007C6ED6" w:rsidRPr="00FB4EFD" w:rsidRDefault="00FE1644" w:rsidP="00FB4EFD">
      <w:pPr>
        <w:pStyle w:val="ListParagraph"/>
        <w:numPr>
          <w:ilvl w:val="0"/>
          <w:numId w:val="4"/>
        </w:numPr>
        <w:spacing w:after="0"/>
        <w:jc w:val="both"/>
        <w:rPr>
          <w:rFonts w:asciiTheme="majorHAnsi" w:hAnsiTheme="majorHAnsi"/>
          <w:sz w:val="24"/>
          <w:szCs w:val="24"/>
        </w:rPr>
      </w:pPr>
      <w:r w:rsidRPr="00FB4EFD">
        <w:rPr>
          <w:rFonts w:asciiTheme="majorHAnsi" w:hAnsiTheme="majorHAnsi"/>
          <w:sz w:val="24"/>
          <w:szCs w:val="24"/>
        </w:rPr>
        <w:t>A Subsidiary sha</w:t>
      </w:r>
      <w:r w:rsidR="00FB4EFD">
        <w:rPr>
          <w:rFonts w:asciiTheme="majorHAnsi" w:hAnsiTheme="majorHAnsi"/>
          <w:sz w:val="24"/>
          <w:szCs w:val="24"/>
        </w:rPr>
        <w:t xml:space="preserve">ll be a Material Subsidiary, </w:t>
      </w:r>
      <w:r w:rsidR="00FB4EFD" w:rsidRPr="00FB4EFD">
        <w:rPr>
          <w:rFonts w:asciiTheme="majorHAnsi" w:hAnsiTheme="majorHAnsi"/>
          <w:sz w:val="24"/>
          <w:szCs w:val="24"/>
        </w:rPr>
        <w:t xml:space="preserve">whose income or net worth exceeds twenty percent of the consolidated income or net worth respectively, of the Company and its subsidiaries in the immediately preceding accounting year. </w:t>
      </w:r>
    </w:p>
    <w:p w:rsidR="00FB4EFD" w:rsidRPr="00FB4EFD" w:rsidRDefault="00FB4EFD" w:rsidP="00FB4EFD">
      <w:pPr>
        <w:pStyle w:val="ListParagraph"/>
        <w:spacing w:after="0"/>
        <w:jc w:val="both"/>
        <w:rPr>
          <w:rFonts w:asciiTheme="majorHAnsi" w:hAnsiTheme="majorHAnsi"/>
          <w:b/>
          <w:sz w:val="24"/>
          <w:szCs w:val="24"/>
        </w:rPr>
      </w:pPr>
    </w:p>
    <w:p w:rsidR="00344698" w:rsidRPr="007C6ED6" w:rsidRDefault="006848AE" w:rsidP="00934463">
      <w:pPr>
        <w:pStyle w:val="ListParagraph"/>
        <w:numPr>
          <w:ilvl w:val="0"/>
          <w:numId w:val="4"/>
        </w:numPr>
        <w:spacing w:after="0"/>
        <w:jc w:val="both"/>
        <w:rPr>
          <w:rFonts w:asciiTheme="majorHAnsi" w:hAnsiTheme="majorHAnsi"/>
          <w:sz w:val="24"/>
          <w:szCs w:val="24"/>
        </w:rPr>
      </w:pPr>
      <w:r>
        <w:rPr>
          <w:rFonts w:asciiTheme="majorHAnsi" w:hAnsiTheme="majorHAnsi"/>
          <w:sz w:val="24"/>
          <w:szCs w:val="24"/>
        </w:rPr>
        <w:t xml:space="preserve">At least </w:t>
      </w:r>
      <w:r w:rsidR="00344698" w:rsidRPr="007C6ED6">
        <w:rPr>
          <w:rFonts w:asciiTheme="majorHAnsi" w:hAnsiTheme="majorHAnsi"/>
          <w:sz w:val="24"/>
          <w:szCs w:val="24"/>
        </w:rPr>
        <w:t xml:space="preserve">One Independent Director </w:t>
      </w:r>
      <w:r>
        <w:rPr>
          <w:rFonts w:asciiTheme="majorHAnsi" w:hAnsiTheme="majorHAnsi"/>
          <w:sz w:val="24"/>
          <w:szCs w:val="24"/>
        </w:rPr>
        <w:t xml:space="preserve">on the Board of Directors </w:t>
      </w:r>
      <w:r w:rsidR="00344698" w:rsidRPr="007C6ED6">
        <w:rPr>
          <w:rFonts w:asciiTheme="majorHAnsi" w:hAnsiTheme="majorHAnsi"/>
          <w:sz w:val="24"/>
          <w:szCs w:val="24"/>
        </w:rPr>
        <w:t xml:space="preserve">of the Company shall be a Director on the Board of </w:t>
      </w:r>
      <w:r>
        <w:rPr>
          <w:rFonts w:asciiTheme="majorHAnsi" w:hAnsiTheme="majorHAnsi"/>
          <w:sz w:val="24"/>
          <w:szCs w:val="24"/>
        </w:rPr>
        <w:t xml:space="preserve">Directors of an </w:t>
      </w:r>
      <w:r w:rsidR="003804DB">
        <w:rPr>
          <w:rFonts w:asciiTheme="majorHAnsi" w:hAnsiTheme="majorHAnsi"/>
          <w:sz w:val="24"/>
          <w:szCs w:val="24"/>
        </w:rPr>
        <w:t>U</w:t>
      </w:r>
      <w:r>
        <w:rPr>
          <w:rFonts w:asciiTheme="majorHAnsi" w:hAnsiTheme="majorHAnsi"/>
          <w:sz w:val="24"/>
          <w:szCs w:val="24"/>
        </w:rPr>
        <w:t xml:space="preserve">nlisted </w:t>
      </w:r>
      <w:r w:rsidR="003804DB">
        <w:rPr>
          <w:rFonts w:asciiTheme="majorHAnsi" w:hAnsiTheme="majorHAnsi"/>
          <w:sz w:val="24"/>
          <w:szCs w:val="24"/>
        </w:rPr>
        <w:t>M</w:t>
      </w:r>
      <w:r>
        <w:rPr>
          <w:rFonts w:asciiTheme="majorHAnsi" w:hAnsiTheme="majorHAnsi"/>
          <w:sz w:val="24"/>
          <w:szCs w:val="24"/>
        </w:rPr>
        <w:t xml:space="preserve">aterial </w:t>
      </w:r>
      <w:r w:rsidR="003804DB">
        <w:rPr>
          <w:rFonts w:asciiTheme="majorHAnsi" w:hAnsiTheme="majorHAnsi"/>
          <w:sz w:val="24"/>
          <w:szCs w:val="24"/>
        </w:rPr>
        <w:t>S</w:t>
      </w:r>
      <w:r>
        <w:rPr>
          <w:rFonts w:asciiTheme="majorHAnsi" w:hAnsiTheme="majorHAnsi"/>
          <w:sz w:val="24"/>
          <w:szCs w:val="24"/>
        </w:rPr>
        <w:t>ubsidiary</w:t>
      </w:r>
      <w:r w:rsidR="00631E90">
        <w:rPr>
          <w:rFonts w:asciiTheme="majorHAnsi" w:hAnsiTheme="majorHAnsi"/>
          <w:sz w:val="24"/>
          <w:szCs w:val="24"/>
        </w:rPr>
        <w:t xml:space="preserve"> Company/</w:t>
      </w:r>
      <w:proofErr w:type="spellStart"/>
      <w:r w:rsidR="00631E90">
        <w:rPr>
          <w:rFonts w:asciiTheme="majorHAnsi" w:hAnsiTheme="majorHAnsi"/>
          <w:sz w:val="24"/>
          <w:szCs w:val="24"/>
        </w:rPr>
        <w:t>ies</w:t>
      </w:r>
      <w:proofErr w:type="spellEnd"/>
      <w:r>
        <w:rPr>
          <w:rFonts w:asciiTheme="majorHAnsi" w:hAnsiTheme="majorHAnsi"/>
          <w:sz w:val="24"/>
          <w:szCs w:val="24"/>
        </w:rPr>
        <w:t>, incorporated in India</w:t>
      </w:r>
      <w:r w:rsidR="007C6ED6" w:rsidRPr="007C6ED6">
        <w:rPr>
          <w:rFonts w:asciiTheme="majorHAnsi" w:hAnsiTheme="majorHAnsi"/>
          <w:sz w:val="24"/>
          <w:szCs w:val="24"/>
        </w:rPr>
        <w:t>.</w:t>
      </w:r>
    </w:p>
    <w:p w:rsidR="007C6ED6" w:rsidRPr="007C6ED6" w:rsidRDefault="007C6ED6" w:rsidP="00934463">
      <w:pPr>
        <w:pStyle w:val="ListParagraph"/>
        <w:spacing w:after="0"/>
        <w:jc w:val="both"/>
        <w:rPr>
          <w:rFonts w:asciiTheme="majorHAnsi" w:hAnsiTheme="majorHAnsi"/>
          <w:sz w:val="24"/>
          <w:szCs w:val="24"/>
        </w:rPr>
      </w:pPr>
    </w:p>
    <w:p w:rsidR="007C6ED6" w:rsidRDefault="00344698" w:rsidP="00934463">
      <w:pPr>
        <w:pStyle w:val="ListParagraph"/>
        <w:numPr>
          <w:ilvl w:val="0"/>
          <w:numId w:val="4"/>
        </w:numPr>
        <w:spacing w:after="0"/>
        <w:jc w:val="both"/>
        <w:rPr>
          <w:rFonts w:asciiTheme="majorHAnsi" w:hAnsiTheme="majorHAnsi"/>
          <w:sz w:val="24"/>
          <w:szCs w:val="24"/>
        </w:rPr>
      </w:pPr>
      <w:r w:rsidRPr="00C31BBA">
        <w:rPr>
          <w:rFonts w:asciiTheme="majorHAnsi" w:hAnsiTheme="majorHAnsi"/>
          <w:sz w:val="24"/>
          <w:szCs w:val="24"/>
        </w:rPr>
        <w:t xml:space="preserve">The Audit Committee of the Company shall </w:t>
      </w:r>
      <w:r w:rsidR="00C31BBA" w:rsidRPr="00C31BBA">
        <w:rPr>
          <w:rFonts w:asciiTheme="majorHAnsi" w:hAnsiTheme="majorHAnsi"/>
          <w:sz w:val="24"/>
          <w:szCs w:val="24"/>
        </w:rPr>
        <w:t xml:space="preserve">also </w:t>
      </w:r>
      <w:r w:rsidRPr="00C31BBA">
        <w:rPr>
          <w:rFonts w:asciiTheme="majorHAnsi" w:hAnsiTheme="majorHAnsi"/>
          <w:sz w:val="24"/>
          <w:szCs w:val="24"/>
        </w:rPr>
        <w:t xml:space="preserve">review the financial statements, in particular, the investments made by the </w:t>
      </w:r>
      <w:r w:rsidR="003804DB">
        <w:rPr>
          <w:rFonts w:asciiTheme="majorHAnsi" w:hAnsiTheme="majorHAnsi"/>
          <w:sz w:val="24"/>
          <w:szCs w:val="24"/>
        </w:rPr>
        <w:t>U</w:t>
      </w:r>
      <w:r w:rsidRPr="00C31BBA">
        <w:rPr>
          <w:rFonts w:asciiTheme="majorHAnsi" w:hAnsiTheme="majorHAnsi"/>
          <w:sz w:val="24"/>
          <w:szCs w:val="24"/>
        </w:rPr>
        <w:t xml:space="preserve">nlisted </w:t>
      </w:r>
      <w:r w:rsidR="003804DB">
        <w:rPr>
          <w:rFonts w:asciiTheme="majorHAnsi" w:hAnsiTheme="majorHAnsi"/>
          <w:sz w:val="24"/>
          <w:szCs w:val="24"/>
        </w:rPr>
        <w:t>S</w:t>
      </w:r>
      <w:r w:rsidRPr="00C31BBA">
        <w:rPr>
          <w:rFonts w:asciiTheme="majorHAnsi" w:hAnsiTheme="majorHAnsi"/>
          <w:sz w:val="24"/>
          <w:szCs w:val="24"/>
        </w:rPr>
        <w:t>ubsidiary Company</w:t>
      </w:r>
      <w:r w:rsidR="003804DB">
        <w:rPr>
          <w:rFonts w:asciiTheme="majorHAnsi" w:hAnsiTheme="majorHAnsi"/>
          <w:sz w:val="24"/>
          <w:szCs w:val="24"/>
        </w:rPr>
        <w:t>/</w:t>
      </w:r>
      <w:proofErr w:type="spellStart"/>
      <w:r w:rsidR="003804DB">
        <w:rPr>
          <w:rFonts w:asciiTheme="majorHAnsi" w:hAnsiTheme="majorHAnsi"/>
          <w:sz w:val="24"/>
          <w:szCs w:val="24"/>
        </w:rPr>
        <w:t>ies</w:t>
      </w:r>
      <w:proofErr w:type="spellEnd"/>
      <w:r w:rsidR="00C31BBA" w:rsidRPr="00C31BBA">
        <w:rPr>
          <w:rFonts w:asciiTheme="majorHAnsi" w:hAnsiTheme="majorHAnsi"/>
          <w:sz w:val="24"/>
          <w:szCs w:val="24"/>
        </w:rPr>
        <w:t>.</w:t>
      </w:r>
      <w:r w:rsidRPr="00C31BBA">
        <w:rPr>
          <w:rFonts w:asciiTheme="majorHAnsi" w:hAnsiTheme="majorHAnsi"/>
          <w:sz w:val="24"/>
          <w:szCs w:val="24"/>
        </w:rPr>
        <w:t xml:space="preserve"> </w:t>
      </w:r>
    </w:p>
    <w:p w:rsidR="00C31BBA" w:rsidRPr="00C31BBA" w:rsidRDefault="00C31BBA" w:rsidP="00C31BBA">
      <w:pPr>
        <w:pStyle w:val="ListParagraph"/>
        <w:rPr>
          <w:rFonts w:asciiTheme="majorHAnsi" w:hAnsiTheme="majorHAnsi"/>
          <w:sz w:val="24"/>
          <w:szCs w:val="24"/>
        </w:rPr>
      </w:pPr>
    </w:p>
    <w:p w:rsidR="00344698" w:rsidRPr="00FB4EFD" w:rsidRDefault="00344698" w:rsidP="00934463">
      <w:pPr>
        <w:pStyle w:val="ListParagraph"/>
        <w:numPr>
          <w:ilvl w:val="0"/>
          <w:numId w:val="4"/>
        </w:numPr>
        <w:spacing w:after="0"/>
        <w:jc w:val="both"/>
        <w:rPr>
          <w:rFonts w:asciiTheme="majorHAnsi" w:hAnsiTheme="majorHAnsi"/>
          <w:sz w:val="24"/>
          <w:szCs w:val="24"/>
        </w:rPr>
      </w:pPr>
      <w:r w:rsidRPr="00FB4EFD">
        <w:rPr>
          <w:rFonts w:asciiTheme="majorHAnsi" w:hAnsiTheme="majorHAnsi"/>
          <w:sz w:val="24"/>
          <w:szCs w:val="24"/>
        </w:rPr>
        <w:lastRenderedPageBreak/>
        <w:t xml:space="preserve">The minutes of the </w:t>
      </w:r>
      <w:r w:rsidR="003804DB">
        <w:rPr>
          <w:rFonts w:asciiTheme="majorHAnsi" w:hAnsiTheme="majorHAnsi"/>
          <w:sz w:val="24"/>
          <w:szCs w:val="24"/>
        </w:rPr>
        <w:t>meeting of the Board of Directors of the Unlisted Subsidiary Company/</w:t>
      </w:r>
      <w:proofErr w:type="spellStart"/>
      <w:r w:rsidR="003804DB">
        <w:rPr>
          <w:rFonts w:asciiTheme="majorHAnsi" w:hAnsiTheme="majorHAnsi"/>
          <w:sz w:val="24"/>
          <w:szCs w:val="24"/>
        </w:rPr>
        <w:t>ies</w:t>
      </w:r>
      <w:proofErr w:type="spellEnd"/>
      <w:r w:rsidRPr="00FB4EFD">
        <w:rPr>
          <w:rFonts w:asciiTheme="majorHAnsi" w:hAnsiTheme="majorHAnsi"/>
          <w:sz w:val="24"/>
          <w:szCs w:val="24"/>
        </w:rPr>
        <w:t xml:space="preserve"> shall be placed </w:t>
      </w:r>
      <w:r w:rsidR="00612330">
        <w:rPr>
          <w:rFonts w:asciiTheme="majorHAnsi" w:hAnsiTheme="majorHAnsi"/>
          <w:sz w:val="24"/>
          <w:szCs w:val="24"/>
        </w:rPr>
        <w:t xml:space="preserve">at the meeting of the </w:t>
      </w:r>
      <w:r w:rsidRPr="00FB4EFD">
        <w:rPr>
          <w:rFonts w:asciiTheme="majorHAnsi" w:hAnsiTheme="majorHAnsi"/>
          <w:sz w:val="24"/>
          <w:szCs w:val="24"/>
        </w:rPr>
        <w:t>Board of</w:t>
      </w:r>
      <w:r w:rsidR="00612330">
        <w:rPr>
          <w:rFonts w:asciiTheme="majorHAnsi" w:hAnsiTheme="majorHAnsi"/>
          <w:sz w:val="24"/>
          <w:szCs w:val="24"/>
        </w:rPr>
        <w:t xml:space="preserve"> Directors of</w:t>
      </w:r>
      <w:r w:rsidRPr="00FB4EFD">
        <w:rPr>
          <w:rFonts w:asciiTheme="majorHAnsi" w:hAnsiTheme="majorHAnsi"/>
          <w:sz w:val="24"/>
          <w:szCs w:val="24"/>
        </w:rPr>
        <w:t xml:space="preserve"> the Company.</w:t>
      </w:r>
    </w:p>
    <w:p w:rsidR="007C6ED6" w:rsidRPr="00FB4EFD" w:rsidRDefault="007C6ED6" w:rsidP="00934463">
      <w:pPr>
        <w:pStyle w:val="ListParagraph"/>
        <w:spacing w:after="0"/>
        <w:jc w:val="both"/>
        <w:rPr>
          <w:rFonts w:asciiTheme="majorHAnsi" w:hAnsiTheme="majorHAnsi"/>
          <w:sz w:val="24"/>
          <w:szCs w:val="24"/>
        </w:rPr>
      </w:pPr>
    </w:p>
    <w:p w:rsidR="00344698" w:rsidRDefault="00344698" w:rsidP="00934463">
      <w:pPr>
        <w:pStyle w:val="ListParagraph"/>
        <w:numPr>
          <w:ilvl w:val="0"/>
          <w:numId w:val="4"/>
        </w:numPr>
        <w:spacing w:after="0"/>
        <w:jc w:val="both"/>
        <w:rPr>
          <w:rFonts w:asciiTheme="majorHAnsi" w:hAnsiTheme="majorHAnsi"/>
          <w:sz w:val="24"/>
          <w:szCs w:val="24"/>
        </w:rPr>
      </w:pPr>
      <w:r w:rsidRPr="00FB4EFD">
        <w:rPr>
          <w:rFonts w:asciiTheme="majorHAnsi" w:hAnsiTheme="majorHAnsi"/>
          <w:sz w:val="24"/>
          <w:szCs w:val="24"/>
        </w:rPr>
        <w:t xml:space="preserve">The Management </w:t>
      </w:r>
      <w:r w:rsidR="00557CB0">
        <w:rPr>
          <w:rFonts w:asciiTheme="majorHAnsi" w:hAnsiTheme="majorHAnsi"/>
          <w:sz w:val="24"/>
          <w:szCs w:val="24"/>
        </w:rPr>
        <w:t>of the Unlisted Subsidiary Company/</w:t>
      </w:r>
      <w:proofErr w:type="spellStart"/>
      <w:r w:rsidR="00557CB0">
        <w:rPr>
          <w:rFonts w:asciiTheme="majorHAnsi" w:hAnsiTheme="majorHAnsi"/>
          <w:sz w:val="24"/>
          <w:szCs w:val="24"/>
        </w:rPr>
        <w:t>ies</w:t>
      </w:r>
      <w:proofErr w:type="spellEnd"/>
      <w:r w:rsidR="00557CB0">
        <w:rPr>
          <w:rFonts w:asciiTheme="majorHAnsi" w:hAnsiTheme="majorHAnsi"/>
          <w:sz w:val="24"/>
          <w:szCs w:val="24"/>
        </w:rPr>
        <w:t xml:space="preserve"> </w:t>
      </w:r>
      <w:r w:rsidRPr="00FB4EFD">
        <w:rPr>
          <w:rFonts w:asciiTheme="majorHAnsi" w:hAnsiTheme="majorHAnsi"/>
          <w:sz w:val="24"/>
          <w:szCs w:val="24"/>
        </w:rPr>
        <w:t xml:space="preserve">shall periodically bring to the </w:t>
      </w:r>
      <w:r w:rsidR="00557CB0">
        <w:rPr>
          <w:rFonts w:asciiTheme="majorHAnsi" w:hAnsiTheme="majorHAnsi"/>
          <w:sz w:val="24"/>
          <w:szCs w:val="24"/>
        </w:rPr>
        <w:t>notice</w:t>
      </w:r>
      <w:r w:rsidRPr="00FB4EFD">
        <w:rPr>
          <w:rFonts w:asciiTheme="majorHAnsi" w:hAnsiTheme="majorHAnsi"/>
          <w:sz w:val="24"/>
          <w:szCs w:val="24"/>
        </w:rPr>
        <w:t xml:space="preserve"> of the Board of Directors of the Company, a statement of all Significant Transactions and Arrangements entered into by the </w:t>
      </w:r>
      <w:r w:rsidR="00557CB0">
        <w:rPr>
          <w:rFonts w:asciiTheme="majorHAnsi" w:hAnsiTheme="majorHAnsi"/>
          <w:sz w:val="24"/>
          <w:szCs w:val="24"/>
        </w:rPr>
        <w:t>U</w:t>
      </w:r>
      <w:r w:rsidRPr="00FB4EFD">
        <w:rPr>
          <w:rFonts w:asciiTheme="majorHAnsi" w:hAnsiTheme="majorHAnsi"/>
          <w:sz w:val="24"/>
          <w:szCs w:val="24"/>
        </w:rPr>
        <w:t xml:space="preserve">nlisted </w:t>
      </w:r>
      <w:r w:rsidR="00557CB0">
        <w:rPr>
          <w:rFonts w:asciiTheme="majorHAnsi" w:hAnsiTheme="majorHAnsi"/>
          <w:sz w:val="24"/>
          <w:szCs w:val="24"/>
        </w:rPr>
        <w:t>S</w:t>
      </w:r>
      <w:r w:rsidRPr="00FB4EFD">
        <w:rPr>
          <w:rFonts w:asciiTheme="majorHAnsi" w:hAnsiTheme="majorHAnsi"/>
          <w:sz w:val="24"/>
          <w:szCs w:val="24"/>
        </w:rPr>
        <w:t>ubsidiary Company</w:t>
      </w:r>
      <w:r w:rsidR="00557CB0">
        <w:rPr>
          <w:rFonts w:asciiTheme="majorHAnsi" w:hAnsiTheme="majorHAnsi"/>
          <w:sz w:val="24"/>
          <w:szCs w:val="24"/>
        </w:rPr>
        <w:t>/</w:t>
      </w:r>
      <w:proofErr w:type="spellStart"/>
      <w:r w:rsidR="00557CB0">
        <w:rPr>
          <w:rFonts w:asciiTheme="majorHAnsi" w:hAnsiTheme="majorHAnsi"/>
          <w:sz w:val="24"/>
          <w:szCs w:val="24"/>
        </w:rPr>
        <w:t>ies</w:t>
      </w:r>
      <w:proofErr w:type="spellEnd"/>
      <w:r w:rsidRPr="00FB4EFD">
        <w:rPr>
          <w:rFonts w:asciiTheme="majorHAnsi" w:hAnsiTheme="majorHAnsi"/>
          <w:sz w:val="24"/>
          <w:szCs w:val="24"/>
        </w:rPr>
        <w:t>.</w:t>
      </w:r>
    </w:p>
    <w:p w:rsidR="008C4892" w:rsidRPr="008C4892" w:rsidRDefault="008C4892" w:rsidP="008C4892">
      <w:pPr>
        <w:pStyle w:val="ListParagraph"/>
        <w:rPr>
          <w:rFonts w:asciiTheme="majorHAnsi" w:hAnsiTheme="majorHAnsi"/>
          <w:sz w:val="24"/>
          <w:szCs w:val="24"/>
        </w:rPr>
      </w:pPr>
    </w:p>
    <w:p w:rsidR="00C225F5" w:rsidRDefault="00FF56AF" w:rsidP="008C4892">
      <w:pPr>
        <w:pStyle w:val="ListParagraph"/>
        <w:numPr>
          <w:ilvl w:val="0"/>
          <w:numId w:val="4"/>
        </w:numPr>
        <w:spacing w:after="0"/>
        <w:jc w:val="both"/>
        <w:rPr>
          <w:rFonts w:asciiTheme="majorHAnsi" w:hAnsiTheme="majorHAnsi"/>
          <w:sz w:val="24"/>
          <w:szCs w:val="24"/>
        </w:rPr>
      </w:pPr>
      <w:r w:rsidRPr="00A518E8">
        <w:rPr>
          <w:rFonts w:asciiTheme="majorHAnsi" w:hAnsiTheme="majorHAnsi"/>
          <w:sz w:val="24"/>
          <w:szCs w:val="24"/>
        </w:rPr>
        <w:t xml:space="preserve">The Company shall not dispose of the shares in its </w:t>
      </w:r>
      <w:r w:rsidR="00631E90">
        <w:rPr>
          <w:rFonts w:asciiTheme="majorHAnsi" w:hAnsiTheme="majorHAnsi"/>
          <w:sz w:val="24"/>
          <w:szCs w:val="24"/>
        </w:rPr>
        <w:t>M</w:t>
      </w:r>
      <w:r w:rsidRPr="00A518E8">
        <w:rPr>
          <w:rFonts w:asciiTheme="majorHAnsi" w:hAnsiTheme="majorHAnsi"/>
          <w:sz w:val="24"/>
          <w:szCs w:val="24"/>
        </w:rPr>
        <w:t xml:space="preserve">aterial </w:t>
      </w:r>
      <w:r w:rsidR="00631E90">
        <w:rPr>
          <w:rFonts w:asciiTheme="majorHAnsi" w:hAnsiTheme="majorHAnsi"/>
          <w:sz w:val="24"/>
          <w:szCs w:val="24"/>
        </w:rPr>
        <w:t>S</w:t>
      </w:r>
      <w:r w:rsidRPr="00A518E8">
        <w:rPr>
          <w:rFonts w:asciiTheme="majorHAnsi" w:hAnsiTheme="majorHAnsi"/>
          <w:sz w:val="24"/>
          <w:szCs w:val="24"/>
        </w:rPr>
        <w:t xml:space="preserve">ubsidiary </w:t>
      </w:r>
      <w:r w:rsidR="00631E90">
        <w:rPr>
          <w:rFonts w:asciiTheme="majorHAnsi" w:hAnsiTheme="majorHAnsi"/>
          <w:sz w:val="24"/>
          <w:szCs w:val="24"/>
        </w:rPr>
        <w:t>resulting in reduction of</w:t>
      </w:r>
      <w:r w:rsidRPr="00A518E8">
        <w:rPr>
          <w:rFonts w:asciiTheme="majorHAnsi" w:hAnsiTheme="majorHAnsi"/>
          <w:sz w:val="24"/>
          <w:szCs w:val="24"/>
        </w:rPr>
        <w:t xml:space="preserve"> its shareholding (either on its own or together with oth</w:t>
      </w:r>
      <w:r w:rsidR="00A518E8" w:rsidRPr="00A518E8">
        <w:rPr>
          <w:rFonts w:asciiTheme="majorHAnsi" w:hAnsiTheme="majorHAnsi"/>
          <w:sz w:val="24"/>
          <w:szCs w:val="24"/>
        </w:rPr>
        <w:t>er subsidiaries) to less than fifty percent</w:t>
      </w:r>
      <w:r w:rsidRPr="00A518E8">
        <w:rPr>
          <w:rFonts w:asciiTheme="majorHAnsi" w:hAnsiTheme="majorHAnsi"/>
          <w:sz w:val="24"/>
          <w:szCs w:val="24"/>
        </w:rPr>
        <w:t xml:space="preserve"> or cease the exercise of control over the subsidiary without </w:t>
      </w:r>
      <w:r w:rsidR="00A518E8" w:rsidRPr="00A518E8">
        <w:rPr>
          <w:rFonts w:asciiTheme="majorHAnsi" w:hAnsiTheme="majorHAnsi"/>
          <w:sz w:val="24"/>
          <w:szCs w:val="24"/>
        </w:rPr>
        <w:t xml:space="preserve">passing a special resolution in its General Meeting except in cases where such divestment is made under a scheme of arrangement duly approved by a Court/Tribunal. </w:t>
      </w:r>
    </w:p>
    <w:p w:rsidR="00A518E8" w:rsidRPr="00A518E8" w:rsidRDefault="00A518E8" w:rsidP="00934463">
      <w:pPr>
        <w:pStyle w:val="ListParagraph"/>
        <w:spacing w:after="0"/>
        <w:ind w:left="284"/>
        <w:jc w:val="both"/>
        <w:rPr>
          <w:rFonts w:asciiTheme="majorHAnsi" w:hAnsiTheme="majorHAnsi"/>
          <w:sz w:val="24"/>
          <w:szCs w:val="24"/>
        </w:rPr>
      </w:pPr>
    </w:p>
    <w:p w:rsidR="00A518E8" w:rsidRDefault="001B23AB" w:rsidP="008C4892">
      <w:pPr>
        <w:pStyle w:val="ListParagraph"/>
        <w:numPr>
          <w:ilvl w:val="0"/>
          <w:numId w:val="4"/>
        </w:numPr>
        <w:spacing w:after="0"/>
        <w:jc w:val="both"/>
        <w:rPr>
          <w:rFonts w:asciiTheme="majorHAnsi" w:hAnsiTheme="majorHAnsi"/>
          <w:sz w:val="24"/>
          <w:szCs w:val="24"/>
        </w:rPr>
      </w:pPr>
      <w:r w:rsidRPr="001B23AB">
        <w:rPr>
          <w:rFonts w:asciiTheme="majorHAnsi" w:hAnsiTheme="majorHAnsi"/>
          <w:sz w:val="24"/>
          <w:szCs w:val="24"/>
        </w:rPr>
        <w:t xml:space="preserve">The Company shall not sell, dispose off and lease </w:t>
      </w:r>
      <w:r w:rsidR="00A518E8" w:rsidRPr="001B23AB">
        <w:rPr>
          <w:rFonts w:asciiTheme="majorHAnsi" w:hAnsiTheme="majorHAnsi"/>
          <w:sz w:val="24"/>
          <w:szCs w:val="24"/>
        </w:rPr>
        <w:t xml:space="preserve">assets amounting to more than twenty percent of the assets of the </w:t>
      </w:r>
      <w:r w:rsidR="007107E3">
        <w:rPr>
          <w:rFonts w:asciiTheme="majorHAnsi" w:hAnsiTheme="majorHAnsi"/>
          <w:sz w:val="24"/>
          <w:szCs w:val="24"/>
        </w:rPr>
        <w:t>M</w:t>
      </w:r>
      <w:r w:rsidR="00A518E8" w:rsidRPr="001B23AB">
        <w:rPr>
          <w:rFonts w:asciiTheme="majorHAnsi" w:hAnsiTheme="majorHAnsi"/>
          <w:sz w:val="24"/>
          <w:szCs w:val="24"/>
        </w:rPr>
        <w:t xml:space="preserve">aterial </w:t>
      </w:r>
      <w:r w:rsidR="007107E3">
        <w:rPr>
          <w:rFonts w:asciiTheme="majorHAnsi" w:hAnsiTheme="majorHAnsi"/>
          <w:sz w:val="24"/>
          <w:szCs w:val="24"/>
        </w:rPr>
        <w:t>S</w:t>
      </w:r>
      <w:r w:rsidR="00A518E8" w:rsidRPr="001B23AB">
        <w:rPr>
          <w:rFonts w:asciiTheme="majorHAnsi" w:hAnsiTheme="majorHAnsi"/>
          <w:sz w:val="24"/>
          <w:szCs w:val="24"/>
        </w:rPr>
        <w:t xml:space="preserve">ubsidiary on an aggregate basis during a financial year </w:t>
      </w:r>
      <w:r w:rsidRPr="001B23AB">
        <w:rPr>
          <w:rFonts w:asciiTheme="majorHAnsi" w:hAnsiTheme="majorHAnsi"/>
          <w:sz w:val="24"/>
          <w:szCs w:val="24"/>
        </w:rPr>
        <w:t xml:space="preserve">without prior approval of shareholders by way of special resolution, </w:t>
      </w:r>
      <w:r w:rsidR="00A518E8" w:rsidRPr="001B23AB">
        <w:rPr>
          <w:rFonts w:asciiTheme="majorHAnsi" w:hAnsiTheme="majorHAnsi"/>
          <w:sz w:val="24"/>
          <w:szCs w:val="24"/>
        </w:rPr>
        <w:t>unless the sale/disposal/lease is made under a scheme</w:t>
      </w:r>
      <w:r w:rsidRPr="001B23AB">
        <w:rPr>
          <w:rFonts w:asciiTheme="majorHAnsi" w:hAnsiTheme="majorHAnsi"/>
          <w:sz w:val="24"/>
          <w:szCs w:val="24"/>
        </w:rPr>
        <w:t xml:space="preserve"> of arrangement duly approved by a Court/Tribunal.</w:t>
      </w:r>
    </w:p>
    <w:p w:rsidR="008C4892" w:rsidRPr="008C4892" w:rsidRDefault="008C4892" w:rsidP="008C4892">
      <w:pPr>
        <w:pStyle w:val="ListParagraph"/>
        <w:rPr>
          <w:rFonts w:asciiTheme="majorHAnsi" w:hAnsiTheme="majorHAnsi"/>
          <w:sz w:val="24"/>
          <w:szCs w:val="24"/>
        </w:rPr>
      </w:pPr>
    </w:p>
    <w:p w:rsidR="008C4892" w:rsidRDefault="008C4892" w:rsidP="008C4892">
      <w:pPr>
        <w:pStyle w:val="ListParagraph"/>
        <w:numPr>
          <w:ilvl w:val="0"/>
          <w:numId w:val="4"/>
        </w:numPr>
        <w:spacing w:after="0"/>
        <w:jc w:val="both"/>
        <w:rPr>
          <w:rFonts w:asciiTheme="majorHAnsi" w:hAnsiTheme="majorHAnsi"/>
          <w:sz w:val="24"/>
          <w:szCs w:val="24"/>
        </w:rPr>
      </w:pPr>
      <w:r>
        <w:rPr>
          <w:rFonts w:asciiTheme="majorHAnsi" w:hAnsiTheme="majorHAnsi"/>
          <w:sz w:val="24"/>
          <w:szCs w:val="24"/>
        </w:rPr>
        <w:t xml:space="preserve">Where a Company has a Listed Subsidiary, which is itself a holding Company, the provisions of this regulation shall apply to the Listed Subsidiary in so far its Subsidiaries are concerned. </w:t>
      </w:r>
    </w:p>
    <w:p w:rsidR="001B23AB" w:rsidRDefault="001B23AB" w:rsidP="00934463">
      <w:pPr>
        <w:pStyle w:val="ListParagraph"/>
        <w:spacing w:after="0"/>
        <w:ind w:left="284"/>
        <w:jc w:val="both"/>
        <w:rPr>
          <w:rFonts w:asciiTheme="majorHAnsi" w:hAnsiTheme="majorHAnsi"/>
          <w:sz w:val="24"/>
          <w:szCs w:val="24"/>
        </w:rPr>
      </w:pPr>
    </w:p>
    <w:p w:rsidR="001B23AB" w:rsidRDefault="001B23AB" w:rsidP="00934463">
      <w:pPr>
        <w:pStyle w:val="ListParagraph"/>
        <w:numPr>
          <w:ilvl w:val="0"/>
          <w:numId w:val="1"/>
        </w:numPr>
        <w:spacing w:after="0"/>
        <w:ind w:left="284" w:hanging="426"/>
        <w:rPr>
          <w:rFonts w:asciiTheme="majorHAnsi" w:hAnsiTheme="majorHAnsi"/>
          <w:b/>
          <w:sz w:val="24"/>
          <w:szCs w:val="24"/>
        </w:rPr>
      </w:pPr>
      <w:r w:rsidRPr="001B23AB">
        <w:rPr>
          <w:rFonts w:asciiTheme="majorHAnsi" w:hAnsiTheme="majorHAnsi"/>
          <w:b/>
          <w:sz w:val="24"/>
          <w:szCs w:val="24"/>
        </w:rPr>
        <w:t>REPORTING AND DISCLOSURE</w:t>
      </w:r>
      <w:r w:rsidR="00532714">
        <w:rPr>
          <w:rFonts w:asciiTheme="majorHAnsi" w:hAnsiTheme="majorHAnsi"/>
          <w:b/>
          <w:sz w:val="24"/>
          <w:szCs w:val="24"/>
        </w:rPr>
        <w:t>:</w:t>
      </w:r>
    </w:p>
    <w:p w:rsidR="001B23AB" w:rsidRDefault="001B23AB" w:rsidP="00934463">
      <w:pPr>
        <w:pStyle w:val="ListParagraph"/>
        <w:spacing w:after="0"/>
        <w:ind w:left="284"/>
        <w:rPr>
          <w:rFonts w:asciiTheme="majorHAnsi" w:hAnsiTheme="majorHAnsi"/>
          <w:b/>
          <w:sz w:val="24"/>
          <w:szCs w:val="24"/>
        </w:rPr>
      </w:pPr>
    </w:p>
    <w:p w:rsidR="001B23AB" w:rsidRDefault="001B23AB" w:rsidP="00934463">
      <w:pPr>
        <w:pStyle w:val="ListParagraph"/>
        <w:spacing w:after="0"/>
        <w:ind w:left="284"/>
        <w:jc w:val="both"/>
        <w:rPr>
          <w:rFonts w:asciiTheme="majorHAnsi" w:hAnsiTheme="majorHAnsi"/>
          <w:sz w:val="24"/>
          <w:szCs w:val="24"/>
        </w:rPr>
      </w:pPr>
      <w:r w:rsidRPr="001B23AB">
        <w:rPr>
          <w:rFonts w:asciiTheme="majorHAnsi" w:hAnsiTheme="majorHAnsi"/>
          <w:sz w:val="24"/>
          <w:szCs w:val="24"/>
        </w:rPr>
        <w:t>As stipulated by Regulation 46(2) o</w:t>
      </w:r>
      <w:r w:rsidR="00532714">
        <w:rPr>
          <w:rFonts w:asciiTheme="majorHAnsi" w:hAnsiTheme="majorHAnsi"/>
          <w:sz w:val="24"/>
          <w:szCs w:val="24"/>
        </w:rPr>
        <w:t xml:space="preserve">f </w:t>
      </w:r>
      <w:r w:rsidR="008C4892" w:rsidRPr="007C6ED6">
        <w:rPr>
          <w:rFonts w:asciiTheme="majorHAnsi" w:hAnsiTheme="majorHAnsi"/>
          <w:sz w:val="24"/>
          <w:szCs w:val="24"/>
        </w:rPr>
        <w:t>Securities and Exchange Board of India (Listing Obligation and Disclosure Requirements) Regulations, 2015</w:t>
      </w:r>
      <w:r w:rsidRPr="001B23AB">
        <w:rPr>
          <w:rFonts w:asciiTheme="majorHAnsi" w:hAnsiTheme="majorHAnsi"/>
          <w:sz w:val="24"/>
          <w:szCs w:val="24"/>
        </w:rPr>
        <w:t>, this Policy shall be disclosed on the Company’s website.</w:t>
      </w:r>
    </w:p>
    <w:p w:rsidR="001B23AB" w:rsidRDefault="001B23AB" w:rsidP="00934463">
      <w:pPr>
        <w:pStyle w:val="ListParagraph"/>
        <w:spacing w:after="0"/>
        <w:ind w:left="284"/>
        <w:rPr>
          <w:rFonts w:asciiTheme="majorHAnsi" w:hAnsiTheme="majorHAnsi"/>
          <w:sz w:val="24"/>
          <w:szCs w:val="24"/>
        </w:rPr>
      </w:pPr>
    </w:p>
    <w:p w:rsidR="001B23AB" w:rsidRDefault="001B23AB" w:rsidP="00934463">
      <w:pPr>
        <w:pStyle w:val="ListParagraph"/>
        <w:numPr>
          <w:ilvl w:val="0"/>
          <w:numId w:val="1"/>
        </w:numPr>
        <w:spacing w:after="0"/>
        <w:ind w:left="284" w:hanging="426"/>
        <w:rPr>
          <w:rFonts w:asciiTheme="majorHAnsi" w:hAnsiTheme="majorHAnsi"/>
          <w:b/>
          <w:sz w:val="24"/>
          <w:szCs w:val="24"/>
        </w:rPr>
      </w:pPr>
      <w:r w:rsidRPr="001B23AB">
        <w:rPr>
          <w:rFonts w:asciiTheme="majorHAnsi" w:hAnsiTheme="majorHAnsi"/>
          <w:b/>
          <w:sz w:val="24"/>
          <w:szCs w:val="24"/>
        </w:rPr>
        <w:t>POLICY REVIEW</w:t>
      </w:r>
      <w:r w:rsidR="00532714">
        <w:rPr>
          <w:rFonts w:asciiTheme="majorHAnsi" w:hAnsiTheme="majorHAnsi"/>
          <w:b/>
          <w:sz w:val="24"/>
          <w:szCs w:val="24"/>
        </w:rPr>
        <w:t>:</w:t>
      </w:r>
    </w:p>
    <w:p w:rsidR="001B23AB" w:rsidRDefault="001B23AB" w:rsidP="00FB4EFD">
      <w:pPr>
        <w:pStyle w:val="ListParagraph"/>
        <w:spacing w:after="0"/>
        <w:ind w:left="284"/>
        <w:jc w:val="both"/>
        <w:rPr>
          <w:rFonts w:asciiTheme="majorHAnsi" w:hAnsiTheme="majorHAnsi"/>
          <w:b/>
          <w:sz w:val="24"/>
          <w:szCs w:val="24"/>
        </w:rPr>
      </w:pPr>
    </w:p>
    <w:p w:rsidR="00AE5035" w:rsidRDefault="00D7286D" w:rsidP="00FB4EFD">
      <w:pPr>
        <w:pStyle w:val="ListParagraph"/>
        <w:spacing w:after="0"/>
        <w:ind w:left="284"/>
        <w:jc w:val="both"/>
        <w:rPr>
          <w:rFonts w:asciiTheme="majorHAnsi" w:hAnsiTheme="majorHAnsi"/>
          <w:b/>
          <w:sz w:val="24"/>
          <w:szCs w:val="24"/>
        </w:rPr>
      </w:pPr>
      <w:r>
        <w:rPr>
          <w:rFonts w:asciiTheme="majorHAnsi" w:hAnsiTheme="majorHAnsi"/>
          <w:sz w:val="24"/>
          <w:szCs w:val="24"/>
        </w:rPr>
        <w:t>Any change in this Policy shall be approved by the Board of Directors of the Company. The Board of Directors shall have the right to withdraw and /or amend any part of this Policy or the entire Policy, at any time, as it deems, fit or from time to time, and the decision of the Board in this respect shall be final and binding.</w:t>
      </w:r>
    </w:p>
    <w:p w:rsidR="00AE5035" w:rsidRPr="00AE5035" w:rsidRDefault="00AE5035" w:rsidP="00934463">
      <w:pPr>
        <w:pStyle w:val="ListParagraph"/>
        <w:spacing w:after="0"/>
        <w:ind w:left="284"/>
        <w:jc w:val="both"/>
        <w:rPr>
          <w:rFonts w:asciiTheme="majorHAnsi" w:hAnsiTheme="majorHAnsi"/>
          <w:sz w:val="24"/>
          <w:szCs w:val="24"/>
        </w:rPr>
      </w:pPr>
    </w:p>
    <w:sectPr w:rsidR="00AE5035" w:rsidRPr="00AE5035" w:rsidSect="006C4F7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EAA" w:rsidRDefault="00921EAA" w:rsidP="00F25526">
      <w:pPr>
        <w:spacing w:after="0" w:line="240" w:lineRule="auto"/>
      </w:pPr>
      <w:r>
        <w:separator/>
      </w:r>
    </w:p>
  </w:endnote>
  <w:endnote w:type="continuationSeparator" w:id="0">
    <w:p w:rsidR="00921EAA" w:rsidRDefault="00921EAA" w:rsidP="00F25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87048"/>
      <w:docPartObj>
        <w:docPartGallery w:val="Page Numbers (Bottom of Page)"/>
        <w:docPartUnique/>
      </w:docPartObj>
    </w:sdtPr>
    <w:sdtEndPr/>
    <w:sdtContent>
      <w:sdt>
        <w:sdtPr>
          <w:id w:val="98381352"/>
          <w:docPartObj>
            <w:docPartGallery w:val="Page Numbers (Top of Page)"/>
            <w:docPartUnique/>
          </w:docPartObj>
        </w:sdtPr>
        <w:sdtEndPr/>
        <w:sdtContent>
          <w:p w:rsidR="00ED2BCC" w:rsidRDefault="00ED2BCC" w:rsidP="00ED2BCC">
            <w:pPr>
              <w:pStyle w:val="Footer"/>
              <w:jc w:val="right"/>
            </w:pPr>
            <w:r>
              <w:t xml:space="preserve">Page </w:t>
            </w:r>
            <w:r w:rsidR="009F6FFC">
              <w:rPr>
                <w:b/>
                <w:sz w:val="24"/>
                <w:szCs w:val="24"/>
              </w:rPr>
              <w:fldChar w:fldCharType="begin"/>
            </w:r>
            <w:r>
              <w:rPr>
                <w:b/>
              </w:rPr>
              <w:instrText xml:space="preserve"> PAGE </w:instrText>
            </w:r>
            <w:r w:rsidR="009F6FFC">
              <w:rPr>
                <w:b/>
                <w:sz w:val="24"/>
                <w:szCs w:val="24"/>
              </w:rPr>
              <w:fldChar w:fldCharType="separate"/>
            </w:r>
            <w:r w:rsidR="009C6008">
              <w:rPr>
                <w:b/>
                <w:noProof/>
              </w:rPr>
              <w:t>3</w:t>
            </w:r>
            <w:r w:rsidR="009F6FFC">
              <w:rPr>
                <w:b/>
                <w:sz w:val="24"/>
                <w:szCs w:val="24"/>
              </w:rPr>
              <w:fldChar w:fldCharType="end"/>
            </w:r>
            <w:r>
              <w:t xml:space="preserve"> of </w:t>
            </w:r>
            <w:r w:rsidR="009F6FFC">
              <w:rPr>
                <w:b/>
                <w:sz w:val="24"/>
                <w:szCs w:val="24"/>
              </w:rPr>
              <w:fldChar w:fldCharType="begin"/>
            </w:r>
            <w:r>
              <w:rPr>
                <w:b/>
              </w:rPr>
              <w:instrText xml:space="preserve"> NUMPAGES  </w:instrText>
            </w:r>
            <w:r w:rsidR="009F6FFC">
              <w:rPr>
                <w:b/>
                <w:sz w:val="24"/>
                <w:szCs w:val="24"/>
              </w:rPr>
              <w:fldChar w:fldCharType="separate"/>
            </w:r>
            <w:r w:rsidR="009C6008">
              <w:rPr>
                <w:b/>
                <w:noProof/>
              </w:rPr>
              <w:t>3</w:t>
            </w:r>
            <w:r w:rsidR="009F6FFC">
              <w:rPr>
                <w:b/>
                <w:sz w:val="24"/>
                <w:szCs w:val="24"/>
              </w:rPr>
              <w:fldChar w:fldCharType="end"/>
            </w:r>
          </w:p>
        </w:sdtContent>
      </w:sdt>
    </w:sdtContent>
  </w:sdt>
  <w:p w:rsidR="00ED2BCC" w:rsidRDefault="00ED2B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EAA" w:rsidRDefault="00921EAA" w:rsidP="00F25526">
      <w:pPr>
        <w:spacing w:after="0" w:line="240" w:lineRule="auto"/>
      </w:pPr>
      <w:r>
        <w:separator/>
      </w:r>
    </w:p>
  </w:footnote>
  <w:footnote w:type="continuationSeparator" w:id="0">
    <w:p w:rsidR="00921EAA" w:rsidRDefault="00921EAA" w:rsidP="00F255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40C98"/>
    <w:multiLevelType w:val="hybridMultilevel"/>
    <w:tmpl w:val="C8C84BD6"/>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nsid w:val="0A8D63E0"/>
    <w:multiLevelType w:val="hybridMultilevel"/>
    <w:tmpl w:val="ABBCEC1C"/>
    <w:lvl w:ilvl="0" w:tplc="C68C6012">
      <w:start w:val="1"/>
      <w:numFmt w:val="lowerLetter"/>
      <w:lvlText w:val="%1."/>
      <w:lvlJc w:val="left"/>
      <w:pPr>
        <w:ind w:left="1440" w:hanging="360"/>
      </w:pPr>
      <w:rPr>
        <w:rFonts w:ascii="Bookman Old Style" w:eastAsia="Arial" w:hAnsi="Bookman Old Style" w:hint="default"/>
        <w:spacing w:val="-1"/>
        <w:w w:val="99"/>
        <w:sz w:val="20"/>
        <w:szCs w:val="2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nsid w:val="130A2167"/>
    <w:multiLevelType w:val="hybridMultilevel"/>
    <w:tmpl w:val="7BCCE0E4"/>
    <w:lvl w:ilvl="0" w:tplc="234209A2">
      <w:start w:val="1"/>
      <w:numFmt w:val="lowerLetter"/>
      <w:lvlText w:val="%1."/>
      <w:lvlJc w:val="left"/>
      <w:pPr>
        <w:ind w:left="1080" w:hanging="360"/>
      </w:pPr>
      <w:rPr>
        <w:rFonts w:asciiTheme="majorHAnsi" w:eastAsia="Arial" w:hAnsiTheme="majorHAnsi" w:hint="default"/>
        <w:spacing w:val="-1"/>
        <w:w w:val="99"/>
        <w:sz w:val="24"/>
        <w:szCs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nsid w:val="236769AC"/>
    <w:multiLevelType w:val="hybridMultilevel"/>
    <w:tmpl w:val="577C9F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7095755"/>
    <w:multiLevelType w:val="hybridMultilevel"/>
    <w:tmpl w:val="2A84533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65FE01A2"/>
    <w:multiLevelType w:val="hybridMultilevel"/>
    <w:tmpl w:val="AF94447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26219"/>
    <w:rsid w:val="00105C2C"/>
    <w:rsid w:val="001B23AB"/>
    <w:rsid w:val="001F1446"/>
    <w:rsid w:val="0021773D"/>
    <w:rsid w:val="00226219"/>
    <w:rsid w:val="0030129A"/>
    <w:rsid w:val="0031484B"/>
    <w:rsid w:val="00344698"/>
    <w:rsid w:val="003804DB"/>
    <w:rsid w:val="003959AC"/>
    <w:rsid w:val="003B098C"/>
    <w:rsid w:val="003D0B57"/>
    <w:rsid w:val="00423EE6"/>
    <w:rsid w:val="004639CD"/>
    <w:rsid w:val="004D49B2"/>
    <w:rsid w:val="00532714"/>
    <w:rsid w:val="00532C0D"/>
    <w:rsid w:val="00557CB0"/>
    <w:rsid w:val="0059644B"/>
    <w:rsid w:val="00612330"/>
    <w:rsid w:val="00631E90"/>
    <w:rsid w:val="00664779"/>
    <w:rsid w:val="0068197C"/>
    <w:rsid w:val="006848AE"/>
    <w:rsid w:val="006C4F78"/>
    <w:rsid w:val="006F5760"/>
    <w:rsid w:val="00700F3B"/>
    <w:rsid w:val="007107E3"/>
    <w:rsid w:val="007126C4"/>
    <w:rsid w:val="00756A6E"/>
    <w:rsid w:val="00795544"/>
    <w:rsid w:val="007A193C"/>
    <w:rsid w:val="007C6ED6"/>
    <w:rsid w:val="008C4892"/>
    <w:rsid w:val="008D733A"/>
    <w:rsid w:val="009113EB"/>
    <w:rsid w:val="00921EAA"/>
    <w:rsid w:val="00934463"/>
    <w:rsid w:val="009C6008"/>
    <w:rsid w:val="009F6FFC"/>
    <w:rsid w:val="00A243D5"/>
    <w:rsid w:val="00A3108B"/>
    <w:rsid w:val="00A47FF2"/>
    <w:rsid w:val="00A50EFF"/>
    <w:rsid w:val="00A518E8"/>
    <w:rsid w:val="00AE5035"/>
    <w:rsid w:val="00B643BB"/>
    <w:rsid w:val="00C14B6C"/>
    <w:rsid w:val="00C225F5"/>
    <w:rsid w:val="00C31BBA"/>
    <w:rsid w:val="00CA47D7"/>
    <w:rsid w:val="00CB79C3"/>
    <w:rsid w:val="00D7286D"/>
    <w:rsid w:val="00DA0BEA"/>
    <w:rsid w:val="00DB5B79"/>
    <w:rsid w:val="00DD27A6"/>
    <w:rsid w:val="00E56236"/>
    <w:rsid w:val="00E9051C"/>
    <w:rsid w:val="00ED2BCC"/>
    <w:rsid w:val="00F1665E"/>
    <w:rsid w:val="00F25526"/>
    <w:rsid w:val="00F42609"/>
    <w:rsid w:val="00F54153"/>
    <w:rsid w:val="00F65249"/>
    <w:rsid w:val="00FB4EFD"/>
    <w:rsid w:val="00FB675C"/>
    <w:rsid w:val="00FE1644"/>
    <w:rsid w:val="00FF5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F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129A"/>
    <w:pPr>
      <w:ind w:left="720"/>
      <w:contextualSpacing/>
    </w:pPr>
  </w:style>
  <w:style w:type="paragraph" w:styleId="Header">
    <w:name w:val="header"/>
    <w:basedOn w:val="Normal"/>
    <w:link w:val="HeaderChar"/>
    <w:uiPriority w:val="99"/>
    <w:semiHidden/>
    <w:unhideWhenUsed/>
    <w:rsid w:val="00F2552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25526"/>
  </w:style>
  <w:style w:type="paragraph" w:styleId="Footer">
    <w:name w:val="footer"/>
    <w:basedOn w:val="Normal"/>
    <w:link w:val="FooterChar"/>
    <w:uiPriority w:val="99"/>
    <w:unhideWhenUsed/>
    <w:rsid w:val="00F255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5526"/>
  </w:style>
  <w:style w:type="paragraph" w:styleId="BalloonText">
    <w:name w:val="Balloon Text"/>
    <w:basedOn w:val="Normal"/>
    <w:link w:val="BalloonTextChar"/>
    <w:uiPriority w:val="99"/>
    <w:semiHidden/>
    <w:unhideWhenUsed/>
    <w:rsid w:val="00532C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C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53032-19F8-4007-B994-D7201B0CA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807</Words>
  <Characters>4601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Rama Krishna Reddy - Hyd</cp:lastModifiedBy>
  <cp:revision>29</cp:revision>
  <cp:lastPrinted>2016-01-27T07:33:00Z</cp:lastPrinted>
  <dcterms:created xsi:type="dcterms:W3CDTF">2016-01-21T11:53:00Z</dcterms:created>
  <dcterms:modified xsi:type="dcterms:W3CDTF">2016-02-19T10:28:00Z</dcterms:modified>
</cp:coreProperties>
</file>