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bottom w:color="4f81bd" w:space="4" w:sz="8" w:val="single"/>
        </w:pBdr>
        <w:spacing w:after="300" w:line="240" w:lineRule="auto"/>
        <w:jc w:val="center"/>
        <w:rPr>
          <w:rFonts w:ascii="Calibri" w:cs="Calibri" w:eastAsia="Calibri" w:hAnsi="Calibri"/>
          <w:color w:val="17365d"/>
        </w:rPr>
      </w:pPr>
      <w:bookmarkStart w:colFirst="0" w:colLast="0" w:name="_apuja463dwoa" w:id="0"/>
      <w:bookmarkEnd w:id="0"/>
      <w:r w:rsidDel="00000000" w:rsidR="00000000" w:rsidRPr="00000000">
        <w:rPr>
          <w:rFonts w:ascii="Calibri" w:cs="Calibri" w:eastAsia="Calibri" w:hAnsi="Calibri"/>
          <w:color w:val="17365d"/>
          <w:rtl w:val="0"/>
        </w:rPr>
        <w:t xml:space="preserve">Credit Exposed Day 3</w:t>
      </w:r>
    </w:p>
    <w:p w:rsidR="00000000" w:rsidDel="00000000" w:rsidP="00000000" w:rsidRDefault="00000000" w:rsidRPr="00000000" w14:paraId="00000002">
      <w:pPr>
        <w:spacing w:line="276" w:lineRule="auto"/>
        <w:jc w:val="center"/>
        <w:rPr/>
      </w:pPr>
      <w:r w:rsidDel="00000000" w:rsidR="00000000" w:rsidRPr="00000000">
        <w:rPr>
          <w:rFonts w:ascii="Cambria" w:cs="Cambria" w:eastAsia="Cambria" w:hAnsi="Cambria"/>
          <w:sz w:val="36"/>
          <w:szCs w:val="36"/>
          <w:rtl w:val="0"/>
        </w:rPr>
        <w:t xml:space="preserve">Take Home Credit Opportunity Workbook</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r w:rsidDel="00000000" w:rsidR="00000000" w:rsidRPr="00000000">
        <w:rPr>
          <w:rFonts w:ascii="Cambria" w:cs="Cambria" w:eastAsia="Cambria" w:hAnsi="Cambria"/>
          <w:rtl w:val="0"/>
        </w:rPr>
        <w:t xml:space="preserve">Check mark when completed</w:t>
      </w: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Go through credit report and highlight delinquent accounts</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Identify accounts outside of the delinquent reporting period.</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Create a FREE CFPB Account.</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Sign up for a FREE account with the Credit Reporting Agencies Directly</w:t>
      </w:r>
    </w:p>
    <w:p w:rsidR="00000000" w:rsidDel="00000000" w:rsidP="00000000" w:rsidRDefault="00000000" w:rsidRPr="00000000" w14:paraId="00000009">
      <w:pPr>
        <w:pStyle w:val="Heading2"/>
        <w:keepNext w:val="0"/>
        <w:keepLines w:val="0"/>
        <w:spacing w:before="480" w:lineRule="auto"/>
        <w:rPr>
          <w:rFonts w:ascii="Cambria" w:cs="Cambria" w:eastAsia="Cambria" w:hAnsi="Cambria"/>
          <w:b w:val="1"/>
          <w:bCs w:val="1"/>
          <w:sz w:val="26"/>
          <w:szCs w:val="26"/>
        </w:rPr>
      </w:pPr>
      <w:bookmarkStart w:colFirst="0" w:colLast="0" w:name="_wi2rf5ju0dhe" w:id="1"/>
      <w:bookmarkEnd w:id="1"/>
      <w:r w:rsidDel="00000000" w:rsidR="00000000" w:rsidRPr="00000000">
        <w:rPr>
          <w:rFonts w:ascii="Cambria" w:cs="Cambria" w:eastAsia="Cambria" w:hAnsi="Cambria"/>
          <w:b w:val="1"/>
          <w:bCs w:val="1"/>
          <w:sz w:val="26"/>
          <w:szCs w:val="26"/>
          <w:rtl w:val="0"/>
        </w:rPr>
        <w:t xml:space="preserve">Activity 1: </w:t>
      </w:r>
      <w:r w:rsidDel="00000000" w:rsidR="00000000" w:rsidRPr="00000000">
        <w:rPr>
          <w:rFonts w:ascii="Cambria" w:cs="Cambria" w:eastAsia="Cambria" w:hAnsi="Cambria"/>
          <w:b w:val="1"/>
          <w:bCs w:val="1"/>
          <w:sz w:val="26"/>
          <w:szCs w:val="26"/>
          <w:rtl w:val="0"/>
        </w:rPr>
        <w:t xml:space="preserve">Identify Delinquent Accounts on Your Credit Report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activity helps you identify delinquent accounts reporting on your credit report. Delinquent accounts include accounts that show late payments, charge offs, collections, repossessions, or other negative reporting.</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Using the credit reports you previously pulled, carefully review the accounts and collections sections of your credit report. Highlight or mark any accounts that show negative payment history or delinquent status.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goal of this activity is to clearly identify which accounts may require attention before determining the appropriate resolution strategy.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Answer the questions below based on what you find on your credit report.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Did you identify any delinquent accounts on your credit report?</w:t>
        <w:br w:type="textWrapping"/>
        <w:t xml:space="preserve">Yes ☐ No ☐</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List the delinquent accounts you identified.</w:t>
      </w:r>
    </w:p>
    <w:p w:rsidR="00000000" w:rsidDel="00000000" w:rsidP="00000000" w:rsidRDefault="00000000" w:rsidRPr="00000000" w14:paraId="00000010">
      <w:pPr>
        <w:numPr>
          <w:ilvl w:val="0"/>
          <w:numId w:val="2"/>
        </w:numPr>
        <w:spacing w:after="0" w:afterAutospacing="0" w:before="24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numPr>
          <w:ilvl w:val="0"/>
          <w:numId w:val="2"/>
        </w:numPr>
        <w:spacing w:after="240" w:before="0" w:beforeAutospacing="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type of derogatory remark appears on these accounts?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Late Payments ☐</w:t>
        <w:br w:type="textWrapping"/>
        <w:t xml:space="preserve">Charge Off ☐</w:t>
        <w:br w:type="textWrapping"/>
        <w:t xml:space="preserve">Collection ☐</w:t>
        <w:br w:type="textWrapping"/>
        <w:t xml:space="preserve">Repossession ☐</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month and year did the delinquency begin?</w:t>
      </w:r>
    </w:p>
    <w:p w:rsidR="00000000" w:rsidDel="00000000" w:rsidP="00000000" w:rsidRDefault="00000000" w:rsidRPr="00000000" w14:paraId="0000001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Did any of these accounts surprise you?</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1"/>
        <w:keepNext w:val="0"/>
        <w:keepLines w:val="0"/>
        <w:spacing w:before="480" w:lineRule="auto"/>
        <w:rPr>
          <w:rFonts w:ascii="Cambria" w:cs="Cambria" w:eastAsia="Cambria" w:hAnsi="Cambria"/>
          <w:b w:val="1"/>
          <w:bCs w:val="1"/>
          <w:sz w:val="26"/>
          <w:szCs w:val="26"/>
        </w:rPr>
      </w:pPr>
      <w:bookmarkStart w:colFirst="0" w:colLast="0" w:name="_j8as99b8ok8" w:id="2"/>
      <w:bookmarkEnd w:id="2"/>
      <w:r w:rsidDel="00000000" w:rsidR="00000000" w:rsidRPr="00000000">
        <w:rPr>
          <w:rFonts w:ascii="Calibri" w:cs="Calibri" w:eastAsia="Calibri" w:hAnsi="Calibri"/>
          <w:b w:val="1"/>
          <w:bCs w:val="1"/>
          <w:sz w:val="26"/>
          <w:szCs w:val="26"/>
          <w:rtl w:val="0"/>
        </w:rPr>
        <w:t xml:space="preserve">Activity 2: </w:t>
      </w:r>
      <w:r w:rsidDel="00000000" w:rsidR="00000000" w:rsidRPr="00000000">
        <w:rPr>
          <w:rFonts w:ascii="Cambria" w:cs="Cambria" w:eastAsia="Cambria" w:hAnsi="Cambria"/>
          <w:b w:val="1"/>
          <w:bCs w:val="1"/>
          <w:sz w:val="26"/>
          <w:szCs w:val="26"/>
          <w:rtl w:val="0"/>
        </w:rPr>
        <w:t xml:space="preserve">Identify Accounts Outside the Reporting Period</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Negative information cannot remain on your credit report forever. Most negative accounts must be removed 7 years plus 180 days from the date of first delinquency.</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Review the delinquent accounts you identified in the previous activity and determine whether any may be outside the legal reporting period.</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goal of this activity is to recognize accounts that may no longer be legally reportable.</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List accounts that may be outside the reporting period.</w:t>
      </w:r>
    </w:p>
    <w:p w:rsidR="00000000" w:rsidDel="00000000" w:rsidP="00000000" w:rsidRDefault="00000000" w:rsidRPr="00000000" w14:paraId="00000021">
      <w:pPr>
        <w:numPr>
          <w:ilvl w:val="0"/>
          <w:numId w:val="3"/>
        </w:numPr>
        <w:spacing w:after="0" w:afterAutospacing="0" w:before="24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numPr>
          <w:ilvl w:val="0"/>
          <w:numId w:val="3"/>
        </w:numPr>
        <w:spacing w:after="240" w:before="0" w:beforeAutospacing="0" w:lineRule="auto"/>
        <w:ind w:left="720" w:hanging="36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the date of first delinquency listed on the account?</w:t>
      </w:r>
    </w:p>
    <w:p w:rsidR="00000000" w:rsidDel="00000000" w:rsidP="00000000" w:rsidRDefault="00000000" w:rsidRPr="00000000" w14:paraId="0000002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Approximately how many years has the account been reporting?</w:t>
      </w:r>
    </w:p>
    <w:p w:rsidR="00000000" w:rsidDel="00000000" w:rsidP="00000000" w:rsidRDefault="00000000" w:rsidRPr="00000000" w14:paraId="00000027">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 you believe the account may be outside the reporting period?</w:t>
        <w:br w:type="textWrapping"/>
        <w:t xml:space="preserve">Yes ☐ No ☐</w:t>
      </w:r>
    </w:p>
    <w:p w:rsidR="00000000" w:rsidDel="00000000" w:rsidP="00000000" w:rsidRDefault="00000000" w:rsidRPr="00000000" w14:paraId="00000029">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46"/>
          <w:szCs w:val="46"/>
        </w:rPr>
      </w:pPr>
      <w:bookmarkStart w:colFirst="0" w:colLast="0" w:name="_r7r42jhddiwd" w:id="3"/>
      <w:bookmarkEnd w:id="3"/>
      <w:r w:rsidDel="00000000" w:rsidR="00000000" w:rsidRPr="00000000">
        <w:rPr>
          <w:rtl w:val="0"/>
        </w:rPr>
      </w:r>
    </w:p>
    <w:p w:rsidR="00000000" w:rsidDel="00000000" w:rsidP="00000000" w:rsidRDefault="00000000" w:rsidRPr="00000000" w14:paraId="0000002B">
      <w:pPr>
        <w:pStyle w:val="Heading3"/>
        <w:keepNext w:val="0"/>
        <w:keepLines w:val="0"/>
        <w:spacing w:before="480" w:lineRule="auto"/>
        <w:rPr>
          <w:rFonts w:ascii="Cambria" w:cs="Cambria" w:eastAsia="Cambria" w:hAnsi="Cambria"/>
          <w:b w:val="1"/>
          <w:bCs w:val="1"/>
          <w:color w:val="000000"/>
          <w:sz w:val="26"/>
          <w:szCs w:val="26"/>
        </w:rPr>
      </w:pPr>
      <w:bookmarkStart w:colFirst="0" w:colLast="0" w:name="_krp9iipf0hou" w:id="4"/>
      <w:bookmarkEnd w:id="4"/>
      <w:r w:rsidDel="00000000" w:rsidR="00000000" w:rsidRPr="00000000">
        <w:rPr>
          <w:rFonts w:ascii="Cambria" w:cs="Cambria" w:eastAsia="Cambria" w:hAnsi="Cambria"/>
          <w:b w:val="1"/>
          <w:bCs w:val="1"/>
          <w:color w:val="000000"/>
          <w:sz w:val="26"/>
          <w:szCs w:val="26"/>
          <w:rtl w:val="0"/>
        </w:rPr>
        <w:t xml:space="preserve">Activity 3: Create a Free CFPB Account</w:t>
      </w:r>
    </w:p>
    <w:p w:rsidR="00000000" w:rsidDel="00000000" w:rsidP="00000000" w:rsidRDefault="00000000" w:rsidRPr="00000000" w14:paraId="0000002C">
      <w:pPr>
        <w:spacing w:after="240" w:before="240" w:lineRule="auto"/>
        <w:rPr/>
      </w:pPr>
      <w:r w:rsidDel="00000000" w:rsidR="00000000" w:rsidRPr="00000000">
        <w:rPr>
          <w:rtl w:val="0"/>
        </w:rPr>
        <w:t xml:space="preserve">The Consumer Financial Protection Bureau (CFPB) allows consumers to submit complaints regarding credit reporting errors, debt collection issues, and financial institution disputes.</w:t>
      </w:r>
    </w:p>
    <w:p w:rsidR="00000000" w:rsidDel="00000000" w:rsidP="00000000" w:rsidRDefault="00000000" w:rsidRPr="00000000" w14:paraId="0000002D">
      <w:pPr>
        <w:spacing w:after="240" w:before="240" w:lineRule="auto"/>
        <w:rPr/>
      </w:pPr>
      <w:r w:rsidDel="00000000" w:rsidR="00000000" w:rsidRPr="00000000">
        <w:rPr>
          <w:rtl w:val="0"/>
        </w:rPr>
        <w:t xml:space="preserve">Create a free account at </w:t>
      </w:r>
      <w:r w:rsidDel="00000000" w:rsidR="00000000" w:rsidRPr="00000000">
        <w:rPr>
          <w:b w:val="1"/>
          <w:bCs w:val="1"/>
          <w:rtl w:val="0"/>
        </w:rPr>
        <w:t xml:space="preserve">consumerfinance.gov</w:t>
      </w:r>
      <w:r w:rsidDel="00000000" w:rsidR="00000000" w:rsidRPr="00000000">
        <w:rPr>
          <w:rtl w:val="0"/>
        </w:rPr>
        <w:t xml:space="preserve"> so you have access to submit complaints if needed. Through the website you will see a blue button that states “Start New Complaint.” Follow the prompts in order to create an account. Creating a complaint at this time in unnecessary. </w:t>
      </w:r>
    </w:p>
    <w:p w:rsidR="00000000" w:rsidDel="00000000" w:rsidP="00000000" w:rsidRDefault="00000000" w:rsidRPr="00000000" w14:paraId="0000002E">
      <w:pPr>
        <w:spacing w:after="240" w:before="240" w:lineRule="auto"/>
        <w:rPr/>
      </w:pPr>
      <w:r w:rsidDel="00000000" w:rsidR="00000000" w:rsidRPr="00000000">
        <w:rPr>
          <w:rtl w:val="0"/>
        </w:rPr>
        <w:t xml:space="preserve">The goal of this activity is to familiarize yourself with the CFPB platform and understand how to submit complaints when necessary.</w:t>
      </w:r>
    </w:p>
    <w:p w:rsidR="00000000" w:rsidDel="00000000" w:rsidP="00000000" w:rsidRDefault="00000000" w:rsidRPr="00000000" w14:paraId="0000002F">
      <w:pPr>
        <w:spacing w:after="240" w:before="240" w:lineRule="auto"/>
        <w:rPr/>
      </w:pPr>
      <w:r w:rsidDel="00000000" w:rsidR="00000000" w:rsidRPr="00000000">
        <w:rPr>
          <w:rtl w:val="0"/>
        </w:rPr>
        <w:t xml:space="preserve">Did you successfully create your CFPB account?</w:t>
        <w:br w:type="textWrapping"/>
        <w:t xml:space="preserve">Yes ☐ No ☐</w:t>
      </w:r>
    </w:p>
    <w:p w:rsidR="00000000" w:rsidDel="00000000" w:rsidP="00000000" w:rsidRDefault="00000000" w:rsidRPr="00000000" w14:paraId="00000030">
      <w:pPr>
        <w:spacing w:after="240" w:before="240" w:lineRule="auto"/>
        <w:rPr/>
      </w:pPr>
      <w:r w:rsidDel="00000000" w:rsidR="00000000" w:rsidRPr="00000000">
        <w:rPr>
          <w:rtl w:val="0"/>
        </w:rPr>
        <w:t xml:space="preserve">Were you able to access the complaint submission section?</w:t>
        <w:br w:type="textWrapping"/>
        <w:t xml:space="preserve">Yes ☐ No ☐</w:t>
      </w:r>
    </w:p>
    <w:p w:rsidR="00000000" w:rsidDel="00000000" w:rsidP="00000000" w:rsidRDefault="00000000" w:rsidRPr="00000000" w14:paraId="00000031">
      <w:pPr>
        <w:spacing w:after="240" w:before="240" w:lineRule="auto"/>
        <w:rPr/>
      </w:pPr>
      <w:r w:rsidDel="00000000" w:rsidR="00000000" w:rsidRPr="00000000">
        <w:rPr>
          <w:rtl w:val="0"/>
        </w:rPr>
        <w:t xml:space="preserve">What types of issues can be submitted through the CFPB?</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How could the CFPB assist you if inaccurate information appears on your credit report?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8">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9">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A">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B">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C">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D">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E">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3F">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0">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1">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2">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3">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4">
      <w:pPr>
        <w:rPr>
          <w:rFonts w:ascii="Cambria" w:cs="Cambria" w:eastAsia="Cambria" w:hAnsi="Cambria"/>
          <w:b w:val="1"/>
          <w:bCs w:val="1"/>
          <w:sz w:val="26"/>
          <w:szCs w:val="26"/>
        </w:rPr>
      </w:pPr>
      <w:r w:rsidDel="00000000" w:rsidR="00000000" w:rsidRPr="00000000">
        <w:rPr>
          <w:rtl w:val="0"/>
        </w:rPr>
      </w:r>
    </w:p>
    <w:p w:rsidR="00000000" w:rsidDel="00000000" w:rsidP="00000000" w:rsidRDefault="00000000" w:rsidRPr="00000000" w14:paraId="00000045">
      <w:pPr>
        <w:rPr>
          <w:rFonts w:ascii="Cambria" w:cs="Cambria" w:eastAsia="Cambria" w:hAnsi="Cambria"/>
          <w:b w:val="1"/>
          <w:bCs w:val="1"/>
          <w:color w:val="000000"/>
          <w:sz w:val="26"/>
          <w:szCs w:val="26"/>
        </w:rPr>
      </w:pPr>
      <w:r w:rsidDel="00000000" w:rsidR="00000000" w:rsidRPr="00000000">
        <w:rPr>
          <w:rFonts w:ascii="Cambria" w:cs="Cambria" w:eastAsia="Cambria" w:hAnsi="Cambria"/>
          <w:b w:val="1"/>
          <w:bCs w:val="1"/>
          <w:color w:val="000000"/>
          <w:sz w:val="26"/>
          <w:szCs w:val="26"/>
          <w:rtl w:val="0"/>
        </w:rPr>
        <w:t xml:space="preserve">Activity 4: Create Accounts with the Credit Reporting Agencies</w:t>
      </w:r>
    </w:p>
    <w:p w:rsidR="00000000" w:rsidDel="00000000" w:rsidP="00000000" w:rsidRDefault="00000000" w:rsidRPr="00000000" w14:paraId="0000004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Creating accounts directly with the credit reporting agencies allows you to monitor your credit file and submit disputes directly through their platforms.</w:t>
      </w:r>
    </w:p>
    <w:p w:rsidR="00000000" w:rsidDel="00000000" w:rsidP="00000000" w:rsidRDefault="00000000" w:rsidRPr="00000000" w14:paraId="0000004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Create free accounts with the following credit bureaus.</w:t>
      </w:r>
    </w:p>
    <w:p w:rsidR="00000000" w:rsidDel="00000000" w:rsidP="00000000" w:rsidRDefault="00000000" w:rsidRPr="00000000" w14:paraId="0000004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Experian ☐</w:t>
        <w:br w:type="textWrapping"/>
        <w:t xml:space="preserve">Equifax ☐</w:t>
        <w:br w:type="textWrapping"/>
        <w:t xml:space="preserve">TransUnion ☐</w:t>
      </w:r>
    </w:p>
    <w:p w:rsidR="00000000" w:rsidDel="00000000" w:rsidP="00000000" w:rsidRDefault="00000000" w:rsidRPr="00000000" w14:paraId="0000004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Did you successfully create accounts with the credit bureaus?</w:t>
        <w:br w:type="textWrapping"/>
        <w:t xml:space="preserve">Yes ☐ No ☐</w:t>
      </w:r>
    </w:p>
    <w:p w:rsidR="00000000" w:rsidDel="00000000" w:rsidP="00000000" w:rsidRDefault="00000000" w:rsidRPr="00000000" w14:paraId="0000004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Were you able to access your credit report through the bureau platform?</w:t>
        <w:br w:type="textWrapping"/>
        <w:t xml:space="preserve">Yes ☐ No ☐</w:t>
      </w:r>
    </w:p>
    <w:p w:rsidR="00000000" w:rsidDel="00000000" w:rsidP="00000000" w:rsidRDefault="00000000" w:rsidRPr="00000000" w14:paraId="0000004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information did the credit bureau display about your credit file?</w:t>
      </w:r>
    </w:p>
    <w:p w:rsidR="00000000" w:rsidDel="00000000" w:rsidP="00000000" w:rsidRDefault="00000000" w:rsidRPr="00000000" w14:paraId="0000004C">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often do you plan to review your credit reports moving forward?</w:t>
      </w:r>
    </w:p>
    <w:p w:rsidR="00000000" w:rsidDel="00000000" w:rsidP="00000000" w:rsidRDefault="00000000" w:rsidRPr="00000000" w14:paraId="0000004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