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362D8" w14:textId="21987EAD" w:rsidR="00181635" w:rsidRPr="00466007" w:rsidRDefault="00D76898" w:rsidP="00466007">
      <w:pPr>
        <w:spacing w:before="100" w:beforeAutospacing="1" w:after="100" w:afterAutospacing="1" w:line="240" w:lineRule="auto"/>
        <w:jc w:val="center"/>
        <w:outlineLvl w:val="1"/>
        <w:rPr>
          <w:rFonts w:ascii="Times New Roman" w:eastAsia="Times New Roman" w:hAnsi="Times New Roman" w:cs="Times New Roman"/>
          <w:b/>
          <w:bCs/>
          <w:kern w:val="0"/>
          <w:sz w:val="35"/>
          <w:szCs w:val="35"/>
          <w:lang w:eastAsia="en-NZ"/>
          <w14:ligatures w14:val="none"/>
        </w:rPr>
      </w:pPr>
      <w:r>
        <w:rPr>
          <w:rFonts w:ascii="Times New Roman" w:eastAsia="Times New Roman" w:hAnsi="Times New Roman" w:cs="Times New Roman"/>
          <w:b/>
          <w:bCs/>
          <w:noProof/>
          <w:kern w:val="0"/>
          <w:sz w:val="36"/>
          <w:szCs w:val="36"/>
          <w:lang w:eastAsia="en-NZ"/>
        </w:rPr>
        <w:drawing>
          <wp:anchor distT="0" distB="0" distL="114300" distR="114300" simplePos="0" relativeHeight="251658240" behindDoc="1" locked="0" layoutInCell="1" allowOverlap="1" wp14:anchorId="5FAD73D6" wp14:editId="648575F2">
            <wp:simplePos x="0" y="0"/>
            <wp:positionH relativeFrom="column">
              <wp:posOffset>-400050</wp:posOffset>
            </wp:positionH>
            <wp:positionV relativeFrom="paragraph">
              <wp:posOffset>0</wp:posOffset>
            </wp:positionV>
            <wp:extent cx="1171575" cy="889635"/>
            <wp:effectExtent l="0" t="0" r="9525" b="5715"/>
            <wp:wrapTight wrapText="bothSides">
              <wp:wrapPolygon edited="0">
                <wp:start x="0" y="0"/>
                <wp:lineTo x="0" y="21276"/>
                <wp:lineTo x="21424" y="21276"/>
                <wp:lineTo x="21424" y="0"/>
                <wp:lineTo x="0" y="0"/>
              </wp:wrapPolygon>
            </wp:wrapTight>
            <wp:docPr id="501615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615072" name="Picture 50161507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1575" cy="889635"/>
                    </a:xfrm>
                    <a:prstGeom prst="rect">
                      <a:avLst/>
                    </a:prstGeom>
                  </pic:spPr>
                </pic:pic>
              </a:graphicData>
            </a:graphic>
            <wp14:sizeRelH relativeFrom="page">
              <wp14:pctWidth>0</wp14:pctWidth>
            </wp14:sizeRelH>
            <wp14:sizeRelV relativeFrom="page">
              <wp14:pctHeight>0</wp14:pctHeight>
            </wp14:sizeRelV>
          </wp:anchor>
        </w:drawing>
      </w:r>
      <w:r w:rsidR="00EA260C">
        <w:rPr>
          <w:rFonts w:ascii="Times New Roman" w:eastAsia="Times New Roman" w:hAnsi="Times New Roman" w:cs="Times New Roman"/>
          <w:b/>
          <w:bCs/>
          <w:noProof/>
          <w:kern w:val="0"/>
          <w:sz w:val="36"/>
          <w:szCs w:val="36"/>
          <w:lang w:eastAsia="en-NZ"/>
        </w:rPr>
        <w:drawing>
          <wp:anchor distT="0" distB="0" distL="114300" distR="114300" simplePos="0" relativeHeight="251660288" behindDoc="1" locked="0" layoutInCell="1" allowOverlap="1" wp14:anchorId="4B9CB43F" wp14:editId="1BCA66A7">
            <wp:simplePos x="0" y="0"/>
            <wp:positionH relativeFrom="column">
              <wp:posOffset>4981575</wp:posOffset>
            </wp:positionH>
            <wp:positionV relativeFrom="paragraph">
              <wp:posOffset>0</wp:posOffset>
            </wp:positionV>
            <wp:extent cx="1171575" cy="889635"/>
            <wp:effectExtent l="0" t="0" r="9525" b="5715"/>
            <wp:wrapTight wrapText="bothSides">
              <wp:wrapPolygon edited="0">
                <wp:start x="0" y="0"/>
                <wp:lineTo x="0" y="21276"/>
                <wp:lineTo x="21424" y="21276"/>
                <wp:lineTo x="21424" y="0"/>
                <wp:lineTo x="0" y="0"/>
              </wp:wrapPolygon>
            </wp:wrapTight>
            <wp:docPr id="225456425" name="Picture 1" descr="A frog with arms up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56425" name="Picture 1" descr="A frog with arms up and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1575" cy="889635"/>
                    </a:xfrm>
                    <a:prstGeom prst="rect">
                      <a:avLst/>
                    </a:prstGeom>
                  </pic:spPr>
                </pic:pic>
              </a:graphicData>
            </a:graphic>
            <wp14:sizeRelH relativeFrom="page">
              <wp14:pctWidth>0</wp14:pctWidth>
            </wp14:sizeRelH>
            <wp14:sizeRelV relativeFrom="page">
              <wp14:pctHeight>0</wp14:pctHeight>
            </wp14:sizeRelV>
          </wp:anchor>
        </w:drawing>
      </w:r>
      <w:r w:rsidR="00181635" w:rsidRPr="00181635">
        <w:rPr>
          <w:rFonts w:ascii="Times New Roman" w:eastAsia="Times New Roman" w:hAnsi="Times New Roman" w:cs="Times New Roman"/>
          <w:b/>
          <w:bCs/>
          <w:kern w:val="0"/>
          <w:sz w:val="36"/>
          <w:szCs w:val="36"/>
          <w:lang w:eastAsia="en-NZ"/>
          <w14:ligatures w14:val="none"/>
        </w:rPr>
        <w:t>L</w:t>
      </w:r>
      <w:r w:rsidR="00181635" w:rsidRPr="00466007">
        <w:rPr>
          <w:rFonts w:ascii="Times New Roman" w:eastAsia="Times New Roman" w:hAnsi="Times New Roman" w:cs="Times New Roman"/>
          <w:b/>
          <w:bCs/>
          <w:kern w:val="0"/>
          <w:sz w:val="35"/>
          <w:szCs w:val="35"/>
          <w:lang w:eastAsia="en-NZ"/>
          <w14:ligatures w14:val="none"/>
        </w:rPr>
        <w:t xml:space="preserve">eap Ahead Early </w:t>
      </w:r>
      <w:r w:rsidR="00466007" w:rsidRPr="00466007">
        <w:rPr>
          <w:rFonts w:ascii="Times New Roman" w:eastAsia="Times New Roman" w:hAnsi="Times New Roman" w:cs="Times New Roman"/>
          <w:b/>
          <w:bCs/>
          <w:kern w:val="0"/>
          <w:sz w:val="35"/>
          <w:szCs w:val="35"/>
          <w:lang w:eastAsia="en-NZ"/>
          <w14:ligatures w14:val="none"/>
        </w:rPr>
        <w:t>Childhood</w:t>
      </w:r>
      <w:r w:rsidR="00181635" w:rsidRPr="00466007">
        <w:rPr>
          <w:rFonts w:ascii="Times New Roman" w:eastAsia="Times New Roman" w:hAnsi="Times New Roman" w:cs="Times New Roman"/>
          <w:b/>
          <w:bCs/>
          <w:kern w:val="0"/>
          <w:sz w:val="35"/>
          <w:szCs w:val="35"/>
          <w:lang w:eastAsia="en-NZ"/>
          <w14:ligatures w14:val="none"/>
        </w:rPr>
        <w:t xml:space="preserve"> Philosophy</w:t>
      </w:r>
    </w:p>
    <w:p w14:paraId="7AB40076" w14:textId="5EC89546" w:rsidR="00181635" w:rsidRPr="00181635" w:rsidRDefault="00181635" w:rsidP="00EA260C">
      <w:pPr>
        <w:spacing w:before="100" w:beforeAutospacing="1" w:after="100" w:afterAutospacing="1" w:line="240" w:lineRule="auto"/>
        <w:jc w:val="center"/>
        <w:rPr>
          <w:rFonts w:ascii="Times New Roman" w:eastAsia="Times New Roman" w:hAnsi="Times New Roman" w:cs="Times New Roman"/>
          <w:kern w:val="0"/>
          <w:sz w:val="24"/>
          <w:szCs w:val="24"/>
          <w:lang w:eastAsia="en-NZ"/>
          <w14:ligatures w14:val="none"/>
        </w:rPr>
      </w:pPr>
      <w:r w:rsidRPr="00181635">
        <w:rPr>
          <w:rFonts w:ascii="Times New Roman" w:eastAsia="Times New Roman" w:hAnsi="Times New Roman" w:cs="Times New Roman"/>
          <w:b/>
          <w:bCs/>
          <w:kern w:val="0"/>
          <w:sz w:val="24"/>
          <w:szCs w:val="24"/>
          <w:lang w:eastAsia="en-NZ"/>
          <w14:ligatures w14:val="none"/>
        </w:rPr>
        <w:t xml:space="preserve">Me mahi </w:t>
      </w:r>
      <w:proofErr w:type="spellStart"/>
      <w:r w:rsidRPr="00181635">
        <w:rPr>
          <w:rFonts w:ascii="Times New Roman" w:eastAsia="Times New Roman" w:hAnsi="Times New Roman" w:cs="Times New Roman"/>
          <w:b/>
          <w:bCs/>
          <w:kern w:val="0"/>
          <w:sz w:val="24"/>
          <w:szCs w:val="24"/>
          <w:lang w:eastAsia="en-NZ"/>
          <w14:ligatures w14:val="none"/>
        </w:rPr>
        <w:t>tahi</w:t>
      </w:r>
      <w:proofErr w:type="spellEnd"/>
      <w:r w:rsidRPr="00181635">
        <w:rPr>
          <w:rFonts w:ascii="Times New Roman" w:eastAsia="Times New Roman" w:hAnsi="Times New Roman" w:cs="Times New Roman"/>
          <w:b/>
          <w:bCs/>
          <w:kern w:val="0"/>
          <w:sz w:val="24"/>
          <w:szCs w:val="24"/>
          <w:lang w:eastAsia="en-NZ"/>
          <w14:ligatures w14:val="none"/>
        </w:rPr>
        <w:t xml:space="preserve"> </w:t>
      </w:r>
      <w:proofErr w:type="spellStart"/>
      <w:r w:rsidRPr="00181635">
        <w:rPr>
          <w:rFonts w:ascii="Times New Roman" w:eastAsia="Times New Roman" w:hAnsi="Times New Roman" w:cs="Times New Roman"/>
          <w:b/>
          <w:bCs/>
          <w:kern w:val="0"/>
          <w:sz w:val="24"/>
          <w:szCs w:val="24"/>
          <w:lang w:eastAsia="en-NZ"/>
          <w14:ligatures w14:val="none"/>
        </w:rPr>
        <w:t>tātou</w:t>
      </w:r>
      <w:proofErr w:type="spellEnd"/>
      <w:r w:rsidRPr="00181635">
        <w:rPr>
          <w:rFonts w:ascii="Times New Roman" w:eastAsia="Times New Roman" w:hAnsi="Times New Roman" w:cs="Times New Roman"/>
          <w:b/>
          <w:bCs/>
          <w:kern w:val="0"/>
          <w:sz w:val="24"/>
          <w:szCs w:val="24"/>
          <w:lang w:eastAsia="en-NZ"/>
          <w14:ligatures w14:val="none"/>
        </w:rPr>
        <w:t xml:space="preserve"> </w:t>
      </w:r>
      <w:proofErr w:type="spellStart"/>
      <w:r w:rsidRPr="00181635">
        <w:rPr>
          <w:rFonts w:ascii="Times New Roman" w:eastAsia="Times New Roman" w:hAnsi="Times New Roman" w:cs="Times New Roman"/>
          <w:b/>
          <w:bCs/>
          <w:kern w:val="0"/>
          <w:sz w:val="24"/>
          <w:szCs w:val="24"/>
          <w:lang w:eastAsia="en-NZ"/>
          <w14:ligatures w14:val="none"/>
        </w:rPr>
        <w:t>mō</w:t>
      </w:r>
      <w:proofErr w:type="spellEnd"/>
      <w:r w:rsidRPr="00181635">
        <w:rPr>
          <w:rFonts w:ascii="Times New Roman" w:eastAsia="Times New Roman" w:hAnsi="Times New Roman" w:cs="Times New Roman"/>
          <w:b/>
          <w:bCs/>
          <w:kern w:val="0"/>
          <w:sz w:val="24"/>
          <w:szCs w:val="24"/>
          <w:lang w:eastAsia="en-NZ"/>
          <w14:ligatures w14:val="none"/>
        </w:rPr>
        <w:t xml:space="preserve"> </w:t>
      </w:r>
      <w:proofErr w:type="spellStart"/>
      <w:r w:rsidRPr="00181635">
        <w:rPr>
          <w:rFonts w:ascii="Times New Roman" w:eastAsia="Times New Roman" w:hAnsi="Times New Roman" w:cs="Times New Roman"/>
          <w:b/>
          <w:bCs/>
          <w:kern w:val="0"/>
          <w:sz w:val="24"/>
          <w:szCs w:val="24"/>
          <w:lang w:eastAsia="en-NZ"/>
          <w14:ligatures w14:val="none"/>
        </w:rPr>
        <w:t>te</w:t>
      </w:r>
      <w:proofErr w:type="spellEnd"/>
      <w:r w:rsidRPr="00181635">
        <w:rPr>
          <w:rFonts w:ascii="Times New Roman" w:eastAsia="Times New Roman" w:hAnsi="Times New Roman" w:cs="Times New Roman"/>
          <w:b/>
          <w:bCs/>
          <w:kern w:val="0"/>
          <w:sz w:val="24"/>
          <w:szCs w:val="24"/>
          <w:lang w:eastAsia="en-NZ"/>
          <w14:ligatures w14:val="none"/>
        </w:rPr>
        <w:t xml:space="preserve"> </w:t>
      </w:r>
      <w:proofErr w:type="spellStart"/>
      <w:r w:rsidRPr="00181635">
        <w:rPr>
          <w:rFonts w:ascii="Times New Roman" w:eastAsia="Times New Roman" w:hAnsi="Times New Roman" w:cs="Times New Roman"/>
          <w:b/>
          <w:bCs/>
          <w:kern w:val="0"/>
          <w:sz w:val="24"/>
          <w:szCs w:val="24"/>
          <w:lang w:eastAsia="en-NZ"/>
          <w14:ligatures w14:val="none"/>
        </w:rPr>
        <w:t>ora</w:t>
      </w:r>
      <w:r w:rsidR="00BB469B">
        <w:rPr>
          <w:rFonts w:ascii="Times New Roman" w:eastAsia="Times New Roman" w:hAnsi="Times New Roman" w:cs="Times New Roman"/>
          <w:b/>
          <w:bCs/>
          <w:kern w:val="0"/>
          <w:sz w:val="24"/>
          <w:szCs w:val="24"/>
          <w:lang w:eastAsia="en-NZ"/>
          <w14:ligatures w14:val="none"/>
        </w:rPr>
        <w:t>ka</w:t>
      </w:r>
      <w:proofErr w:type="spellEnd"/>
      <w:r w:rsidRPr="00181635">
        <w:rPr>
          <w:rFonts w:ascii="Times New Roman" w:eastAsia="Times New Roman" w:hAnsi="Times New Roman" w:cs="Times New Roman"/>
          <w:b/>
          <w:bCs/>
          <w:kern w:val="0"/>
          <w:sz w:val="24"/>
          <w:szCs w:val="24"/>
          <w:lang w:eastAsia="en-NZ"/>
          <w14:ligatures w14:val="none"/>
        </w:rPr>
        <w:t xml:space="preserve"> o </w:t>
      </w:r>
      <w:proofErr w:type="spellStart"/>
      <w:r w:rsidRPr="00181635">
        <w:rPr>
          <w:rFonts w:ascii="Times New Roman" w:eastAsia="Times New Roman" w:hAnsi="Times New Roman" w:cs="Times New Roman"/>
          <w:b/>
          <w:bCs/>
          <w:kern w:val="0"/>
          <w:sz w:val="24"/>
          <w:szCs w:val="24"/>
          <w:lang w:eastAsia="en-NZ"/>
          <w14:ligatures w14:val="none"/>
        </w:rPr>
        <w:t>te</w:t>
      </w:r>
      <w:proofErr w:type="spellEnd"/>
      <w:r w:rsidRPr="00181635">
        <w:rPr>
          <w:rFonts w:ascii="Times New Roman" w:eastAsia="Times New Roman" w:hAnsi="Times New Roman" w:cs="Times New Roman"/>
          <w:b/>
          <w:bCs/>
          <w:kern w:val="0"/>
          <w:sz w:val="24"/>
          <w:szCs w:val="24"/>
          <w:lang w:eastAsia="en-NZ"/>
          <w14:ligatures w14:val="none"/>
        </w:rPr>
        <w:t xml:space="preserve"> </w:t>
      </w:r>
      <w:proofErr w:type="spellStart"/>
      <w:r w:rsidRPr="00181635">
        <w:rPr>
          <w:rFonts w:ascii="Times New Roman" w:eastAsia="Times New Roman" w:hAnsi="Times New Roman" w:cs="Times New Roman"/>
          <w:b/>
          <w:bCs/>
          <w:kern w:val="0"/>
          <w:sz w:val="24"/>
          <w:szCs w:val="24"/>
          <w:lang w:eastAsia="en-NZ"/>
          <w14:ligatures w14:val="none"/>
        </w:rPr>
        <w:t>katoa</w:t>
      </w:r>
      <w:proofErr w:type="spellEnd"/>
      <w:r w:rsidRPr="00181635">
        <w:rPr>
          <w:rFonts w:ascii="Times New Roman" w:eastAsia="Times New Roman" w:hAnsi="Times New Roman" w:cs="Times New Roman"/>
          <w:kern w:val="0"/>
          <w:sz w:val="24"/>
          <w:szCs w:val="24"/>
          <w:lang w:eastAsia="en-NZ"/>
          <w14:ligatures w14:val="none"/>
        </w:rPr>
        <w:br/>
      </w:r>
      <w:r w:rsidRPr="00181635">
        <w:rPr>
          <w:rFonts w:ascii="Times New Roman" w:eastAsia="Times New Roman" w:hAnsi="Times New Roman" w:cs="Times New Roman"/>
          <w:i/>
          <w:iCs/>
          <w:kern w:val="0"/>
          <w:sz w:val="24"/>
          <w:szCs w:val="24"/>
          <w:lang w:eastAsia="en-NZ"/>
          <w14:ligatures w14:val="none"/>
        </w:rPr>
        <w:t>We work together for the wellbeing of all.</w:t>
      </w:r>
    </w:p>
    <w:p w14:paraId="637385C5" w14:textId="77777777" w:rsidR="00102B6F" w:rsidRPr="00E66932" w:rsidRDefault="00102B6F" w:rsidP="00E66932">
      <w:pPr>
        <w:pStyle w:val="NormalWeb"/>
        <w:jc w:val="center"/>
        <w:rPr>
          <w:rFonts w:ascii="Calibri" w:hAnsi="Calibri" w:cs="Calibri"/>
          <w:sz w:val="23"/>
          <w:szCs w:val="23"/>
        </w:rPr>
      </w:pPr>
      <w:r w:rsidRPr="00E66932">
        <w:rPr>
          <w:rFonts w:ascii="Calibri" w:hAnsi="Calibri" w:cs="Calibri"/>
          <w:sz w:val="23"/>
          <w:szCs w:val="23"/>
        </w:rPr>
        <w:t>At Leap Ahead, we recognise that the early years form the foundation for lifelong learning, confidence, and wellbeing. We are committed to providing a nurturing, stimulating, and inclusive environment where children grow as capable and confident learners who communicate effectively, think critically, and build meaningful relationships with others.</w:t>
      </w:r>
    </w:p>
    <w:p w14:paraId="61DFB520" w14:textId="133F10A5" w:rsidR="00102B6F" w:rsidRPr="00E66932" w:rsidRDefault="00102B6F" w:rsidP="00E66932">
      <w:pPr>
        <w:pStyle w:val="NormalWeb"/>
        <w:jc w:val="center"/>
        <w:rPr>
          <w:rFonts w:ascii="Calibri" w:hAnsi="Calibri" w:cs="Calibri"/>
          <w:sz w:val="23"/>
          <w:szCs w:val="23"/>
        </w:rPr>
      </w:pPr>
      <w:r w:rsidRPr="00E66932">
        <w:rPr>
          <w:rFonts w:ascii="Calibri" w:hAnsi="Calibri" w:cs="Calibri"/>
          <w:sz w:val="23"/>
          <w:szCs w:val="23"/>
        </w:rPr>
        <w:t>Guided by the principles</w:t>
      </w:r>
      <w:r w:rsidR="00AC14C0" w:rsidRPr="00E66932">
        <w:rPr>
          <w:rFonts w:ascii="Calibri" w:hAnsi="Calibri" w:cs="Calibri"/>
          <w:sz w:val="23"/>
          <w:szCs w:val="23"/>
        </w:rPr>
        <w:t>,</w:t>
      </w:r>
      <w:r w:rsidRPr="00E66932">
        <w:rPr>
          <w:rFonts w:ascii="Calibri" w:hAnsi="Calibri" w:cs="Calibri"/>
          <w:sz w:val="23"/>
          <w:szCs w:val="23"/>
        </w:rPr>
        <w:t xml:space="preserve"> strands</w:t>
      </w:r>
      <w:r w:rsidR="00AC14C0" w:rsidRPr="00E66932">
        <w:rPr>
          <w:rFonts w:ascii="Calibri" w:hAnsi="Calibri" w:cs="Calibri"/>
          <w:sz w:val="23"/>
          <w:szCs w:val="23"/>
        </w:rPr>
        <w:t xml:space="preserve"> and outcomes</w:t>
      </w:r>
      <w:r w:rsidRPr="00E66932">
        <w:rPr>
          <w:rFonts w:ascii="Calibri" w:hAnsi="Calibri" w:cs="Calibri"/>
          <w:sz w:val="23"/>
          <w:szCs w:val="23"/>
        </w:rPr>
        <w:t xml:space="preserve"> of </w:t>
      </w:r>
      <w:r w:rsidRPr="00E66932">
        <w:rPr>
          <w:rStyle w:val="Emphasis"/>
          <w:rFonts w:ascii="Calibri" w:eastAsiaTheme="majorEastAsia" w:hAnsi="Calibri" w:cs="Calibri"/>
          <w:sz w:val="23"/>
          <w:szCs w:val="23"/>
        </w:rPr>
        <w:t>Te Whāriki</w:t>
      </w:r>
      <w:r w:rsidRPr="00E66932">
        <w:rPr>
          <w:rFonts w:ascii="Calibri" w:hAnsi="Calibri" w:cs="Calibri"/>
          <w:sz w:val="23"/>
          <w:szCs w:val="23"/>
        </w:rPr>
        <w:t>, our practice reflects a strong socio-cultural approach in which children’s identities, strengths, and aspirations are respected and affirmed. Through intentional and responsive teaching, kaiako support and extend children’s working theories, valuing play as a powerful driver of exploration, discovery, and learning. Our environment is designed to be open, flexible, and inspiring—an active “third teacher” that encourages children to experiment, take risks, make mistakes, and develop their own solutions. Manaaki</w:t>
      </w:r>
      <w:r w:rsidR="00AC14C0" w:rsidRPr="00E66932">
        <w:rPr>
          <w:rFonts w:ascii="Calibri" w:hAnsi="Calibri" w:cs="Calibri"/>
          <w:sz w:val="23"/>
          <w:szCs w:val="23"/>
        </w:rPr>
        <w:t>taka</w:t>
      </w:r>
      <w:r w:rsidRPr="00E66932">
        <w:rPr>
          <w:rFonts w:ascii="Calibri" w:hAnsi="Calibri" w:cs="Calibri"/>
          <w:sz w:val="23"/>
          <w:szCs w:val="23"/>
        </w:rPr>
        <w:t xml:space="preserve">, </w:t>
      </w:r>
      <w:r w:rsidR="00BB469B">
        <w:rPr>
          <w:rFonts w:ascii="Calibri" w:hAnsi="Calibri" w:cs="Calibri"/>
          <w:sz w:val="23"/>
          <w:szCs w:val="23"/>
        </w:rPr>
        <w:t>w</w:t>
      </w:r>
      <w:r w:rsidRPr="00E66932">
        <w:rPr>
          <w:rFonts w:ascii="Calibri" w:hAnsi="Calibri" w:cs="Calibri"/>
          <w:sz w:val="23"/>
          <w:szCs w:val="23"/>
        </w:rPr>
        <w:t>hanau</w:t>
      </w:r>
      <w:r w:rsidR="00AC14C0" w:rsidRPr="00E66932">
        <w:rPr>
          <w:rFonts w:ascii="Calibri" w:hAnsi="Calibri" w:cs="Calibri"/>
          <w:sz w:val="23"/>
          <w:szCs w:val="23"/>
        </w:rPr>
        <w:t>kataka</w:t>
      </w:r>
      <w:r w:rsidRPr="00E66932">
        <w:rPr>
          <w:rFonts w:ascii="Calibri" w:hAnsi="Calibri" w:cs="Calibri"/>
          <w:sz w:val="23"/>
          <w:szCs w:val="23"/>
        </w:rPr>
        <w:t xml:space="preserve">, </w:t>
      </w:r>
      <w:r w:rsidR="00BB469B">
        <w:rPr>
          <w:rFonts w:ascii="Calibri" w:hAnsi="Calibri" w:cs="Calibri"/>
          <w:sz w:val="23"/>
          <w:szCs w:val="23"/>
        </w:rPr>
        <w:t>m</w:t>
      </w:r>
      <w:r w:rsidRPr="00E66932">
        <w:rPr>
          <w:rFonts w:ascii="Calibri" w:hAnsi="Calibri" w:cs="Calibri"/>
          <w:sz w:val="23"/>
          <w:szCs w:val="23"/>
        </w:rPr>
        <w:t xml:space="preserve">ana </w:t>
      </w:r>
      <w:proofErr w:type="spellStart"/>
      <w:r w:rsidR="00BB469B">
        <w:rPr>
          <w:rFonts w:ascii="Calibri" w:hAnsi="Calibri" w:cs="Calibri"/>
          <w:sz w:val="23"/>
          <w:szCs w:val="23"/>
        </w:rPr>
        <w:t>m</w:t>
      </w:r>
      <w:r w:rsidRPr="00E66932">
        <w:rPr>
          <w:rFonts w:ascii="Calibri" w:hAnsi="Calibri" w:cs="Calibri"/>
          <w:sz w:val="23"/>
          <w:szCs w:val="23"/>
        </w:rPr>
        <w:t>otuhake</w:t>
      </w:r>
      <w:proofErr w:type="spellEnd"/>
      <w:r w:rsidRPr="00E66932">
        <w:rPr>
          <w:rFonts w:ascii="Calibri" w:hAnsi="Calibri" w:cs="Calibri"/>
          <w:sz w:val="23"/>
          <w:szCs w:val="23"/>
        </w:rPr>
        <w:t xml:space="preserve">, and </w:t>
      </w:r>
      <w:proofErr w:type="spellStart"/>
      <w:r w:rsidR="00BB469B">
        <w:rPr>
          <w:rFonts w:ascii="Calibri" w:hAnsi="Calibri" w:cs="Calibri"/>
          <w:sz w:val="23"/>
          <w:szCs w:val="23"/>
        </w:rPr>
        <w:t>a</w:t>
      </w:r>
      <w:r w:rsidRPr="00E66932">
        <w:rPr>
          <w:rFonts w:ascii="Calibri" w:hAnsi="Calibri" w:cs="Calibri"/>
          <w:sz w:val="23"/>
          <w:szCs w:val="23"/>
        </w:rPr>
        <w:t>ko</w:t>
      </w:r>
      <w:proofErr w:type="spellEnd"/>
      <w:r w:rsidRPr="00E66932">
        <w:rPr>
          <w:rFonts w:ascii="Calibri" w:hAnsi="Calibri" w:cs="Calibri"/>
          <w:sz w:val="23"/>
          <w:szCs w:val="23"/>
        </w:rPr>
        <w:t xml:space="preserve"> sit at the heart of our curriculum and serve as our key learning priorities at Leap Ahead</w:t>
      </w:r>
      <w:r w:rsidR="00AC14C0" w:rsidRPr="00E66932">
        <w:rPr>
          <w:rFonts w:ascii="Calibri" w:hAnsi="Calibri" w:cs="Calibri"/>
          <w:sz w:val="23"/>
          <w:szCs w:val="23"/>
        </w:rPr>
        <w:t>.</w:t>
      </w:r>
    </w:p>
    <w:p w14:paraId="0008D183" w14:textId="588046C1" w:rsidR="00102B6F" w:rsidRPr="00E66932" w:rsidRDefault="00102B6F" w:rsidP="00E66932">
      <w:pPr>
        <w:pStyle w:val="NormalWeb"/>
        <w:jc w:val="center"/>
        <w:rPr>
          <w:rFonts w:ascii="Calibri" w:hAnsi="Calibri" w:cs="Calibri"/>
          <w:sz w:val="23"/>
          <w:szCs w:val="23"/>
        </w:rPr>
      </w:pPr>
      <w:r w:rsidRPr="00E66932">
        <w:rPr>
          <w:rFonts w:ascii="Calibri" w:hAnsi="Calibri" w:cs="Calibri"/>
          <w:b/>
          <w:bCs/>
          <w:sz w:val="23"/>
          <w:szCs w:val="23"/>
        </w:rPr>
        <w:t>Manaakita</w:t>
      </w:r>
      <w:r w:rsidR="00AC14C0" w:rsidRPr="00E66932">
        <w:rPr>
          <w:rFonts w:ascii="Calibri" w:hAnsi="Calibri" w:cs="Calibri"/>
          <w:b/>
          <w:bCs/>
          <w:sz w:val="23"/>
          <w:szCs w:val="23"/>
        </w:rPr>
        <w:t>ka</w:t>
      </w:r>
      <w:r w:rsidRPr="00E66932">
        <w:rPr>
          <w:rFonts w:ascii="Calibri" w:hAnsi="Calibri" w:cs="Calibri"/>
          <w:sz w:val="23"/>
          <w:szCs w:val="23"/>
        </w:rPr>
        <w:t xml:space="preserve"> is central to our philosophy. We uphold a culture of respect, care, and integrity, ensuring that Māori language, culture, and perspectives are protected and meaningfully integrated in accordance with the principles of </w:t>
      </w:r>
      <w:r w:rsidRPr="00E66932">
        <w:rPr>
          <w:rStyle w:val="Emphasis"/>
          <w:rFonts w:ascii="Calibri" w:eastAsiaTheme="majorEastAsia" w:hAnsi="Calibri" w:cs="Calibri"/>
          <w:sz w:val="23"/>
          <w:szCs w:val="23"/>
        </w:rPr>
        <w:t>Te Tiriti o Waitangi</w:t>
      </w:r>
      <w:r w:rsidRPr="00E66932">
        <w:rPr>
          <w:rFonts w:ascii="Calibri" w:hAnsi="Calibri" w:cs="Calibri"/>
          <w:sz w:val="23"/>
          <w:szCs w:val="23"/>
        </w:rPr>
        <w:t xml:space="preserve">. As </w:t>
      </w:r>
      <w:proofErr w:type="spellStart"/>
      <w:r w:rsidRPr="00E66932">
        <w:rPr>
          <w:rFonts w:ascii="Calibri" w:hAnsi="Calibri" w:cs="Calibri"/>
          <w:sz w:val="23"/>
          <w:szCs w:val="23"/>
        </w:rPr>
        <w:t>ta</w:t>
      </w:r>
      <w:r w:rsidR="00BB469B">
        <w:rPr>
          <w:rFonts w:ascii="Calibri" w:hAnsi="Calibri" w:cs="Calibri"/>
          <w:sz w:val="23"/>
          <w:szCs w:val="23"/>
        </w:rPr>
        <w:t>ka</w:t>
      </w:r>
      <w:r w:rsidRPr="00E66932">
        <w:rPr>
          <w:rFonts w:ascii="Calibri" w:hAnsi="Calibri" w:cs="Calibri"/>
          <w:sz w:val="23"/>
          <w:szCs w:val="23"/>
        </w:rPr>
        <w:t>ta</w:t>
      </w:r>
      <w:proofErr w:type="spellEnd"/>
      <w:r w:rsidRPr="00E66932">
        <w:rPr>
          <w:rFonts w:ascii="Calibri" w:hAnsi="Calibri" w:cs="Calibri"/>
          <w:sz w:val="23"/>
          <w:szCs w:val="23"/>
        </w:rPr>
        <w:t xml:space="preserve"> whenua, </w:t>
      </w:r>
      <w:r w:rsidR="00E66932" w:rsidRPr="00E66932">
        <w:rPr>
          <w:rFonts w:ascii="Calibri" w:hAnsi="Calibri" w:cs="Calibri"/>
          <w:sz w:val="23"/>
          <w:szCs w:val="23"/>
        </w:rPr>
        <w:t>wh</w:t>
      </w:r>
      <w:r w:rsidR="00E66932" w:rsidRPr="00E66932">
        <w:rPr>
          <w:rFonts w:ascii="Calibri" w:hAnsi="Calibri" w:cs="Calibri"/>
          <w:sz w:val="23"/>
          <w:szCs w:val="23"/>
          <w:lang w:val="mi-NZ"/>
        </w:rPr>
        <w:t>ānau</w:t>
      </w:r>
      <w:r w:rsidRPr="00E66932">
        <w:rPr>
          <w:rFonts w:ascii="Calibri" w:hAnsi="Calibri" w:cs="Calibri"/>
          <w:sz w:val="23"/>
          <w:szCs w:val="23"/>
        </w:rPr>
        <w:t xml:space="preserve"> are honoured through genuine partnership, protection, and participation, reflected in inclusive practices that support equitable outcomes for all. All cultures within our community are valued and woven naturally into our daily routines, language, music, art, and storytelling.</w:t>
      </w:r>
    </w:p>
    <w:p w14:paraId="1C9EE5A5" w14:textId="0BD79581" w:rsidR="00102B6F" w:rsidRPr="00E66932" w:rsidRDefault="00102B6F" w:rsidP="00E66932">
      <w:pPr>
        <w:pStyle w:val="NormalWeb"/>
        <w:jc w:val="center"/>
        <w:rPr>
          <w:rFonts w:ascii="Calibri" w:hAnsi="Calibri" w:cs="Calibri"/>
          <w:sz w:val="23"/>
          <w:szCs w:val="23"/>
        </w:rPr>
      </w:pPr>
      <w:r w:rsidRPr="00E66932">
        <w:rPr>
          <w:rFonts w:ascii="Calibri" w:hAnsi="Calibri" w:cs="Calibri"/>
          <w:b/>
          <w:bCs/>
          <w:sz w:val="23"/>
          <w:szCs w:val="23"/>
        </w:rPr>
        <w:t>Whanau</w:t>
      </w:r>
      <w:r w:rsidR="00AC14C0" w:rsidRPr="00E66932">
        <w:rPr>
          <w:rFonts w:ascii="Calibri" w:hAnsi="Calibri" w:cs="Calibri"/>
          <w:b/>
          <w:bCs/>
          <w:sz w:val="23"/>
          <w:szCs w:val="23"/>
        </w:rPr>
        <w:t>kataka</w:t>
      </w:r>
      <w:r w:rsidRPr="00E66932">
        <w:rPr>
          <w:rFonts w:ascii="Calibri" w:hAnsi="Calibri" w:cs="Calibri"/>
          <w:sz w:val="23"/>
          <w:szCs w:val="23"/>
        </w:rPr>
        <w:t xml:space="preserve"> underpins the relationships we build with children, parents, and whānau. We acknowledge that whānau are children’s first teachers and essential partners in their learning journey. Collaboration, open communication, and shared decision-making create a sense of collective responsibility and strengthen each child’s sense of identity and belonging.</w:t>
      </w:r>
    </w:p>
    <w:p w14:paraId="16DCAA69" w14:textId="701B29B5" w:rsidR="00102B6F" w:rsidRPr="00E66932" w:rsidRDefault="00102B6F" w:rsidP="00E66932">
      <w:pPr>
        <w:pStyle w:val="NormalWeb"/>
        <w:jc w:val="center"/>
        <w:rPr>
          <w:rFonts w:ascii="Calibri" w:hAnsi="Calibri" w:cs="Calibri"/>
          <w:sz w:val="23"/>
          <w:szCs w:val="23"/>
        </w:rPr>
      </w:pPr>
      <w:r w:rsidRPr="00E66932">
        <w:rPr>
          <w:rFonts w:ascii="Calibri" w:hAnsi="Calibri" w:cs="Calibri"/>
          <w:sz w:val="23"/>
          <w:szCs w:val="23"/>
        </w:rPr>
        <w:t xml:space="preserve">We uphold </w:t>
      </w:r>
      <w:r w:rsidR="00AC14C0" w:rsidRPr="00E66932">
        <w:rPr>
          <w:rFonts w:ascii="Calibri" w:hAnsi="Calibri" w:cs="Calibri"/>
          <w:b/>
          <w:bCs/>
          <w:sz w:val="23"/>
          <w:szCs w:val="23"/>
        </w:rPr>
        <w:t>M</w:t>
      </w:r>
      <w:r w:rsidRPr="00E66932">
        <w:rPr>
          <w:rFonts w:ascii="Calibri" w:hAnsi="Calibri" w:cs="Calibri"/>
          <w:b/>
          <w:bCs/>
          <w:sz w:val="23"/>
          <w:szCs w:val="23"/>
        </w:rPr>
        <w:t xml:space="preserve">ana </w:t>
      </w:r>
      <w:r w:rsidR="00AC14C0" w:rsidRPr="00E66932">
        <w:rPr>
          <w:rFonts w:ascii="Calibri" w:hAnsi="Calibri" w:cs="Calibri"/>
          <w:b/>
          <w:bCs/>
          <w:sz w:val="23"/>
          <w:szCs w:val="23"/>
        </w:rPr>
        <w:t>M</w:t>
      </w:r>
      <w:r w:rsidRPr="00E66932">
        <w:rPr>
          <w:rFonts w:ascii="Calibri" w:hAnsi="Calibri" w:cs="Calibri"/>
          <w:b/>
          <w:bCs/>
          <w:sz w:val="23"/>
          <w:szCs w:val="23"/>
        </w:rPr>
        <w:t>otuhake</w:t>
      </w:r>
      <w:r w:rsidRPr="00E66932">
        <w:rPr>
          <w:rFonts w:ascii="Calibri" w:hAnsi="Calibri" w:cs="Calibri"/>
          <w:sz w:val="23"/>
          <w:szCs w:val="23"/>
        </w:rPr>
        <w:t xml:space="preserve"> by empowering children to develop confidence, resilience, determination, and self-agency. Children are encouraged to take responsibility for themselves, others, and their environment, and are supported to pursue their interests, revisit ideas, and grow at their own pace. Kaiako observe thoughtfully rather than direct, allowing children the space to lead their own learning and develop persistence, courage, and problem-solving skills.</w:t>
      </w:r>
    </w:p>
    <w:p w14:paraId="2A822BDA" w14:textId="77777777" w:rsidR="00102B6F" w:rsidRPr="00E66932" w:rsidRDefault="00102B6F" w:rsidP="00E66932">
      <w:pPr>
        <w:pStyle w:val="NormalWeb"/>
        <w:jc w:val="center"/>
        <w:rPr>
          <w:rFonts w:ascii="Calibri" w:hAnsi="Calibri" w:cs="Calibri"/>
          <w:sz w:val="23"/>
          <w:szCs w:val="23"/>
        </w:rPr>
      </w:pPr>
      <w:r w:rsidRPr="00E66932">
        <w:rPr>
          <w:rFonts w:ascii="Calibri" w:hAnsi="Calibri" w:cs="Calibri"/>
          <w:b/>
          <w:bCs/>
          <w:sz w:val="23"/>
          <w:szCs w:val="23"/>
        </w:rPr>
        <w:t>Ako</w:t>
      </w:r>
      <w:r w:rsidRPr="00E66932">
        <w:rPr>
          <w:rFonts w:ascii="Calibri" w:hAnsi="Calibri" w:cs="Calibri"/>
          <w:sz w:val="23"/>
          <w:szCs w:val="23"/>
        </w:rPr>
        <w:t xml:space="preserve"> is embedded in everything we do, reflecting a reciprocal approach where kaiako and tamariki learn with and from one another. We recognise the value of spontaneous play, child-led exploration, and the shared learning experiences that naturally arise within a vibrant, supportive community.</w:t>
      </w:r>
    </w:p>
    <w:p w14:paraId="5ED91C64" w14:textId="77777777" w:rsidR="00102B6F" w:rsidRPr="00E66932" w:rsidRDefault="00102B6F" w:rsidP="00E66932">
      <w:pPr>
        <w:pStyle w:val="NormalWeb"/>
        <w:jc w:val="center"/>
        <w:rPr>
          <w:rFonts w:ascii="Calibri" w:hAnsi="Calibri" w:cs="Calibri"/>
          <w:sz w:val="23"/>
          <w:szCs w:val="23"/>
        </w:rPr>
      </w:pPr>
      <w:r w:rsidRPr="00E66932">
        <w:rPr>
          <w:rFonts w:ascii="Calibri" w:hAnsi="Calibri" w:cs="Calibri"/>
          <w:sz w:val="23"/>
          <w:szCs w:val="23"/>
        </w:rPr>
        <w:t>We are committed to ensuring smooth and positive transitions for every child, creating a strong sense of belonging and continuity as they move through their learning journey. With guidance from kaiako, parents, and whānau, children develop the emotional, social, cognitive, and physical skills that open pathways to future learning and support their ongoing growth and wellbeing.</w:t>
      </w:r>
    </w:p>
    <w:p w14:paraId="117FE220" w14:textId="44C4E026" w:rsidR="00401DED" w:rsidRPr="00D76898" w:rsidRDefault="00D76898" w:rsidP="00D76898">
      <w:pPr>
        <w:jc w:val="center"/>
        <w:rPr>
          <w:b/>
          <w:bCs/>
        </w:rPr>
      </w:pPr>
      <w:r>
        <w:rPr>
          <w:rStyle w:val="Strong"/>
        </w:rPr>
        <w:t xml:space="preserve">Ko </w:t>
      </w:r>
      <w:proofErr w:type="spellStart"/>
      <w:r>
        <w:rPr>
          <w:rStyle w:val="Strong"/>
        </w:rPr>
        <w:t>te</w:t>
      </w:r>
      <w:proofErr w:type="spellEnd"/>
      <w:r>
        <w:rPr>
          <w:rStyle w:val="Strong"/>
        </w:rPr>
        <w:t xml:space="preserve"> </w:t>
      </w:r>
      <w:proofErr w:type="spellStart"/>
      <w:proofErr w:type="gramStart"/>
      <w:r>
        <w:rPr>
          <w:rStyle w:val="Strong"/>
        </w:rPr>
        <w:t>ako</w:t>
      </w:r>
      <w:proofErr w:type="spellEnd"/>
      <w:r>
        <w:rPr>
          <w:rStyle w:val="Strong"/>
        </w:rPr>
        <w:t>,  manaak</w:t>
      </w:r>
      <w:r w:rsidR="00A07560">
        <w:rPr>
          <w:rStyle w:val="Strong"/>
        </w:rPr>
        <w:t>itaka</w:t>
      </w:r>
      <w:r>
        <w:rPr>
          <w:rStyle w:val="Strong"/>
        </w:rPr>
        <w:t>,  whanau</w:t>
      </w:r>
      <w:r w:rsidR="00A07560">
        <w:rPr>
          <w:rStyle w:val="Strong"/>
        </w:rPr>
        <w:t>kataka</w:t>
      </w:r>
      <w:proofErr w:type="gramEnd"/>
      <w:r>
        <w:rPr>
          <w:rStyle w:val="Strong"/>
        </w:rPr>
        <w:t xml:space="preserve"> me mana </w:t>
      </w:r>
      <w:proofErr w:type="spellStart"/>
      <w:r>
        <w:rPr>
          <w:rStyle w:val="Strong"/>
        </w:rPr>
        <w:t>motuhake</w:t>
      </w:r>
      <w:proofErr w:type="spellEnd"/>
      <w:r>
        <w:rPr>
          <w:rStyle w:val="Strong"/>
        </w:rPr>
        <w:t xml:space="preserve"> </w:t>
      </w:r>
      <w:proofErr w:type="spellStart"/>
      <w:r w:rsidR="00BB469B">
        <w:rPr>
          <w:rStyle w:val="Strong"/>
        </w:rPr>
        <w:t>kā</w:t>
      </w:r>
      <w:proofErr w:type="spellEnd"/>
      <w:r>
        <w:rPr>
          <w:rStyle w:val="Strong"/>
        </w:rPr>
        <w:t xml:space="preserve"> </w:t>
      </w:r>
      <w:proofErr w:type="spellStart"/>
      <w:r>
        <w:rPr>
          <w:rStyle w:val="Strong"/>
        </w:rPr>
        <w:t>pou</w:t>
      </w:r>
      <w:proofErr w:type="spellEnd"/>
      <w:r>
        <w:rPr>
          <w:rStyle w:val="Strong"/>
        </w:rPr>
        <w:t xml:space="preserve"> e </w:t>
      </w:r>
      <w:proofErr w:type="spellStart"/>
      <w:r>
        <w:rPr>
          <w:rStyle w:val="Strong"/>
        </w:rPr>
        <w:t>arataki</w:t>
      </w:r>
      <w:proofErr w:type="spellEnd"/>
      <w:r>
        <w:rPr>
          <w:rStyle w:val="Strong"/>
        </w:rPr>
        <w:t xml:space="preserve"> ana </w:t>
      </w:r>
      <w:proofErr w:type="spellStart"/>
      <w:r>
        <w:rPr>
          <w:rStyle w:val="Strong"/>
        </w:rPr>
        <w:t>i</w:t>
      </w:r>
      <w:proofErr w:type="spellEnd"/>
      <w:r>
        <w:rPr>
          <w:rStyle w:val="Strong"/>
        </w:rPr>
        <w:t xml:space="preserve"> </w:t>
      </w:r>
      <w:proofErr w:type="spellStart"/>
      <w:r>
        <w:rPr>
          <w:rStyle w:val="Strong"/>
        </w:rPr>
        <w:t>tō</w:t>
      </w:r>
      <w:proofErr w:type="spellEnd"/>
      <w:r>
        <w:rPr>
          <w:rStyle w:val="Strong"/>
        </w:rPr>
        <w:t xml:space="preserve"> </w:t>
      </w:r>
      <w:proofErr w:type="spellStart"/>
      <w:r>
        <w:rPr>
          <w:rStyle w:val="Strong"/>
        </w:rPr>
        <w:t>tātou</w:t>
      </w:r>
      <w:proofErr w:type="spellEnd"/>
      <w:r>
        <w:rPr>
          <w:rStyle w:val="Strong"/>
        </w:rPr>
        <w:t xml:space="preserve"> </w:t>
      </w:r>
      <w:proofErr w:type="spellStart"/>
      <w:r>
        <w:rPr>
          <w:rStyle w:val="Strong"/>
        </w:rPr>
        <w:t>haere</w:t>
      </w:r>
      <w:r w:rsidR="00BB469B">
        <w:rPr>
          <w:rStyle w:val="Strong"/>
        </w:rPr>
        <w:t>ke</w:t>
      </w:r>
      <w:proofErr w:type="spellEnd"/>
      <w:r>
        <w:rPr>
          <w:rStyle w:val="Strong"/>
        </w:rPr>
        <w:t xml:space="preserve"> </w:t>
      </w:r>
      <w:proofErr w:type="spellStart"/>
      <w:r>
        <w:rPr>
          <w:rStyle w:val="Strong"/>
        </w:rPr>
        <w:t>ako</w:t>
      </w:r>
      <w:proofErr w:type="spellEnd"/>
      <w:r>
        <w:rPr>
          <w:rStyle w:val="Strong"/>
        </w:rPr>
        <w:t xml:space="preserve"> </w:t>
      </w:r>
      <w:proofErr w:type="spellStart"/>
      <w:r>
        <w:rPr>
          <w:rStyle w:val="Strong"/>
        </w:rPr>
        <w:t>mō</w:t>
      </w:r>
      <w:proofErr w:type="spellEnd"/>
      <w:r>
        <w:rPr>
          <w:rStyle w:val="Strong"/>
        </w:rPr>
        <w:t xml:space="preserve"> </w:t>
      </w:r>
      <w:proofErr w:type="spellStart"/>
      <w:r w:rsidR="00BB469B">
        <w:rPr>
          <w:rStyle w:val="Strong"/>
        </w:rPr>
        <w:t>k</w:t>
      </w:r>
      <w:r>
        <w:rPr>
          <w:rStyle w:val="Strong"/>
        </w:rPr>
        <w:t>ā</w:t>
      </w:r>
      <w:proofErr w:type="spellEnd"/>
      <w:r>
        <w:rPr>
          <w:rStyle w:val="Strong"/>
        </w:rPr>
        <w:t xml:space="preserve"> tamariki </w:t>
      </w:r>
      <w:proofErr w:type="spellStart"/>
      <w:r>
        <w:rPr>
          <w:rStyle w:val="Strong"/>
        </w:rPr>
        <w:t>katoa</w:t>
      </w:r>
      <w:proofErr w:type="spellEnd"/>
      <w:r>
        <w:rPr>
          <w:rStyle w:val="Strong"/>
        </w:rPr>
        <w:t xml:space="preserve">. </w:t>
      </w:r>
      <w:r>
        <w:rPr>
          <w:rStyle w:val="Emphasis"/>
        </w:rPr>
        <w:t>Learning, care, relationships, and self-determination are the pillars that guide our learning journey for all children.</w:t>
      </w:r>
    </w:p>
    <w:sectPr w:rsidR="00401DED" w:rsidRPr="00D76898" w:rsidSect="00D76898">
      <w:pgSz w:w="11906" w:h="16838"/>
      <w:pgMar w:top="709" w:right="1440" w:bottom="1440" w:left="1440" w:header="708" w:footer="708" w:gutter="0"/>
      <w:pgBorders w:offsetFrom="page">
        <w:top w:val="single" w:sz="24" w:space="24" w:color="00B050"/>
        <w:left w:val="single" w:sz="24" w:space="24" w:color="00B050"/>
        <w:bottom w:val="single" w:sz="24" w:space="24" w:color="00B050"/>
        <w:right w:val="single" w:sz="2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DE6EF1"/>
    <w:multiLevelType w:val="multilevel"/>
    <w:tmpl w:val="C30AC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3691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635"/>
    <w:rsid w:val="00102B6F"/>
    <w:rsid w:val="00181635"/>
    <w:rsid w:val="00401DED"/>
    <w:rsid w:val="00466007"/>
    <w:rsid w:val="004C5C8A"/>
    <w:rsid w:val="00A07560"/>
    <w:rsid w:val="00AC14C0"/>
    <w:rsid w:val="00B76434"/>
    <w:rsid w:val="00BB469B"/>
    <w:rsid w:val="00D1141E"/>
    <w:rsid w:val="00D76898"/>
    <w:rsid w:val="00E66932"/>
    <w:rsid w:val="00EA260C"/>
    <w:rsid w:val="00EC4E9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32307"/>
  <w15:chartTrackingRefBased/>
  <w15:docId w15:val="{D00143B8-DC16-4748-8366-9E393CBDF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16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6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6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6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6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6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6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6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6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6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6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6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6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6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6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6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6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635"/>
    <w:rPr>
      <w:rFonts w:eastAsiaTheme="majorEastAsia" w:cstheme="majorBidi"/>
      <w:color w:val="272727" w:themeColor="text1" w:themeTint="D8"/>
    </w:rPr>
  </w:style>
  <w:style w:type="paragraph" w:styleId="Title">
    <w:name w:val="Title"/>
    <w:basedOn w:val="Normal"/>
    <w:next w:val="Normal"/>
    <w:link w:val="TitleChar"/>
    <w:uiPriority w:val="10"/>
    <w:qFormat/>
    <w:rsid w:val="001816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6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6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6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635"/>
    <w:pPr>
      <w:spacing w:before="160"/>
      <w:jc w:val="center"/>
    </w:pPr>
    <w:rPr>
      <w:i/>
      <w:iCs/>
      <w:color w:val="404040" w:themeColor="text1" w:themeTint="BF"/>
    </w:rPr>
  </w:style>
  <w:style w:type="character" w:customStyle="1" w:styleId="QuoteChar">
    <w:name w:val="Quote Char"/>
    <w:basedOn w:val="DefaultParagraphFont"/>
    <w:link w:val="Quote"/>
    <w:uiPriority w:val="29"/>
    <w:rsid w:val="00181635"/>
    <w:rPr>
      <w:i/>
      <w:iCs/>
      <w:color w:val="404040" w:themeColor="text1" w:themeTint="BF"/>
    </w:rPr>
  </w:style>
  <w:style w:type="paragraph" w:styleId="ListParagraph">
    <w:name w:val="List Paragraph"/>
    <w:basedOn w:val="Normal"/>
    <w:uiPriority w:val="34"/>
    <w:qFormat/>
    <w:rsid w:val="00181635"/>
    <w:pPr>
      <w:ind w:left="720"/>
      <w:contextualSpacing/>
    </w:pPr>
  </w:style>
  <w:style w:type="character" w:styleId="IntenseEmphasis">
    <w:name w:val="Intense Emphasis"/>
    <w:basedOn w:val="DefaultParagraphFont"/>
    <w:uiPriority w:val="21"/>
    <w:qFormat/>
    <w:rsid w:val="00181635"/>
    <w:rPr>
      <w:i/>
      <w:iCs/>
      <w:color w:val="0F4761" w:themeColor="accent1" w:themeShade="BF"/>
    </w:rPr>
  </w:style>
  <w:style w:type="paragraph" w:styleId="IntenseQuote">
    <w:name w:val="Intense Quote"/>
    <w:basedOn w:val="Normal"/>
    <w:next w:val="Normal"/>
    <w:link w:val="IntenseQuoteChar"/>
    <w:uiPriority w:val="30"/>
    <w:qFormat/>
    <w:rsid w:val="001816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635"/>
    <w:rPr>
      <w:i/>
      <w:iCs/>
      <w:color w:val="0F4761" w:themeColor="accent1" w:themeShade="BF"/>
    </w:rPr>
  </w:style>
  <w:style w:type="character" w:styleId="IntenseReference">
    <w:name w:val="Intense Reference"/>
    <w:basedOn w:val="DefaultParagraphFont"/>
    <w:uiPriority w:val="32"/>
    <w:qFormat/>
    <w:rsid w:val="00181635"/>
    <w:rPr>
      <w:b/>
      <w:bCs/>
      <w:smallCaps/>
      <w:color w:val="0F4761" w:themeColor="accent1" w:themeShade="BF"/>
      <w:spacing w:val="5"/>
    </w:rPr>
  </w:style>
  <w:style w:type="paragraph" w:styleId="NormalWeb">
    <w:name w:val="Normal (Web)"/>
    <w:basedOn w:val="Normal"/>
    <w:uiPriority w:val="99"/>
    <w:semiHidden/>
    <w:unhideWhenUsed/>
    <w:rsid w:val="00102B6F"/>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character" w:styleId="Strong">
    <w:name w:val="Strong"/>
    <w:basedOn w:val="DefaultParagraphFont"/>
    <w:uiPriority w:val="22"/>
    <w:qFormat/>
    <w:rsid w:val="00102B6F"/>
    <w:rPr>
      <w:b/>
      <w:bCs/>
    </w:rPr>
  </w:style>
  <w:style w:type="character" w:styleId="Emphasis">
    <w:name w:val="Emphasis"/>
    <w:basedOn w:val="DefaultParagraphFont"/>
    <w:uiPriority w:val="20"/>
    <w:qFormat/>
    <w:rsid w:val="00102B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1188</TotalTime>
  <Pages>1</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Leap Ahead</dc:creator>
  <cp:keywords/>
  <dc:description/>
  <cp:lastModifiedBy>Office Leap Ahead</cp:lastModifiedBy>
  <cp:revision>6</cp:revision>
  <cp:lastPrinted>2025-11-20T21:35:00Z</cp:lastPrinted>
  <dcterms:created xsi:type="dcterms:W3CDTF">2025-11-20T01:51:00Z</dcterms:created>
  <dcterms:modified xsi:type="dcterms:W3CDTF">2026-07-23T02:08:00Z</dcterms:modified>
</cp:coreProperties>
</file>