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7303" w14:textId="77777777" w:rsidR="00CC2146" w:rsidRDefault="00CC21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2795D4B3" w14:textId="77777777" w:rsidR="00AB0438" w:rsidRDefault="00AB0438" w:rsidP="00434BF9">
      <w:pPr>
        <w:ind w:firstLine="720"/>
        <w:rPr>
          <w:b/>
          <w:bCs/>
          <w:color w:val="0070C0"/>
          <w:sz w:val="36"/>
          <w:szCs w:val="36"/>
        </w:rPr>
      </w:pPr>
      <w:bookmarkStart w:id="0" w:name="_heading=h.gjdgxs" w:colFirst="0" w:colLast="0"/>
      <w:bookmarkEnd w:id="0"/>
    </w:p>
    <w:p w14:paraId="381C3F48" w14:textId="77777777" w:rsidR="00AB0438" w:rsidRDefault="00AB0438" w:rsidP="00434BF9">
      <w:pPr>
        <w:ind w:firstLine="720"/>
        <w:rPr>
          <w:b/>
          <w:bCs/>
          <w:color w:val="0070C0"/>
          <w:sz w:val="36"/>
          <w:szCs w:val="36"/>
        </w:rPr>
      </w:pPr>
    </w:p>
    <w:p w14:paraId="0E45281E" w14:textId="62E2CAF5" w:rsidR="005D4D9C" w:rsidRPr="005D4D9C" w:rsidRDefault="005335B3" w:rsidP="005335B3">
      <w:pPr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         </w:t>
      </w:r>
      <w:r w:rsidR="00C249E6">
        <w:rPr>
          <w:b/>
          <w:bCs/>
          <w:color w:val="0070C0"/>
          <w:sz w:val="36"/>
          <w:szCs w:val="36"/>
        </w:rPr>
        <w:t xml:space="preserve">   </w:t>
      </w:r>
      <w:r w:rsidR="001F68CD">
        <w:rPr>
          <w:b/>
          <w:bCs/>
          <w:color w:val="0070C0"/>
          <w:sz w:val="36"/>
          <w:szCs w:val="36"/>
        </w:rPr>
        <w:tab/>
      </w:r>
      <w:r w:rsidR="005D4D9C" w:rsidRPr="005D4D9C">
        <w:rPr>
          <w:b/>
          <w:bCs/>
          <w:color w:val="0070C0"/>
          <w:sz w:val="36"/>
          <w:szCs w:val="36"/>
        </w:rPr>
        <w:t xml:space="preserve">ACCOTS </w:t>
      </w:r>
      <w:r w:rsidR="00434BF9">
        <w:rPr>
          <w:b/>
          <w:bCs/>
          <w:color w:val="0070C0"/>
          <w:sz w:val="36"/>
          <w:szCs w:val="36"/>
        </w:rPr>
        <w:t>Lead for</w:t>
      </w:r>
      <w:r>
        <w:rPr>
          <w:b/>
          <w:bCs/>
          <w:color w:val="0070C0"/>
          <w:sz w:val="36"/>
          <w:szCs w:val="36"/>
        </w:rPr>
        <w:t xml:space="preserve"> </w:t>
      </w:r>
      <w:r w:rsidR="00C249E6">
        <w:rPr>
          <w:b/>
          <w:bCs/>
          <w:color w:val="0070C0"/>
          <w:sz w:val="36"/>
          <w:szCs w:val="36"/>
        </w:rPr>
        <w:t>Education &amp; Training</w:t>
      </w:r>
    </w:p>
    <w:p w14:paraId="18CBA45A" w14:textId="2EB47C48" w:rsidR="005D4D9C" w:rsidRDefault="005D4D9C" w:rsidP="005D4D9C">
      <w:pPr>
        <w:rPr>
          <w:b/>
          <w:bCs/>
          <w:sz w:val="32"/>
          <w:szCs w:val="32"/>
        </w:rPr>
      </w:pPr>
    </w:p>
    <w:p w14:paraId="5D10A8CD" w14:textId="77777777" w:rsidR="00AB0438" w:rsidRDefault="00AB0438" w:rsidP="005D4D9C">
      <w:pPr>
        <w:rPr>
          <w:b/>
          <w:bCs/>
          <w:sz w:val="32"/>
          <w:szCs w:val="32"/>
        </w:rPr>
      </w:pPr>
    </w:p>
    <w:p w14:paraId="5A35CD76" w14:textId="4FBC1190" w:rsidR="00434BF9" w:rsidRDefault="00434BF9" w:rsidP="00434BF9">
      <w:pPr>
        <w:rPr>
          <w:b/>
          <w:color w:val="005EB8"/>
          <w:szCs w:val="28"/>
        </w:rPr>
      </w:pPr>
      <w:r w:rsidRPr="00434BF9">
        <w:rPr>
          <w:b/>
          <w:color w:val="005EB8"/>
          <w:sz w:val="32"/>
          <w:szCs w:val="36"/>
        </w:rPr>
        <w:t>ROLE DESCRIPTION</w:t>
      </w:r>
      <w:r w:rsidRPr="00434BF9">
        <w:rPr>
          <w:b/>
          <w:color w:val="005EB8"/>
          <w:szCs w:val="28"/>
        </w:rPr>
        <w:tab/>
      </w:r>
    </w:p>
    <w:p w14:paraId="7CFAA051" w14:textId="77777777" w:rsidR="00434BF9" w:rsidRPr="00434BF9" w:rsidRDefault="00434BF9" w:rsidP="00434BF9">
      <w:pPr>
        <w:rPr>
          <w:b/>
          <w:color w:val="005EB8"/>
          <w:szCs w:val="28"/>
        </w:rPr>
      </w:pPr>
    </w:p>
    <w:tbl>
      <w:tblPr>
        <w:tblStyle w:val="TableGrid"/>
        <w:tblW w:w="0" w:type="auto"/>
        <w:tblBorders>
          <w:top w:val="single" w:sz="8" w:space="0" w:color="005EB8"/>
          <w:left w:val="single" w:sz="8" w:space="0" w:color="005EB8"/>
          <w:bottom w:val="single" w:sz="8" w:space="0" w:color="005EB8"/>
          <w:right w:val="single" w:sz="8" w:space="0" w:color="005EB8"/>
          <w:insideH w:val="single" w:sz="8" w:space="0" w:color="005EB8"/>
          <w:insideV w:val="single" w:sz="8" w:space="0" w:color="005EB8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434BF9" w14:paraId="1D3C7956" w14:textId="77777777" w:rsidTr="002440DA">
        <w:trPr>
          <w:trHeight w:val="56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D1806F3" w14:textId="77777777" w:rsidR="00434BF9" w:rsidRPr="00725ADF" w:rsidRDefault="00434BF9" w:rsidP="004225D3">
            <w:pPr>
              <w:rPr>
                <w:b/>
                <w:color w:val="009D39"/>
                <w:szCs w:val="28"/>
              </w:rPr>
            </w:pPr>
            <w:r w:rsidRPr="00434BF9">
              <w:rPr>
                <w:b/>
                <w:color w:val="005EB8"/>
                <w:szCs w:val="28"/>
              </w:rPr>
              <w:t>Title</w:t>
            </w:r>
          </w:p>
        </w:tc>
        <w:tc>
          <w:tcPr>
            <w:tcW w:w="6894" w:type="dxa"/>
            <w:vAlign w:val="center"/>
          </w:tcPr>
          <w:p w14:paraId="7DCF855F" w14:textId="0DC0C459" w:rsidR="00434BF9" w:rsidRPr="009A69FA" w:rsidRDefault="00434BF9" w:rsidP="004225D3">
            <w:pPr>
              <w:rPr>
                <w:szCs w:val="28"/>
              </w:rPr>
            </w:pPr>
            <w:r>
              <w:rPr>
                <w:szCs w:val="28"/>
              </w:rPr>
              <w:t xml:space="preserve">Lead </w:t>
            </w:r>
            <w:r w:rsidR="005335B3">
              <w:rPr>
                <w:szCs w:val="28"/>
              </w:rPr>
              <w:t xml:space="preserve">Consultant </w:t>
            </w:r>
            <w:r>
              <w:rPr>
                <w:szCs w:val="28"/>
              </w:rPr>
              <w:t xml:space="preserve">for </w:t>
            </w:r>
            <w:r w:rsidR="00C249E6">
              <w:rPr>
                <w:szCs w:val="28"/>
              </w:rPr>
              <w:t>Education &amp; Training</w:t>
            </w:r>
          </w:p>
        </w:tc>
      </w:tr>
      <w:tr w:rsidR="00434BF9" w14:paraId="06192AEB" w14:textId="77777777" w:rsidTr="002440DA">
        <w:trPr>
          <w:trHeight w:val="56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4079A68" w14:textId="77777777" w:rsidR="00434BF9" w:rsidRPr="00434BF9" w:rsidRDefault="00434BF9" w:rsidP="004225D3">
            <w:pPr>
              <w:rPr>
                <w:b/>
                <w:color w:val="005EB8"/>
                <w:szCs w:val="28"/>
              </w:rPr>
            </w:pPr>
            <w:r w:rsidRPr="00434BF9">
              <w:rPr>
                <w:b/>
                <w:color w:val="005EB8"/>
                <w:szCs w:val="28"/>
              </w:rPr>
              <w:t>Accountable to</w:t>
            </w:r>
          </w:p>
        </w:tc>
        <w:tc>
          <w:tcPr>
            <w:tcW w:w="6894" w:type="dxa"/>
            <w:vAlign w:val="center"/>
          </w:tcPr>
          <w:p w14:paraId="22BB4A2B" w14:textId="32B7925E" w:rsidR="00434BF9" w:rsidRPr="009A69FA" w:rsidRDefault="00053E6E" w:rsidP="004225D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Clinial</w:t>
            </w:r>
            <w:proofErr w:type="spellEnd"/>
            <w:r>
              <w:rPr>
                <w:szCs w:val="28"/>
              </w:rPr>
              <w:t xml:space="preserve"> Lead </w:t>
            </w:r>
            <w:r w:rsidR="00434BF9">
              <w:rPr>
                <w:szCs w:val="28"/>
              </w:rPr>
              <w:t xml:space="preserve">Consultant, </w:t>
            </w:r>
            <w:r w:rsidR="005335B3">
              <w:rPr>
                <w:szCs w:val="28"/>
              </w:rPr>
              <w:t>ACCOTS</w:t>
            </w:r>
          </w:p>
        </w:tc>
      </w:tr>
      <w:tr w:rsidR="00434BF9" w14:paraId="304EA803" w14:textId="77777777" w:rsidTr="002440DA">
        <w:trPr>
          <w:trHeight w:val="60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E901DF0" w14:textId="77777777" w:rsidR="00434BF9" w:rsidRPr="00434BF9" w:rsidRDefault="00434BF9" w:rsidP="004225D3">
            <w:pPr>
              <w:rPr>
                <w:b/>
                <w:color w:val="005EB8"/>
                <w:szCs w:val="28"/>
              </w:rPr>
            </w:pPr>
            <w:r w:rsidRPr="00434BF9">
              <w:rPr>
                <w:b/>
                <w:color w:val="005EB8"/>
                <w:szCs w:val="28"/>
              </w:rPr>
              <w:t>Remuneration</w:t>
            </w:r>
          </w:p>
        </w:tc>
        <w:tc>
          <w:tcPr>
            <w:tcW w:w="6894" w:type="dxa"/>
            <w:vAlign w:val="center"/>
          </w:tcPr>
          <w:p w14:paraId="49D94C3D" w14:textId="28C30E5B" w:rsidR="00434BF9" w:rsidRPr="009A69FA" w:rsidRDefault="00AF74D6" w:rsidP="004225D3">
            <w:pPr>
              <w:rPr>
                <w:szCs w:val="28"/>
              </w:rPr>
            </w:pPr>
            <w:r>
              <w:rPr>
                <w:szCs w:val="28"/>
              </w:rPr>
              <w:t xml:space="preserve">Responsibility payment calculated to the equivalent of </w:t>
            </w:r>
            <w:r w:rsidR="00434BF9">
              <w:rPr>
                <w:szCs w:val="28"/>
              </w:rPr>
              <w:t>1</w:t>
            </w:r>
            <w:r w:rsidR="00310CF6">
              <w:rPr>
                <w:szCs w:val="28"/>
              </w:rPr>
              <w:t>.5</w:t>
            </w:r>
            <w:r w:rsidR="00434BF9">
              <w:rPr>
                <w:szCs w:val="28"/>
              </w:rPr>
              <w:t xml:space="preserve"> PA</w:t>
            </w:r>
          </w:p>
        </w:tc>
      </w:tr>
      <w:tr w:rsidR="00434BF9" w14:paraId="06C4D385" w14:textId="77777777" w:rsidTr="002440DA">
        <w:trPr>
          <w:trHeight w:val="56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4904B7D" w14:textId="77777777" w:rsidR="00434BF9" w:rsidRPr="00434BF9" w:rsidRDefault="00434BF9" w:rsidP="004225D3">
            <w:pPr>
              <w:rPr>
                <w:b/>
                <w:color w:val="005EB8"/>
                <w:szCs w:val="28"/>
              </w:rPr>
            </w:pPr>
            <w:r w:rsidRPr="00434BF9">
              <w:rPr>
                <w:b/>
                <w:color w:val="005EB8"/>
                <w:szCs w:val="28"/>
              </w:rPr>
              <w:t xml:space="preserve">Tenure </w:t>
            </w:r>
          </w:p>
        </w:tc>
        <w:tc>
          <w:tcPr>
            <w:tcW w:w="6894" w:type="dxa"/>
            <w:vAlign w:val="center"/>
          </w:tcPr>
          <w:p w14:paraId="3EACD06E" w14:textId="77777777" w:rsidR="00434BF9" w:rsidRPr="009A69FA" w:rsidRDefault="00434BF9" w:rsidP="004225D3">
            <w:pPr>
              <w:rPr>
                <w:szCs w:val="28"/>
              </w:rPr>
            </w:pPr>
            <w:r>
              <w:rPr>
                <w:szCs w:val="28"/>
              </w:rPr>
              <w:t>3 years</w:t>
            </w:r>
          </w:p>
        </w:tc>
      </w:tr>
      <w:tr w:rsidR="00C249E6" w14:paraId="60482C18" w14:textId="77777777" w:rsidTr="002440DA">
        <w:trPr>
          <w:trHeight w:val="123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7F35AB3" w14:textId="77777777" w:rsidR="00C249E6" w:rsidRPr="00434BF9" w:rsidRDefault="00C249E6" w:rsidP="00C249E6">
            <w:pPr>
              <w:rPr>
                <w:b/>
                <w:bCs/>
              </w:rPr>
            </w:pPr>
            <w:r w:rsidRPr="00434BF9">
              <w:rPr>
                <w:b/>
                <w:bCs/>
                <w:color w:val="005EB8"/>
              </w:rPr>
              <w:t>Role Summary</w:t>
            </w:r>
          </w:p>
        </w:tc>
        <w:tc>
          <w:tcPr>
            <w:tcW w:w="6894" w:type="dxa"/>
            <w:vAlign w:val="center"/>
          </w:tcPr>
          <w:p w14:paraId="2B04DD79" w14:textId="77777777" w:rsidR="001F68CD" w:rsidRDefault="00C249E6" w:rsidP="00C249E6">
            <w:pPr>
              <w:rPr>
                <w:szCs w:val="28"/>
              </w:rPr>
            </w:pPr>
            <w:r>
              <w:rPr>
                <w:szCs w:val="28"/>
              </w:rPr>
              <w:t xml:space="preserve">Education and training </w:t>
            </w:r>
            <w:r w:rsidR="001F68CD">
              <w:rPr>
                <w:szCs w:val="28"/>
              </w:rPr>
              <w:t>form</w:t>
            </w:r>
            <w:r>
              <w:rPr>
                <w:szCs w:val="28"/>
              </w:rPr>
              <w:t xml:space="preserve"> a central strand to the governance and quality framework for the </w:t>
            </w:r>
            <w:r w:rsidR="001F68CD">
              <w:rPr>
                <w:szCs w:val="28"/>
              </w:rPr>
              <w:t>ACCOTS</w:t>
            </w:r>
            <w:r>
              <w:rPr>
                <w:szCs w:val="28"/>
              </w:rPr>
              <w:t xml:space="preserve"> service.  </w:t>
            </w:r>
          </w:p>
          <w:p w14:paraId="23D6ECC8" w14:textId="1D9B6C4D" w:rsidR="00C249E6" w:rsidRDefault="00C249E6" w:rsidP="00C249E6">
            <w:pPr>
              <w:rPr>
                <w:szCs w:val="28"/>
              </w:rPr>
            </w:pPr>
            <w:r>
              <w:rPr>
                <w:szCs w:val="28"/>
              </w:rPr>
              <w:t>It represents the mechanism by which we can ensure that:</w:t>
            </w:r>
          </w:p>
          <w:p w14:paraId="6E967639" w14:textId="77777777" w:rsidR="001F68CD" w:rsidRDefault="001F68CD" w:rsidP="00C249E6">
            <w:pPr>
              <w:rPr>
                <w:szCs w:val="28"/>
              </w:rPr>
            </w:pPr>
          </w:p>
          <w:p w14:paraId="074677A5" w14:textId="5F17F74D" w:rsidR="00C249E6" w:rsidRDefault="00C249E6" w:rsidP="00C249E6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The </w:t>
            </w:r>
            <w:r w:rsidRPr="00A43B4D">
              <w:rPr>
                <w:rFonts w:ascii="Arial" w:hAnsi="Arial" w:cs="Arial"/>
                <w:sz w:val="24"/>
                <w:szCs w:val="28"/>
              </w:rPr>
              <w:t xml:space="preserve">service </w:t>
            </w:r>
            <w:r>
              <w:rPr>
                <w:rFonts w:ascii="Arial" w:hAnsi="Arial" w:cs="Arial"/>
                <w:sz w:val="24"/>
                <w:szCs w:val="28"/>
              </w:rPr>
              <w:t xml:space="preserve">continues to </w:t>
            </w:r>
            <w:r w:rsidRPr="00A43B4D">
              <w:rPr>
                <w:rFonts w:ascii="Arial" w:hAnsi="Arial" w:cs="Arial"/>
                <w:sz w:val="24"/>
                <w:szCs w:val="28"/>
              </w:rPr>
              <w:t>evol</w:t>
            </w:r>
            <w:r w:rsidR="001F68CD">
              <w:rPr>
                <w:rFonts w:ascii="Arial" w:hAnsi="Arial" w:cs="Arial"/>
                <w:sz w:val="24"/>
                <w:szCs w:val="28"/>
              </w:rPr>
              <w:t>ve</w:t>
            </w:r>
            <w:r>
              <w:rPr>
                <w:rFonts w:ascii="Arial" w:hAnsi="Arial" w:cs="Arial"/>
                <w:sz w:val="24"/>
                <w:szCs w:val="28"/>
              </w:rPr>
              <w:t xml:space="preserve"> and improve</w:t>
            </w:r>
          </w:p>
          <w:p w14:paraId="3568B741" w14:textId="77777777" w:rsidR="00C249E6" w:rsidRDefault="00C249E6" w:rsidP="00C249E6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L</w:t>
            </w:r>
            <w:r w:rsidRPr="00A43B4D">
              <w:rPr>
                <w:rFonts w:ascii="Arial" w:hAnsi="Arial" w:cs="Arial"/>
                <w:sz w:val="24"/>
                <w:szCs w:val="28"/>
              </w:rPr>
              <w:t xml:space="preserve">earning from clinical practice is positively embedded </w:t>
            </w:r>
          </w:p>
          <w:p w14:paraId="0D4B08F1" w14:textId="77777777" w:rsidR="00C249E6" w:rsidRPr="00A43B4D" w:rsidRDefault="00C249E6" w:rsidP="00C249E6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The service </w:t>
            </w:r>
            <w:r w:rsidRPr="00A43B4D">
              <w:rPr>
                <w:rFonts w:ascii="Arial" w:hAnsi="Arial" w:cs="Arial"/>
                <w:sz w:val="24"/>
                <w:szCs w:val="28"/>
              </w:rPr>
              <w:t>continue</w:t>
            </w:r>
            <w:r>
              <w:rPr>
                <w:rFonts w:ascii="Arial" w:hAnsi="Arial" w:cs="Arial"/>
                <w:sz w:val="24"/>
                <w:szCs w:val="28"/>
              </w:rPr>
              <w:t>s</w:t>
            </w:r>
            <w:r w:rsidRPr="00A43B4D">
              <w:rPr>
                <w:rFonts w:ascii="Arial" w:hAnsi="Arial" w:cs="Arial"/>
                <w:sz w:val="24"/>
                <w:szCs w:val="28"/>
              </w:rPr>
              <w:t xml:space="preserve"> to provide care in line with best practice and current evidence.</w:t>
            </w:r>
          </w:p>
          <w:p w14:paraId="12A2AE3D" w14:textId="77777777" w:rsidR="00C249E6" w:rsidRDefault="00C249E6" w:rsidP="00C249E6">
            <w:pPr>
              <w:rPr>
                <w:szCs w:val="28"/>
              </w:rPr>
            </w:pPr>
          </w:p>
          <w:p w14:paraId="060325D7" w14:textId="137D0DC7" w:rsidR="00C249E6" w:rsidRDefault="00C249E6" w:rsidP="00C249E6">
            <w:pPr>
              <w:rPr>
                <w:szCs w:val="28"/>
              </w:rPr>
            </w:pPr>
            <w:r>
              <w:rPr>
                <w:szCs w:val="28"/>
              </w:rPr>
              <w:t xml:space="preserve">Education and training delivered by </w:t>
            </w:r>
            <w:r w:rsidR="001F68CD">
              <w:rPr>
                <w:szCs w:val="28"/>
              </w:rPr>
              <w:t>ACCOTS</w:t>
            </w:r>
            <w:r>
              <w:rPr>
                <w:szCs w:val="28"/>
              </w:rPr>
              <w:t xml:space="preserve"> has three key audiences:</w:t>
            </w:r>
          </w:p>
          <w:p w14:paraId="3F864896" w14:textId="77777777" w:rsidR="001F68CD" w:rsidRDefault="001F68CD" w:rsidP="00C249E6">
            <w:pPr>
              <w:rPr>
                <w:szCs w:val="28"/>
              </w:rPr>
            </w:pPr>
          </w:p>
          <w:p w14:paraId="41CF6E1D" w14:textId="14993A01" w:rsidR="00C249E6" w:rsidRDefault="001F68CD" w:rsidP="00C249E6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ACCOTS</w:t>
            </w:r>
            <w:r w:rsidR="00C249E6">
              <w:rPr>
                <w:rFonts w:ascii="Arial" w:hAnsi="Arial" w:cs="Arial"/>
                <w:sz w:val="24"/>
                <w:szCs w:val="28"/>
              </w:rPr>
              <w:t xml:space="preserve"> team members</w:t>
            </w:r>
          </w:p>
          <w:p w14:paraId="4DC0338A" w14:textId="2B735B6C" w:rsidR="00C249E6" w:rsidRDefault="0082523C" w:rsidP="00C249E6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Doctors in training wi</w:t>
            </w:r>
            <w:r w:rsidR="00C249E6">
              <w:rPr>
                <w:rFonts w:ascii="Arial" w:hAnsi="Arial" w:cs="Arial"/>
                <w:sz w:val="24"/>
                <w:szCs w:val="28"/>
              </w:rPr>
              <w:t xml:space="preserve">ithin </w:t>
            </w:r>
            <w:r w:rsidR="001F68CD">
              <w:rPr>
                <w:rFonts w:ascii="Arial" w:hAnsi="Arial" w:cs="Arial"/>
                <w:sz w:val="24"/>
                <w:szCs w:val="28"/>
              </w:rPr>
              <w:t>A</w:t>
            </w:r>
            <w:r w:rsidR="00C249E6">
              <w:rPr>
                <w:rFonts w:ascii="Arial" w:hAnsi="Arial" w:cs="Arial"/>
                <w:sz w:val="24"/>
                <w:szCs w:val="28"/>
              </w:rPr>
              <w:t xml:space="preserve">naesthesia and Intensive Care Medicine training in the </w:t>
            </w:r>
            <w:r w:rsidR="001F68CD">
              <w:rPr>
                <w:rFonts w:ascii="Arial" w:hAnsi="Arial" w:cs="Arial"/>
                <w:sz w:val="24"/>
                <w:szCs w:val="28"/>
              </w:rPr>
              <w:t>East and West Midlands</w:t>
            </w:r>
            <w:r w:rsidR="00C249E6">
              <w:rPr>
                <w:rFonts w:ascii="Arial" w:hAnsi="Arial" w:cs="Arial"/>
                <w:sz w:val="24"/>
                <w:szCs w:val="28"/>
              </w:rPr>
              <w:t xml:space="preserve"> deaneries</w:t>
            </w:r>
          </w:p>
          <w:p w14:paraId="61860947" w14:textId="77777777" w:rsidR="00C249E6" w:rsidRPr="007F7F55" w:rsidRDefault="00C249E6" w:rsidP="00C249E6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Colleagues within the multidisciplinary teams in our partner referring and receiving acute hospital Trusts.</w:t>
            </w:r>
          </w:p>
          <w:p w14:paraId="6E1EC1F5" w14:textId="77777777" w:rsidR="00C249E6" w:rsidRDefault="00C249E6" w:rsidP="00C249E6">
            <w:pPr>
              <w:rPr>
                <w:szCs w:val="28"/>
              </w:rPr>
            </w:pPr>
          </w:p>
          <w:p w14:paraId="2D03B3B0" w14:textId="4AED9717" w:rsidR="00C249E6" w:rsidRDefault="00310CF6" w:rsidP="00C249E6">
            <w:pPr>
              <w:rPr>
                <w:szCs w:val="28"/>
              </w:rPr>
            </w:pPr>
            <w:r>
              <w:rPr>
                <w:szCs w:val="28"/>
              </w:rPr>
              <w:t xml:space="preserve">ACCOTS works across the midlands with two sub-regional </w:t>
            </w:r>
            <w:proofErr w:type="gramStart"/>
            <w:r>
              <w:rPr>
                <w:szCs w:val="28"/>
              </w:rPr>
              <w:t>bases;</w:t>
            </w:r>
            <w:proofErr w:type="gramEnd"/>
            <w:r>
              <w:rPr>
                <w:szCs w:val="28"/>
              </w:rPr>
              <w:t xml:space="preserve"> Castle Donington for the East Midlands and Union Park, West Bromwich for the West Midlands.  Both bases have a dedicated Lead Nurse and Deputy Lead Nurse who have responsibilities that encompass the Education and Training workstream.  ACCOTS has a dedicated Education and Training workstream overseen by the ACCOTS General Manager and Clinical Director.  This role will form of the ACCOTS Leadership Team</w:t>
            </w:r>
            <w:r w:rsidR="000C2BAC">
              <w:rPr>
                <w:szCs w:val="28"/>
              </w:rPr>
              <w:t xml:space="preserve"> and so the successful </w:t>
            </w:r>
            <w:proofErr w:type="spellStart"/>
            <w:r w:rsidR="000C2BAC">
              <w:rPr>
                <w:szCs w:val="28"/>
              </w:rPr>
              <w:t>aplicant</w:t>
            </w:r>
            <w:proofErr w:type="spellEnd"/>
            <w:r w:rsidR="000C2BAC">
              <w:rPr>
                <w:szCs w:val="28"/>
              </w:rPr>
              <w:t xml:space="preserve"> will therefore be required to contribute and lead the service as per the Education and Training Workstream for the whole service.     </w:t>
            </w:r>
            <w:r w:rsidR="00C249E6">
              <w:rPr>
                <w:szCs w:val="28"/>
              </w:rPr>
              <w:t xml:space="preserve">There is also </w:t>
            </w:r>
            <w:proofErr w:type="gramStart"/>
            <w:r w:rsidR="00C249E6">
              <w:rPr>
                <w:szCs w:val="28"/>
              </w:rPr>
              <w:t>scope</w:t>
            </w:r>
            <w:proofErr w:type="gramEnd"/>
            <w:r w:rsidR="00C249E6">
              <w:rPr>
                <w:szCs w:val="28"/>
              </w:rPr>
              <w:t xml:space="preserve"> to deliver bespoke training to fit any </w:t>
            </w:r>
            <w:proofErr w:type="gramStart"/>
            <w:r w:rsidR="00C249E6">
              <w:rPr>
                <w:szCs w:val="28"/>
              </w:rPr>
              <w:t>locally-specific</w:t>
            </w:r>
            <w:proofErr w:type="gramEnd"/>
            <w:r w:rsidR="00C249E6">
              <w:rPr>
                <w:szCs w:val="28"/>
              </w:rPr>
              <w:t xml:space="preserve"> training needs.</w:t>
            </w:r>
          </w:p>
          <w:p w14:paraId="02113F22" w14:textId="77777777" w:rsidR="00C249E6" w:rsidRDefault="00C249E6" w:rsidP="00C249E6">
            <w:pPr>
              <w:rPr>
                <w:szCs w:val="28"/>
              </w:rPr>
            </w:pPr>
          </w:p>
          <w:p w14:paraId="6AAFA6CF" w14:textId="46BC2A25" w:rsidR="00C249E6" w:rsidRDefault="00C249E6" w:rsidP="00C249E6">
            <w:pPr>
              <w:rPr>
                <w:szCs w:val="28"/>
              </w:rPr>
            </w:pPr>
            <w:r>
              <w:rPr>
                <w:szCs w:val="28"/>
              </w:rPr>
              <w:t>The role will involve:</w:t>
            </w:r>
          </w:p>
          <w:p w14:paraId="3BA994D9" w14:textId="77777777" w:rsidR="00C3016D" w:rsidRDefault="00C3016D" w:rsidP="00C249E6">
            <w:pPr>
              <w:rPr>
                <w:szCs w:val="28"/>
              </w:rPr>
            </w:pPr>
          </w:p>
          <w:p w14:paraId="6F9F3A86" w14:textId="60FD2D18" w:rsidR="00C249E6" w:rsidRDefault="00C249E6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Implementation, monitoring and evolution of the training programme for </w:t>
            </w:r>
            <w:r w:rsidR="001F68CD">
              <w:rPr>
                <w:rFonts w:ascii="Arial" w:hAnsi="Arial" w:cs="Arial"/>
                <w:sz w:val="24"/>
                <w:szCs w:val="28"/>
              </w:rPr>
              <w:t>ACCOTS</w:t>
            </w:r>
            <w:r>
              <w:rPr>
                <w:rFonts w:ascii="Arial" w:hAnsi="Arial" w:cs="Arial"/>
                <w:sz w:val="24"/>
                <w:szCs w:val="28"/>
              </w:rPr>
              <w:t xml:space="preserve"> Transfer Practitioners, Duty Consultants</w:t>
            </w:r>
            <w:r w:rsidR="000C2BAC">
              <w:rPr>
                <w:rFonts w:ascii="Arial" w:hAnsi="Arial" w:cs="Arial"/>
                <w:sz w:val="24"/>
                <w:szCs w:val="28"/>
              </w:rPr>
              <w:t xml:space="preserve"> </w:t>
            </w:r>
            <w:r>
              <w:rPr>
                <w:rFonts w:ascii="Arial" w:hAnsi="Arial" w:cs="Arial"/>
                <w:sz w:val="24"/>
                <w:szCs w:val="28"/>
              </w:rPr>
              <w:t>and Transfer Doctors</w:t>
            </w:r>
          </w:p>
          <w:p w14:paraId="3089EE66" w14:textId="043DC029" w:rsidR="00C3016D" w:rsidRDefault="00C3016D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Implementation, monitoring and evolution of the Inter-hospital Transfer Optional Skills Framework (OSF) for Advanced Critical Care Practitioners (ACCP’s) within ACCOTS in conjunction with employing base trusts across the region</w:t>
            </w:r>
          </w:p>
          <w:p w14:paraId="447E5B90" w14:textId="02BB91E1" w:rsidR="00C3016D" w:rsidRDefault="00C3016D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Development of the ACCP role within ACCOTS following completion of the OSF</w:t>
            </w:r>
          </w:p>
          <w:p w14:paraId="4A952A07" w14:textId="09CE968B" w:rsidR="00C249E6" w:rsidRDefault="00C249E6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Coordination of the allocation of training attachments for ICM and </w:t>
            </w:r>
            <w:r w:rsidR="001F68CD">
              <w:rPr>
                <w:rFonts w:ascii="Arial" w:hAnsi="Arial" w:cs="Arial"/>
                <w:sz w:val="24"/>
                <w:szCs w:val="28"/>
              </w:rPr>
              <w:t>A</w:t>
            </w:r>
            <w:r>
              <w:rPr>
                <w:rFonts w:ascii="Arial" w:hAnsi="Arial" w:cs="Arial"/>
                <w:sz w:val="24"/>
                <w:szCs w:val="28"/>
              </w:rPr>
              <w:t>naesthesia trainees within the service</w:t>
            </w:r>
          </w:p>
          <w:p w14:paraId="577A386A" w14:textId="77777777" w:rsidR="00C249E6" w:rsidRDefault="00C249E6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Developing and overseeing the competency framework for doctors in training who join the service for training attachments, and supporting Duty Consultant colleagues in its delivery</w:t>
            </w:r>
          </w:p>
          <w:p w14:paraId="06D32D9A" w14:textId="77777777" w:rsidR="00C249E6" w:rsidRDefault="00C249E6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Monitoring the progress towards acquisition of competency of trainees attached to service, implementing appropriate plans as required to address individual learning needs</w:t>
            </w:r>
          </w:p>
          <w:p w14:paraId="6E89206B" w14:textId="21D112C5" w:rsidR="00C249E6" w:rsidRDefault="00C249E6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Supporting the </w:t>
            </w:r>
            <w:r w:rsidR="000C2BAC">
              <w:rPr>
                <w:rFonts w:ascii="Arial" w:hAnsi="Arial" w:cs="Arial"/>
                <w:sz w:val="24"/>
                <w:szCs w:val="28"/>
              </w:rPr>
              <w:t xml:space="preserve">Lead Nurses and Deputy Lead Nurse’s </w:t>
            </w:r>
            <w:r>
              <w:rPr>
                <w:rFonts w:ascii="Arial" w:hAnsi="Arial" w:cs="Arial"/>
                <w:sz w:val="24"/>
                <w:szCs w:val="28"/>
              </w:rPr>
              <w:t>development and delivery of the training and competency framework underpinning both induction and development of the Transfer Practitioner cadre</w:t>
            </w:r>
          </w:p>
          <w:p w14:paraId="1DADA0E9" w14:textId="0A2BFCD5" w:rsidR="00C249E6" w:rsidRDefault="00C249E6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Acting as the point of contact between </w:t>
            </w:r>
            <w:r w:rsidR="001F68CD">
              <w:rPr>
                <w:rFonts w:ascii="Arial" w:hAnsi="Arial" w:cs="Arial"/>
                <w:sz w:val="24"/>
                <w:szCs w:val="28"/>
              </w:rPr>
              <w:t>ACCOTS</w:t>
            </w:r>
            <w:r>
              <w:rPr>
                <w:rFonts w:ascii="Arial" w:hAnsi="Arial" w:cs="Arial"/>
                <w:sz w:val="24"/>
                <w:szCs w:val="28"/>
              </w:rPr>
              <w:t xml:space="preserve"> parent-hospital College Tutors for trainees attached to the service</w:t>
            </w:r>
          </w:p>
          <w:p w14:paraId="2902BDD3" w14:textId="2235C837" w:rsidR="00C249E6" w:rsidRDefault="00C249E6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Providing the link between </w:t>
            </w:r>
            <w:r w:rsidR="001F68CD">
              <w:rPr>
                <w:rFonts w:ascii="Arial" w:hAnsi="Arial" w:cs="Arial"/>
                <w:sz w:val="24"/>
                <w:szCs w:val="28"/>
              </w:rPr>
              <w:t>ACCOTS</w:t>
            </w:r>
            <w:r>
              <w:rPr>
                <w:rFonts w:ascii="Arial" w:hAnsi="Arial" w:cs="Arial"/>
                <w:sz w:val="24"/>
                <w:szCs w:val="28"/>
              </w:rPr>
              <w:t xml:space="preserve"> and the Training Programme Directors and Heads of Schools of the Schools of </w:t>
            </w:r>
            <w:r w:rsidR="001F68CD">
              <w:rPr>
                <w:rFonts w:ascii="Arial" w:hAnsi="Arial" w:cs="Arial"/>
                <w:sz w:val="24"/>
                <w:szCs w:val="28"/>
              </w:rPr>
              <w:t xml:space="preserve">ICM </w:t>
            </w:r>
            <w:r>
              <w:rPr>
                <w:rFonts w:ascii="Arial" w:hAnsi="Arial" w:cs="Arial"/>
                <w:sz w:val="24"/>
                <w:szCs w:val="28"/>
              </w:rPr>
              <w:t xml:space="preserve">Anaesthesia </w:t>
            </w:r>
          </w:p>
          <w:p w14:paraId="6938FD73" w14:textId="77777777" w:rsidR="00C249E6" w:rsidRDefault="00C249E6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Acting in an educational supervisor capacity for any doctor attached on an extended fellowship</w:t>
            </w:r>
          </w:p>
          <w:p w14:paraId="4A600EA7" w14:textId="11A49F7D" w:rsidR="00C249E6" w:rsidRDefault="00C249E6" w:rsidP="00C249E6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Collaborating with other colleagues in the </w:t>
            </w:r>
            <w:r w:rsidR="001F68CD">
              <w:rPr>
                <w:rFonts w:ascii="Arial" w:hAnsi="Arial" w:cs="Arial"/>
                <w:sz w:val="24"/>
                <w:szCs w:val="28"/>
              </w:rPr>
              <w:t>ACCOTS</w:t>
            </w:r>
            <w:r>
              <w:rPr>
                <w:rFonts w:ascii="Arial" w:hAnsi="Arial" w:cs="Arial"/>
                <w:sz w:val="24"/>
                <w:szCs w:val="28"/>
              </w:rPr>
              <w:t xml:space="preserve"> Educational Team to implement a programme of outreach education to partner acute hospital Trusts</w:t>
            </w:r>
          </w:p>
          <w:p w14:paraId="0E0B3DA2" w14:textId="038710CF" w:rsidR="00C249E6" w:rsidRPr="00725ADF" w:rsidRDefault="00C249E6" w:rsidP="00DB10A9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>
              <w:rPr>
                <w:rFonts w:ascii="Arial" w:hAnsi="Arial" w:cs="Arial"/>
                <w:sz w:val="24"/>
                <w:szCs w:val="28"/>
              </w:rPr>
              <w:t xml:space="preserve">Collaborating with </w:t>
            </w:r>
            <w:r w:rsidR="001F68CD">
              <w:rPr>
                <w:rFonts w:ascii="Arial" w:hAnsi="Arial" w:cs="Arial"/>
                <w:sz w:val="24"/>
                <w:szCs w:val="28"/>
              </w:rPr>
              <w:t xml:space="preserve">East </w:t>
            </w:r>
            <w:r w:rsidR="00DB10A9">
              <w:rPr>
                <w:rFonts w:ascii="Arial" w:hAnsi="Arial" w:cs="Arial"/>
                <w:sz w:val="24"/>
                <w:szCs w:val="28"/>
              </w:rPr>
              <w:t xml:space="preserve">&amp; West </w:t>
            </w:r>
            <w:r w:rsidR="001F68CD">
              <w:rPr>
                <w:rFonts w:ascii="Arial" w:hAnsi="Arial" w:cs="Arial"/>
                <w:sz w:val="24"/>
                <w:szCs w:val="28"/>
              </w:rPr>
              <w:t>Midlands</w:t>
            </w:r>
            <w:r>
              <w:rPr>
                <w:rFonts w:ascii="Arial" w:hAnsi="Arial" w:cs="Arial"/>
                <w:sz w:val="24"/>
                <w:szCs w:val="28"/>
              </w:rPr>
              <w:t xml:space="preserve"> Critical Care Network </w:t>
            </w:r>
            <w:r w:rsidR="001F68CD">
              <w:rPr>
                <w:rFonts w:ascii="Arial" w:hAnsi="Arial" w:cs="Arial"/>
                <w:sz w:val="24"/>
                <w:szCs w:val="28"/>
              </w:rPr>
              <w:t xml:space="preserve">Care &amp; Trauma Network </w:t>
            </w:r>
            <w:r>
              <w:rPr>
                <w:rFonts w:ascii="Arial" w:hAnsi="Arial" w:cs="Arial"/>
                <w:sz w:val="24"/>
                <w:szCs w:val="28"/>
              </w:rPr>
              <w:t>colleagues in the development of standardised transfer training for the multidisciplinary team</w:t>
            </w:r>
          </w:p>
        </w:tc>
      </w:tr>
      <w:tr w:rsidR="00C249E6" w14:paraId="3C00347C" w14:textId="77777777" w:rsidTr="002440DA">
        <w:trPr>
          <w:trHeight w:val="112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BD0700E" w14:textId="77777777" w:rsidR="00C249E6" w:rsidRPr="00725ADF" w:rsidRDefault="00C249E6" w:rsidP="00C249E6">
            <w:pPr>
              <w:rPr>
                <w:b/>
                <w:color w:val="009D39"/>
                <w:szCs w:val="28"/>
              </w:rPr>
            </w:pPr>
            <w:r w:rsidRPr="00434BF9">
              <w:rPr>
                <w:b/>
                <w:color w:val="005EB8"/>
                <w:szCs w:val="28"/>
              </w:rPr>
              <w:lastRenderedPageBreak/>
              <w:t>Key Objectives</w:t>
            </w:r>
          </w:p>
        </w:tc>
        <w:tc>
          <w:tcPr>
            <w:tcW w:w="6894" w:type="dxa"/>
            <w:vAlign w:val="center"/>
          </w:tcPr>
          <w:p w14:paraId="1D6B880F" w14:textId="77777777" w:rsidR="001F68CD" w:rsidRPr="00B00D81" w:rsidRDefault="001F68CD" w:rsidP="001F68CD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 w:rsidRPr="00B00D81">
              <w:rPr>
                <w:rFonts w:ascii="Arial" w:hAnsi="Arial" w:cs="Arial"/>
                <w:sz w:val="24"/>
                <w:szCs w:val="28"/>
              </w:rPr>
              <w:t>Oversight of local educational programme in collaboration with colleagues</w:t>
            </w:r>
            <w:r>
              <w:rPr>
                <w:rFonts w:ascii="Arial" w:hAnsi="Arial" w:cs="Arial"/>
                <w:sz w:val="24"/>
                <w:szCs w:val="28"/>
              </w:rPr>
              <w:t xml:space="preserve"> within the Education Team, Leadership Team and the wider multidisciplinary team</w:t>
            </w:r>
          </w:p>
          <w:p w14:paraId="414F71FB" w14:textId="665E0D75" w:rsidR="001F68CD" w:rsidRPr="00C3016D" w:rsidRDefault="001F68CD" w:rsidP="00C3016D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 w:rsidRPr="00B00D81">
              <w:rPr>
                <w:rFonts w:ascii="Arial" w:hAnsi="Arial" w:cs="Arial"/>
                <w:sz w:val="24"/>
                <w:szCs w:val="28"/>
              </w:rPr>
              <w:t xml:space="preserve">Attendance </w:t>
            </w:r>
            <w:r>
              <w:rPr>
                <w:rFonts w:ascii="Arial" w:hAnsi="Arial" w:cs="Arial"/>
                <w:sz w:val="24"/>
                <w:szCs w:val="28"/>
              </w:rPr>
              <w:t>at meetings of the Educational Team or, from time to time, the Schools of</w:t>
            </w:r>
            <w:r w:rsidR="00C3016D">
              <w:rPr>
                <w:rFonts w:ascii="Arial" w:hAnsi="Arial" w:cs="Arial"/>
                <w:sz w:val="24"/>
                <w:szCs w:val="28"/>
              </w:rPr>
              <w:t xml:space="preserve"> ICM</w:t>
            </w:r>
            <w:r w:rsidR="00C3016D" w:rsidRPr="00B00D81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C3016D">
              <w:rPr>
                <w:rFonts w:ascii="Arial" w:hAnsi="Arial" w:cs="Arial"/>
                <w:sz w:val="24"/>
                <w:szCs w:val="28"/>
              </w:rPr>
              <w:t xml:space="preserve">and </w:t>
            </w:r>
            <w:r w:rsidRPr="0082523C">
              <w:rPr>
                <w:rFonts w:ascii="Arial" w:hAnsi="Arial" w:cs="Arial"/>
                <w:sz w:val="24"/>
                <w:szCs w:val="28"/>
              </w:rPr>
              <w:t>Anaesthesia</w:t>
            </w:r>
            <w:r w:rsidRPr="00C3016D">
              <w:rPr>
                <w:szCs w:val="28"/>
              </w:rPr>
              <w:t xml:space="preserve"> </w:t>
            </w:r>
          </w:p>
          <w:p w14:paraId="1FD4857C" w14:textId="77777777" w:rsidR="001F68CD" w:rsidRPr="00B00D81" w:rsidRDefault="001F68CD" w:rsidP="001F68CD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Coordinate feedback review for trainees attached to the service as required</w:t>
            </w:r>
          </w:p>
          <w:p w14:paraId="441A3215" w14:textId="3711B95E" w:rsidR="00C249E6" w:rsidRPr="008150CE" w:rsidRDefault="001F68CD" w:rsidP="001F68CD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Signposting to c</w:t>
            </w:r>
            <w:r w:rsidRPr="00B00D81">
              <w:rPr>
                <w:rFonts w:ascii="Arial" w:hAnsi="Arial" w:cs="Arial"/>
                <w:sz w:val="24"/>
                <w:szCs w:val="28"/>
              </w:rPr>
              <w:t xml:space="preserve">ounselling and </w:t>
            </w:r>
            <w:r>
              <w:rPr>
                <w:rFonts w:ascii="Arial" w:hAnsi="Arial" w:cs="Arial"/>
                <w:sz w:val="24"/>
                <w:szCs w:val="28"/>
              </w:rPr>
              <w:t>c</w:t>
            </w:r>
            <w:r w:rsidRPr="00B00D81">
              <w:rPr>
                <w:rFonts w:ascii="Arial" w:hAnsi="Arial" w:cs="Arial"/>
                <w:sz w:val="24"/>
                <w:szCs w:val="28"/>
              </w:rPr>
              <w:t xml:space="preserve">areers </w:t>
            </w:r>
            <w:r>
              <w:rPr>
                <w:rFonts w:ascii="Arial" w:hAnsi="Arial" w:cs="Arial"/>
                <w:sz w:val="24"/>
                <w:szCs w:val="28"/>
              </w:rPr>
              <w:t>a</w:t>
            </w:r>
            <w:r w:rsidRPr="00B00D81">
              <w:rPr>
                <w:rFonts w:ascii="Arial" w:hAnsi="Arial" w:cs="Arial"/>
                <w:sz w:val="24"/>
                <w:szCs w:val="28"/>
              </w:rPr>
              <w:t>dvice for trainee</w:t>
            </w:r>
            <w:r>
              <w:rPr>
                <w:rFonts w:ascii="Arial" w:hAnsi="Arial" w:cs="Arial"/>
                <w:sz w:val="24"/>
                <w:szCs w:val="28"/>
              </w:rPr>
              <w:t>s and fellows attached to the service</w:t>
            </w:r>
          </w:p>
        </w:tc>
      </w:tr>
      <w:tr w:rsidR="00C249E6" w14:paraId="60BFE7F2" w14:textId="77777777" w:rsidTr="002440DA">
        <w:trPr>
          <w:trHeight w:val="56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EEA3F41" w14:textId="02CCDF34" w:rsidR="00C249E6" w:rsidRPr="00725ADF" w:rsidRDefault="00C249E6" w:rsidP="00C249E6">
            <w:pPr>
              <w:rPr>
                <w:b/>
                <w:color w:val="009D39"/>
                <w:szCs w:val="28"/>
              </w:rPr>
            </w:pPr>
            <w:r w:rsidRPr="00434BF9">
              <w:rPr>
                <w:b/>
                <w:color w:val="005EB8"/>
                <w:szCs w:val="28"/>
              </w:rPr>
              <w:lastRenderedPageBreak/>
              <w:t>Requirements</w:t>
            </w:r>
          </w:p>
        </w:tc>
        <w:tc>
          <w:tcPr>
            <w:tcW w:w="6894" w:type="dxa"/>
            <w:vAlign w:val="center"/>
          </w:tcPr>
          <w:p w14:paraId="1E2456FD" w14:textId="77777777" w:rsidR="00C3016D" w:rsidRPr="00C3016D" w:rsidRDefault="00C3016D" w:rsidP="00C3016D">
            <w:pPr>
              <w:spacing w:line="276" w:lineRule="auto"/>
              <w:rPr>
                <w:szCs w:val="28"/>
              </w:rPr>
            </w:pPr>
          </w:p>
          <w:p w14:paraId="380F131A" w14:textId="780976ED" w:rsidR="001F68CD" w:rsidRPr="00531D7F" w:rsidRDefault="00C3016D" w:rsidP="001F68CD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ACCOTS</w:t>
            </w:r>
            <w:r w:rsidR="001F68CD">
              <w:rPr>
                <w:rFonts w:ascii="Arial" w:hAnsi="Arial" w:cs="Arial"/>
                <w:sz w:val="24"/>
                <w:szCs w:val="28"/>
              </w:rPr>
              <w:t xml:space="preserve"> Duty </w:t>
            </w:r>
            <w:r w:rsidR="001F68CD" w:rsidRPr="00531D7F">
              <w:rPr>
                <w:rFonts w:ascii="Arial" w:hAnsi="Arial" w:cs="Arial"/>
                <w:sz w:val="24"/>
                <w:szCs w:val="28"/>
              </w:rPr>
              <w:t xml:space="preserve">Consultant </w:t>
            </w:r>
          </w:p>
          <w:p w14:paraId="355CAD54" w14:textId="7425A64F" w:rsidR="001F68CD" w:rsidRDefault="001F68CD" w:rsidP="001F68CD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Current recognition within the </w:t>
            </w:r>
            <w:r w:rsidR="00C3016D">
              <w:rPr>
                <w:rFonts w:ascii="Arial" w:hAnsi="Arial" w:cs="Arial"/>
                <w:sz w:val="24"/>
                <w:szCs w:val="28"/>
              </w:rPr>
              <w:t>East Midlands</w:t>
            </w:r>
            <w:r>
              <w:rPr>
                <w:rFonts w:ascii="Arial" w:hAnsi="Arial" w:cs="Arial"/>
                <w:sz w:val="24"/>
                <w:szCs w:val="28"/>
              </w:rPr>
              <w:t xml:space="preserve"> or </w:t>
            </w:r>
            <w:r w:rsidR="00C3016D">
              <w:rPr>
                <w:rFonts w:ascii="Arial" w:hAnsi="Arial" w:cs="Arial"/>
                <w:sz w:val="24"/>
                <w:szCs w:val="28"/>
              </w:rPr>
              <w:t xml:space="preserve">West Midlands Deaneries </w:t>
            </w:r>
            <w:r>
              <w:rPr>
                <w:rFonts w:ascii="Arial" w:hAnsi="Arial" w:cs="Arial"/>
                <w:sz w:val="24"/>
                <w:szCs w:val="28"/>
              </w:rPr>
              <w:t xml:space="preserve">Schools of </w:t>
            </w:r>
            <w:r w:rsidR="00C3016D">
              <w:rPr>
                <w:rFonts w:ascii="Arial" w:hAnsi="Arial" w:cs="Arial"/>
                <w:sz w:val="24"/>
                <w:szCs w:val="28"/>
              </w:rPr>
              <w:t xml:space="preserve">ICM and </w:t>
            </w:r>
            <w:r>
              <w:rPr>
                <w:rFonts w:ascii="Arial" w:hAnsi="Arial" w:cs="Arial"/>
                <w:sz w:val="24"/>
                <w:szCs w:val="28"/>
              </w:rPr>
              <w:t>Anaesthesia as an Educational Supervisor</w:t>
            </w:r>
          </w:p>
          <w:p w14:paraId="3F724409" w14:textId="77777777" w:rsidR="001F68CD" w:rsidRDefault="001F68CD" w:rsidP="001F68CD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 w:rsidRPr="00531D7F">
              <w:rPr>
                <w:rFonts w:ascii="Arial" w:hAnsi="Arial" w:cs="Arial"/>
                <w:sz w:val="24"/>
                <w:szCs w:val="28"/>
              </w:rPr>
              <w:t>Strong leadership and organisational skills</w:t>
            </w:r>
          </w:p>
          <w:p w14:paraId="15FB4FC3" w14:textId="77777777" w:rsidR="00C249E6" w:rsidRDefault="001F68CD" w:rsidP="001F68C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Experience in and enthusiasm for medical training and education</w:t>
            </w:r>
          </w:p>
          <w:p w14:paraId="6A846421" w14:textId="77777777" w:rsidR="000C2BAC" w:rsidRDefault="000C2BAC" w:rsidP="001F68C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8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</w:rPr>
              <w:t>Comittment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to contribute and deliver the Education and Training workstream in alignment with the ACCOTS General Manager and Clinical Director</w:t>
            </w:r>
          </w:p>
          <w:p w14:paraId="01CAEBAC" w14:textId="21C924DA" w:rsidR="000C2BAC" w:rsidRPr="00424B31" w:rsidRDefault="000C2BAC" w:rsidP="001F68CD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Contribution and attendance at Partnership Board, Leadership team meetings and the Annual National Adult Critical Care</w:t>
            </w:r>
            <w:r w:rsidR="003B5A4D">
              <w:rPr>
                <w:rFonts w:ascii="Arial" w:hAnsi="Arial" w:cs="Arial"/>
                <w:sz w:val="24"/>
                <w:szCs w:val="28"/>
              </w:rPr>
              <w:t xml:space="preserve"> Transfer Services</w:t>
            </w:r>
            <w:r>
              <w:rPr>
                <w:rFonts w:ascii="Arial" w:hAnsi="Arial" w:cs="Arial"/>
                <w:sz w:val="24"/>
                <w:szCs w:val="28"/>
              </w:rPr>
              <w:t xml:space="preserve"> Conference. </w:t>
            </w:r>
          </w:p>
        </w:tc>
      </w:tr>
      <w:tr w:rsidR="001F68CD" w14:paraId="02593727" w14:textId="77777777" w:rsidTr="002440DA">
        <w:trPr>
          <w:trHeight w:val="56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48225C1" w14:textId="05606655" w:rsidR="001F68CD" w:rsidRPr="00434BF9" w:rsidRDefault="001F68CD" w:rsidP="001F68CD">
            <w:pPr>
              <w:rPr>
                <w:b/>
                <w:color w:val="005EB8"/>
                <w:szCs w:val="28"/>
              </w:rPr>
            </w:pPr>
            <w:r>
              <w:rPr>
                <w:b/>
                <w:color w:val="005EB8"/>
                <w:szCs w:val="28"/>
              </w:rPr>
              <w:t>Desirable</w:t>
            </w:r>
          </w:p>
        </w:tc>
        <w:tc>
          <w:tcPr>
            <w:tcW w:w="6894" w:type="dxa"/>
            <w:vAlign w:val="center"/>
          </w:tcPr>
          <w:p w14:paraId="5218AD03" w14:textId="77777777" w:rsidR="001F68CD" w:rsidRPr="00A43B4D" w:rsidRDefault="001F68CD" w:rsidP="001F68CD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 w:rsidRPr="00A43B4D">
              <w:rPr>
                <w:rFonts w:ascii="Arial" w:hAnsi="Arial" w:cs="Arial"/>
                <w:sz w:val="24"/>
                <w:szCs w:val="28"/>
              </w:rPr>
              <w:t>Post-graduate qualification in education</w:t>
            </w:r>
          </w:p>
          <w:p w14:paraId="2FEF172F" w14:textId="17B220C3" w:rsidR="001F68CD" w:rsidRDefault="001F68CD" w:rsidP="001F68CD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8"/>
              </w:rPr>
            </w:pPr>
            <w:r w:rsidRPr="00A43B4D">
              <w:rPr>
                <w:rFonts w:ascii="Arial" w:hAnsi="Arial" w:cs="Arial"/>
                <w:sz w:val="24"/>
                <w:szCs w:val="28"/>
              </w:rPr>
              <w:t xml:space="preserve">Prior experience as a </w:t>
            </w:r>
            <w:r>
              <w:rPr>
                <w:rFonts w:ascii="Arial" w:hAnsi="Arial" w:cs="Arial"/>
                <w:sz w:val="24"/>
                <w:szCs w:val="28"/>
              </w:rPr>
              <w:t>F</w:t>
            </w:r>
            <w:r w:rsidRPr="00A43B4D">
              <w:rPr>
                <w:rFonts w:ascii="Arial" w:hAnsi="Arial" w:cs="Arial"/>
                <w:sz w:val="24"/>
                <w:szCs w:val="28"/>
              </w:rPr>
              <w:t>aculty/</w:t>
            </w:r>
            <w:r>
              <w:rPr>
                <w:rFonts w:ascii="Arial" w:hAnsi="Arial" w:cs="Arial"/>
                <w:sz w:val="24"/>
                <w:szCs w:val="28"/>
              </w:rPr>
              <w:t>C</w:t>
            </w:r>
            <w:r w:rsidRPr="00A43B4D">
              <w:rPr>
                <w:rFonts w:ascii="Arial" w:hAnsi="Arial" w:cs="Arial"/>
                <w:sz w:val="24"/>
                <w:szCs w:val="28"/>
              </w:rPr>
              <w:t xml:space="preserve">ollege </w:t>
            </w:r>
            <w:r>
              <w:rPr>
                <w:rFonts w:ascii="Arial" w:hAnsi="Arial" w:cs="Arial"/>
                <w:sz w:val="24"/>
                <w:szCs w:val="28"/>
              </w:rPr>
              <w:t>T</w:t>
            </w:r>
            <w:r w:rsidRPr="00A43B4D">
              <w:rPr>
                <w:rFonts w:ascii="Arial" w:hAnsi="Arial" w:cs="Arial"/>
                <w:sz w:val="24"/>
                <w:szCs w:val="28"/>
              </w:rPr>
              <w:t>utor</w:t>
            </w:r>
          </w:p>
        </w:tc>
      </w:tr>
    </w:tbl>
    <w:p w14:paraId="3D320D2D" w14:textId="77777777" w:rsidR="00434BF9" w:rsidRDefault="00434BF9" w:rsidP="00434BF9">
      <w:pPr>
        <w:rPr>
          <w:b/>
          <w:szCs w:val="28"/>
        </w:rPr>
      </w:pPr>
    </w:p>
    <w:p w14:paraId="5091BDBA" w14:textId="77777777" w:rsidR="00CC2146" w:rsidRDefault="00CC2146">
      <w:pPr>
        <w:spacing w:after="240"/>
      </w:pPr>
    </w:p>
    <w:sectPr w:rsidR="00CC2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851" w:left="851" w:header="403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2A77" w14:textId="77777777" w:rsidR="00360A5A" w:rsidRDefault="00360A5A">
      <w:r>
        <w:separator/>
      </w:r>
    </w:p>
  </w:endnote>
  <w:endnote w:type="continuationSeparator" w:id="0">
    <w:p w14:paraId="5B1C4828" w14:textId="77777777" w:rsidR="00360A5A" w:rsidRDefault="0036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B6A4" w14:textId="77777777" w:rsidR="007D5A38" w:rsidRDefault="007D5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91B4" w14:textId="77777777" w:rsidR="00CC2146" w:rsidRDefault="00CC214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192" w:type="dxa"/>
      <w:tblLayout w:type="fixed"/>
      <w:tblLook w:val="0000" w:firstRow="0" w:lastRow="0" w:firstColumn="0" w:lastColumn="0" w:noHBand="0" w:noVBand="0"/>
    </w:tblPr>
    <w:tblGrid>
      <w:gridCol w:w="1192"/>
    </w:tblGrid>
    <w:tr w:rsidR="005D4D9C" w14:paraId="5FD146E8" w14:textId="77777777" w:rsidTr="005D4D9C">
      <w:tc>
        <w:tcPr>
          <w:tcW w:w="1192" w:type="dxa"/>
        </w:tcPr>
        <w:p w14:paraId="17DBA18C" w14:textId="77777777" w:rsidR="005D4D9C" w:rsidRDefault="005D4D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rFonts w:ascii="Arial Narrow" w:eastAsia="Arial Narrow" w:hAnsi="Arial Narrow" w:cs="Arial Narrow"/>
              <w:color w:val="999999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t xml:space="preserve">Page </w:t>
          </w: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fldChar w:fldCharType="begin"/>
          </w: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instrText>PAGE</w:instrText>
          </w: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fldChar w:fldCharType="separate"/>
          </w:r>
          <w:r w:rsidR="00DB10A9">
            <w:rPr>
              <w:rFonts w:ascii="Arial Narrow" w:eastAsia="Arial Narrow" w:hAnsi="Arial Narrow" w:cs="Arial Narrow"/>
              <w:noProof/>
              <w:color w:val="999999"/>
              <w:sz w:val="20"/>
              <w:szCs w:val="20"/>
            </w:rPr>
            <w:t>1</w:t>
          </w: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fldChar w:fldCharType="end"/>
          </w: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t xml:space="preserve"> of </w:t>
          </w: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fldChar w:fldCharType="begin"/>
          </w: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instrText>NUMPAGES</w:instrText>
          </w: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fldChar w:fldCharType="separate"/>
          </w:r>
          <w:r w:rsidR="00DB10A9">
            <w:rPr>
              <w:rFonts w:ascii="Arial Narrow" w:eastAsia="Arial Narrow" w:hAnsi="Arial Narrow" w:cs="Arial Narrow"/>
              <w:noProof/>
              <w:color w:val="999999"/>
              <w:sz w:val="20"/>
              <w:szCs w:val="20"/>
            </w:rPr>
            <w:t>3</w:t>
          </w:r>
          <w:r>
            <w:rPr>
              <w:rFonts w:ascii="Arial Narrow" w:eastAsia="Arial Narrow" w:hAnsi="Arial Narrow" w:cs="Arial Narrow"/>
              <w:color w:val="999999"/>
              <w:sz w:val="20"/>
              <w:szCs w:val="20"/>
            </w:rPr>
            <w:fldChar w:fldCharType="end"/>
          </w:r>
        </w:p>
      </w:tc>
    </w:tr>
  </w:tbl>
  <w:p w14:paraId="7A9A2452" w14:textId="77777777" w:rsidR="00CC2146" w:rsidRDefault="00CC21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6ABD" w14:textId="77777777" w:rsidR="007D5A38" w:rsidRDefault="007D5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3B73" w14:textId="77777777" w:rsidR="00360A5A" w:rsidRDefault="00360A5A">
      <w:r>
        <w:separator/>
      </w:r>
    </w:p>
  </w:footnote>
  <w:footnote w:type="continuationSeparator" w:id="0">
    <w:p w14:paraId="08EB054B" w14:textId="77777777" w:rsidR="00360A5A" w:rsidRDefault="0036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2B8F" w14:textId="65E62560" w:rsidR="007D5A38" w:rsidRDefault="007D5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D4ED" w14:textId="4934AE50" w:rsidR="00CC2146" w:rsidRDefault="00DB65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80C192" wp14:editId="798ED314">
              <wp:simplePos x="0" y="0"/>
              <wp:positionH relativeFrom="column">
                <wp:posOffset>-292099</wp:posOffset>
              </wp:positionH>
              <wp:positionV relativeFrom="paragraph">
                <wp:posOffset>76200</wp:posOffset>
              </wp:positionV>
              <wp:extent cx="7105650" cy="9904650"/>
              <wp:effectExtent l="0" t="0" r="0" b="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02700" y="0"/>
                        <a:ext cx="7086600" cy="7560000"/>
                      </a:xfrm>
                      <a:prstGeom prst="roundRect">
                        <a:avLst>
                          <a:gd name="adj" fmla="val 3093"/>
                        </a:avLst>
                      </a:prstGeom>
                      <a:noFill/>
                      <a:ln w="19050" cap="flat" cmpd="sng">
                        <a:solidFill>
                          <a:srgbClr val="005EB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975A204" w14:textId="77777777" w:rsidR="00CC2146" w:rsidRDefault="00CC214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F80C192" id="Rounded Rectangle 12" o:spid="_x0000_s1026" style="position:absolute;margin-left:-23pt;margin-top:6pt;width:559.5pt;height:779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0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" filled="f" strokecolor="#005eb8" strokeweight="1.5pt">
              <v:stroke startarrowwidth="narrow" startarrowlength="short" endarrowwidth="narrow" endarrowlength="short"/>
              <v:textbox inset="2.53958mm,2.53958mm,2.53958mm,2.53958mm">
                <w:txbxContent>
                  <w:p w14:paraId="5975A204" w14:textId="77777777" w:rsidR="00CC2146" w:rsidRDefault="00CC2146">
                    <w:pPr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744ACAF" wp14:editId="20A1B0AF">
          <wp:simplePos x="0" y="0"/>
          <wp:positionH relativeFrom="column">
            <wp:posOffset>313055</wp:posOffset>
          </wp:positionH>
          <wp:positionV relativeFrom="paragraph">
            <wp:posOffset>-191134</wp:posOffset>
          </wp:positionV>
          <wp:extent cx="2052320" cy="1134110"/>
          <wp:effectExtent l="0" t="0" r="0" b="0"/>
          <wp:wrapSquare wrapText="bothSides" distT="0" distB="0" distL="114300" distR="11430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2320" cy="1134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F1F9" w14:textId="18BEAC56" w:rsidR="007D5A38" w:rsidRDefault="007D5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22CB"/>
    <w:multiLevelType w:val="hybridMultilevel"/>
    <w:tmpl w:val="DBF26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A73E2"/>
    <w:multiLevelType w:val="hybridMultilevel"/>
    <w:tmpl w:val="FF1C6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D23"/>
    <w:multiLevelType w:val="multilevel"/>
    <w:tmpl w:val="E36E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CC5496"/>
    <w:multiLevelType w:val="hybridMultilevel"/>
    <w:tmpl w:val="5DF6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D2E57"/>
    <w:multiLevelType w:val="hybridMultilevel"/>
    <w:tmpl w:val="10DE8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82BD7"/>
    <w:multiLevelType w:val="hybridMultilevel"/>
    <w:tmpl w:val="36A6D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5512DF"/>
    <w:multiLevelType w:val="hybridMultilevel"/>
    <w:tmpl w:val="67BC1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94410"/>
    <w:multiLevelType w:val="hybridMultilevel"/>
    <w:tmpl w:val="0A326F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6138EA"/>
    <w:multiLevelType w:val="hybridMultilevel"/>
    <w:tmpl w:val="617E9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E60A9"/>
    <w:multiLevelType w:val="hybridMultilevel"/>
    <w:tmpl w:val="ED184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A33DCB"/>
    <w:multiLevelType w:val="hybridMultilevel"/>
    <w:tmpl w:val="B15CA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A0475"/>
    <w:multiLevelType w:val="hybridMultilevel"/>
    <w:tmpl w:val="64EC0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336AF"/>
    <w:multiLevelType w:val="hybridMultilevel"/>
    <w:tmpl w:val="6D303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7A1FD3"/>
    <w:multiLevelType w:val="hybridMultilevel"/>
    <w:tmpl w:val="AEF81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58047">
    <w:abstractNumId w:val="2"/>
  </w:num>
  <w:num w:numId="2" w16cid:durableId="154154326">
    <w:abstractNumId w:val="3"/>
  </w:num>
  <w:num w:numId="3" w16cid:durableId="1036541608">
    <w:abstractNumId w:val="1"/>
  </w:num>
  <w:num w:numId="4" w16cid:durableId="547645505">
    <w:abstractNumId w:val="12"/>
  </w:num>
  <w:num w:numId="5" w16cid:durableId="983699505">
    <w:abstractNumId w:val="0"/>
  </w:num>
  <w:num w:numId="6" w16cid:durableId="425661879">
    <w:abstractNumId w:val="10"/>
  </w:num>
  <w:num w:numId="7" w16cid:durableId="1982801945">
    <w:abstractNumId w:val="9"/>
  </w:num>
  <w:num w:numId="8" w16cid:durableId="1672760256">
    <w:abstractNumId w:val="7"/>
  </w:num>
  <w:num w:numId="9" w16cid:durableId="777723309">
    <w:abstractNumId w:val="8"/>
  </w:num>
  <w:num w:numId="10" w16cid:durableId="482310262">
    <w:abstractNumId w:val="5"/>
  </w:num>
  <w:num w:numId="11" w16cid:durableId="468208978">
    <w:abstractNumId w:val="6"/>
  </w:num>
  <w:num w:numId="12" w16cid:durableId="374937080">
    <w:abstractNumId w:val="4"/>
  </w:num>
  <w:num w:numId="13" w16cid:durableId="1269891136">
    <w:abstractNumId w:val="13"/>
  </w:num>
  <w:num w:numId="14" w16cid:durableId="51225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46"/>
    <w:rsid w:val="00053E6E"/>
    <w:rsid w:val="000C2BAC"/>
    <w:rsid w:val="001D52D2"/>
    <w:rsid w:val="001F68CD"/>
    <w:rsid w:val="002440DA"/>
    <w:rsid w:val="002C2DB9"/>
    <w:rsid w:val="00310CF6"/>
    <w:rsid w:val="00334697"/>
    <w:rsid w:val="0035201A"/>
    <w:rsid w:val="00360A5A"/>
    <w:rsid w:val="00364C4B"/>
    <w:rsid w:val="003B5A4D"/>
    <w:rsid w:val="00434BF9"/>
    <w:rsid w:val="00494FDC"/>
    <w:rsid w:val="005335B3"/>
    <w:rsid w:val="005B48DD"/>
    <w:rsid w:val="005D4D9C"/>
    <w:rsid w:val="00605BDC"/>
    <w:rsid w:val="00627130"/>
    <w:rsid w:val="007D5A38"/>
    <w:rsid w:val="00806975"/>
    <w:rsid w:val="0082523C"/>
    <w:rsid w:val="00AB0438"/>
    <w:rsid w:val="00AF573F"/>
    <w:rsid w:val="00AF74D6"/>
    <w:rsid w:val="00BE2A14"/>
    <w:rsid w:val="00C249E6"/>
    <w:rsid w:val="00C3016D"/>
    <w:rsid w:val="00CB22A0"/>
    <w:rsid w:val="00CC2146"/>
    <w:rsid w:val="00D138CC"/>
    <w:rsid w:val="00DB10A9"/>
    <w:rsid w:val="00DB6513"/>
    <w:rsid w:val="00DE7E66"/>
    <w:rsid w:val="00E62242"/>
    <w:rsid w:val="00E74160"/>
    <w:rsid w:val="00F156A5"/>
    <w:rsid w:val="00F600D1"/>
    <w:rsid w:val="00FA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C2710"/>
  <w15:docId w15:val="{6705B441-0B93-EA45-A79C-6F162E75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styleId="111111">
    <w:name w:val="Outline List 2"/>
    <w:basedOn w:val="NoList"/>
    <w:rsid w:val="00377303"/>
  </w:style>
  <w:style w:type="paragraph" w:styleId="Header">
    <w:name w:val="header"/>
    <w:basedOn w:val="Normal"/>
    <w:rsid w:val="004A53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533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1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D14AB0"/>
  </w:style>
  <w:style w:type="character" w:styleId="Hyperlink">
    <w:name w:val="Hyperlink"/>
    <w:basedOn w:val="DefaultParagraphFont"/>
    <w:rsid w:val="00275ED9"/>
    <w:rPr>
      <w:color w:val="0000FF"/>
      <w:u w:val="single"/>
    </w:rPr>
  </w:style>
  <w:style w:type="character" w:styleId="FollowedHyperlink">
    <w:name w:val="FollowedHyperlink"/>
    <w:basedOn w:val="DefaultParagraphFont"/>
    <w:rsid w:val="0098003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56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AA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C2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02" w:type="dxa"/>
        <w:bottom w:w="57" w:type="dxa"/>
        <w:right w:w="102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2" w:type="dxa"/>
        <w:left w:w="102" w:type="dxa"/>
        <w:bottom w:w="102" w:type="dxa"/>
        <w:right w:w="102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99"/>
    <w:qFormat/>
    <w:rsid w:val="005D4D9C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34B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1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0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0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xr+0iwRWjGHg4Um94iC31tJSZA==">AMUW2mVtuY414yO7aqyQqH8X8VD4llZGhkkb4G9lwbqgSIaxIaV0woFlfev2epgIjIQ+oBZF3dsjlTE2PfqE/but5wxJGeTshdQMacl+bYfqacok/FNa5pkpMxsAHHss15WNvGok64Sg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Dashey Susan - Consultant In Anaesthesia, Intensive Care Medicine &amp; ECMO</dc:creator>
  <cp:lastModifiedBy>GRAHAM, Michelle (UNIVERSITY HOSPITALS OF LEICESTER NHS TRUST)</cp:lastModifiedBy>
  <cp:revision>2</cp:revision>
  <dcterms:created xsi:type="dcterms:W3CDTF">2026-04-21T12:10:00Z</dcterms:created>
  <dcterms:modified xsi:type="dcterms:W3CDTF">2026-04-21T12:10:00Z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0x01010029215B923059DE4C8BBF342CED6D29A0</vt:lpwstr>
  </property>
</Properties>
</file>