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2578" w14:textId="77777777" w:rsidR="00D90F25" w:rsidRPr="00DE3822" w:rsidRDefault="009F3225">
      <w:pPr>
        <w:pStyle w:val="Titolo"/>
        <w:rPr>
          <w:lang w:val="it-IT"/>
        </w:rPr>
      </w:pPr>
      <w:r w:rsidRPr="00DE3822">
        <w:rPr>
          <w:lang w:val="it-IT"/>
        </w:rPr>
        <w:t>Politica per il Sistema di Gestione dei Processi Digitalizzati</w:t>
      </w:r>
    </w:p>
    <w:p w14:paraId="04C83581" w14:textId="77777777" w:rsidR="00D90F25" w:rsidRPr="00DE3822" w:rsidRDefault="009F3225">
      <w:pPr>
        <w:rPr>
          <w:lang w:val="it-IT"/>
        </w:rPr>
      </w:pPr>
      <w:r w:rsidRPr="00DE3822">
        <w:rPr>
          <w:b/>
          <w:lang w:val="it-IT"/>
        </w:rPr>
        <w:t xml:space="preserve">Società: </w:t>
      </w:r>
      <w:r w:rsidRPr="00DE3822">
        <w:rPr>
          <w:lang w:val="it-IT"/>
        </w:rPr>
        <w:t>Mario Petrangeli &amp; Associati S.r.l. (MPA)</w:t>
      </w:r>
    </w:p>
    <w:p w14:paraId="0FB93F3A" w14:textId="77777777" w:rsidR="00D90F25" w:rsidRPr="00DE3822" w:rsidRDefault="009F3225">
      <w:pPr>
        <w:rPr>
          <w:lang w:val="it-IT"/>
        </w:rPr>
      </w:pPr>
      <w:r w:rsidRPr="00DE3822">
        <w:rPr>
          <w:b/>
          <w:lang w:val="it-IT"/>
        </w:rPr>
        <w:t xml:space="preserve">Sede: </w:t>
      </w:r>
      <w:r w:rsidRPr="00DE3822">
        <w:rPr>
          <w:lang w:val="it-IT"/>
        </w:rPr>
        <w:t>Largo dell'Amba Aradam 11, Roma</w:t>
      </w:r>
    </w:p>
    <w:p w14:paraId="50BB51BC" w14:textId="77777777" w:rsidR="00D90F25" w:rsidRPr="00DE3822" w:rsidRDefault="009F3225">
      <w:pPr>
        <w:rPr>
          <w:lang w:val="it-IT"/>
        </w:rPr>
      </w:pPr>
      <w:r w:rsidRPr="00DE3822">
        <w:rPr>
          <w:b/>
          <w:lang w:val="it-IT"/>
        </w:rPr>
        <w:t xml:space="preserve">Ambito: </w:t>
      </w:r>
      <w:r w:rsidRPr="00DE3822">
        <w:rPr>
          <w:lang w:val="it-IT"/>
        </w:rPr>
        <w:t>Società di ingegneria - infrastrutture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2606"/>
        <w:gridCol w:w="2606"/>
        <w:gridCol w:w="2606"/>
      </w:tblGrid>
      <w:tr w:rsidR="00D90F25" w14:paraId="46C38CE4" w14:textId="77777777">
        <w:trPr>
          <w:jc w:val="center"/>
        </w:trPr>
        <w:tc>
          <w:tcPr>
            <w:tcW w:w="2606" w:type="dxa"/>
            <w:shd w:val="clear" w:color="auto" w:fill="D9EAF7"/>
            <w:vAlign w:val="center"/>
          </w:tcPr>
          <w:p w14:paraId="3D3B85F2" w14:textId="77777777" w:rsidR="00D90F25" w:rsidRDefault="009F3225">
            <w:r>
              <w:rPr>
                <w:b/>
                <w:sz w:val="17"/>
              </w:rPr>
              <w:t>Codice</w:t>
            </w:r>
          </w:p>
        </w:tc>
        <w:tc>
          <w:tcPr>
            <w:tcW w:w="2606" w:type="dxa"/>
            <w:shd w:val="clear" w:color="auto" w:fill="D9EAF7"/>
            <w:vAlign w:val="center"/>
          </w:tcPr>
          <w:p w14:paraId="2F8E56ED" w14:textId="77777777" w:rsidR="00D90F25" w:rsidRDefault="009F3225">
            <w:r>
              <w:rPr>
                <w:sz w:val="17"/>
              </w:rPr>
              <w:t>SGPD-POL-01</w:t>
            </w:r>
          </w:p>
        </w:tc>
        <w:tc>
          <w:tcPr>
            <w:tcW w:w="2606" w:type="dxa"/>
            <w:shd w:val="clear" w:color="auto" w:fill="D9EAF7"/>
            <w:vAlign w:val="center"/>
          </w:tcPr>
          <w:p w14:paraId="02A99CEA" w14:textId="77777777" w:rsidR="00D90F25" w:rsidRDefault="009F3225">
            <w:r>
              <w:rPr>
                <w:b/>
                <w:sz w:val="17"/>
              </w:rPr>
              <w:t>Revisione</w:t>
            </w:r>
          </w:p>
        </w:tc>
        <w:tc>
          <w:tcPr>
            <w:tcW w:w="2606" w:type="dxa"/>
            <w:shd w:val="clear" w:color="auto" w:fill="D9EAF7"/>
            <w:vAlign w:val="center"/>
          </w:tcPr>
          <w:p w14:paraId="3FF5762E" w14:textId="1C54A11B" w:rsidR="00D90F25" w:rsidRDefault="009F3225">
            <w:r>
              <w:rPr>
                <w:sz w:val="17"/>
              </w:rPr>
              <w:t>0</w:t>
            </w:r>
            <w:r w:rsidR="003D32BE">
              <w:rPr>
                <w:sz w:val="17"/>
              </w:rPr>
              <w:t>1</w:t>
            </w:r>
          </w:p>
        </w:tc>
      </w:tr>
      <w:tr w:rsidR="00D90F25" w14:paraId="13A71661" w14:textId="77777777">
        <w:trPr>
          <w:jc w:val="center"/>
        </w:trPr>
        <w:tc>
          <w:tcPr>
            <w:tcW w:w="2606" w:type="dxa"/>
            <w:vAlign w:val="center"/>
          </w:tcPr>
          <w:p w14:paraId="5700F0ED" w14:textId="77777777" w:rsidR="00D90F25" w:rsidRDefault="009F3225">
            <w:r>
              <w:rPr>
                <w:b/>
                <w:sz w:val="17"/>
              </w:rPr>
              <w:t>Data</w:t>
            </w:r>
          </w:p>
        </w:tc>
        <w:tc>
          <w:tcPr>
            <w:tcW w:w="2606" w:type="dxa"/>
            <w:vAlign w:val="center"/>
          </w:tcPr>
          <w:p w14:paraId="5A2795BA" w14:textId="40F9DB10" w:rsidR="00D90F25" w:rsidRDefault="003D32BE">
            <w:r>
              <w:rPr>
                <w:sz w:val="17"/>
              </w:rPr>
              <w:t>15</w:t>
            </w:r>
            <w:r w:rsidR="00DE3822">
              <w:rPr>
                <w:sz w:val="17"/>
              </w:rPr>
              <w:t>/0</w:t>
            </w:r>
            <w:r>
              <w:rPr>
                <w:sz w:val="17"/>
              </w:rPr>
              <w:t>5</w:t>
            </w:r>
            <w:r w:rsidR="00DE3822">
              <w:rPr>
                <w:sz w:val="17"/>
              </w:rPr>
              <w:t>/2026</w:t>
            </w:r>
          </w:p>
        </w:tc>
        <w:tc>
          <w:tcPr>
            <w:tcW w:w="2606" w:type="dxa"/>
            <w:vAlign w:val="center"/>
          </w:tcPr>
          <w:p w14:paraId="3BA7F469" w14:textId="77777777" w:rsidR="00D90F25" w:rsidRDefault="009F3225">
            <w:r>
              <w:rPr>
                <w:b/>
                <w:sz w:val="17"/>
              </w:rPr>
              <w:t>Redatto da</w:t>
            </w:r>
          </w:p>
        </w:tc>
        <w:tc>
          <w:tcPr>
            <w:tcW w:w="2606" w:type="dxa"/>
            <w:vAlign w:val="center"/>
          </w:tcPr>
          <w:p w14:paraId="355832F1" w14:textId="77777777" w:rsidR="00D90F25" w:rsidRDefault="00DE3822">
            <w:r>
              <w:rPr>
                <w:sz w:val="17"/>
              </w:rPr>
              <w:t>Francesca Petrangeli RDQ</w:t>
            </w:r>
          </w:p>
        </w:tc>
      </w:tr>
      <w:tr w:rsidR="00D90F25" w14:paraId="4EDAE356" w14:textId="77777777">
        <w:trPr>
          <w:jc w:val="center"/>
        </w:trPr>
        <w:tc>
          <w:tcPr>
            <w:tcW w:w="2606" w:type="dxa"/>
            <w:vAlign w:val="center"/>
          </w:tcPr>
          <w:p w14:paraId="0C123E04" w14:textId="77777777" w:rsidR="00D90F25" w:rsidRDefault="009F3225">
            <w:r>
              <w:rPr>
                <w:b/>
                <w:sz w:val="17"/>
              </w:rPr>
              <w:t>Verificato da</w:t>
            </w:r>
          </w:p>
        </w:tc>
        <w:tc>
          <w:tcPr>
            <w:tcW w:w="2606" w:type="dxa"/>
            <w:vAlign w:val="center"/>
          </w:tcPr>
          <w:p w14:paraId="32E1CA77" w14:textId="77777777" w:rsidR="00D90F25" w:rsidRDefault="00DE3822">
            <w:r>
              <w:t>Andrea Polastri Bim manger</w:t>
            </w:r>
          </w:p>
        </w:tc>
        <w:tc>
          <w:tcPr>
            <w:tcW w:w="2606" w:type="dxa"/>
            <w:vAlign w:val="center"/>
          </w:tcPr>
          <w:p w14:paraId="1B20F4C0" w14:textId="77777777" w:rsidR="00D90F25" w:rsidRDefault="009F3225">
            <w:r>
              <w:rPr>
                <w:b/>
                <w:sz w:val="17"/>
              </w:rPr>
              <w:t>Approvato da</w:t>
            </w:r>
          </w:p>
        </w:tc>
        <w:tc>
          <w:tcPr>
            <w:tcW w:w="2606" w:type="dxa"/>
            <w:vAlign w:val="center"/>
          </w:tcPr>
          <w:p w14:paraId="5A5A2218" w14:textId="77777777" w:rsidR="00D90F25" w:rsidRDefault="00DE3822">
            <w:r>
              <w:rPr>
                <w:sz w:val="17"/>
              </w:rPr>
              <w:t>Luigi Fieno Dir</w:t>
            </w:r>
          </w:p>
        </w:tc>
      </w:tr>
      <w:tr w:rsidR="00D90F25" w14:paraId="5DC5CCF3" w14:textId="77777777">
        <w:trPr>
          <w:jc w:val="center"/>
        </w:trPr>
        <w:tc>
          <w:tcPr>
            <w:tcW w:w="2606" w:type="dxa"/>
            <w:vAlign w:val="center"/>
          </w:tcPr>
          <w:p w14:paraId="3E50344E" w14:textId="77777777" w:rsidR="00D90F25" w:rsidRDefault="009F3225">
            <w:r>
              <w:rPr>
                <w:b/>
                <w:sz w:val="17"/>
              </w:rPr>
              <w:t>Classificazione</w:t>
            </w:r>
          </w:p>
        </w:tc>
        <w:tc>
          <w:tcPr>
            <w:tcW w:w="2606" w:type="dxa"/>
            <w:vAlign w:val="center"/>
          </w:tcPr>
          <w:p w14:paraId="25F37AEA" w14:textId="0591E1A9" w:rsidR="00D90F25" w:rsidRDefault="007E6A9F">
            <w:r>
              <w:t>Esecutivo</w:t>
            </w:r>
          </w:p>
        </w:tc>
        <w:tc>
          <w:tcPr>
            <w:tcW w:w="2606" w:type="dxa"/>
            <w:vAlign w:val="center"/>
          </w:tcPr>
          <w:p w14:paraId="08BF300A" w14:textId="77777777" w:rsidR="00D90F25" w:rsidRDefault="009F3225">
            <w:r>
              <w:rPr>
                <w:b/>
                <w:sz w:val="17"/>
              </w:rPr>
              <w:t>Validità</w:t>
            </w:r>
          </w:p>
        </w:tc>
        <w:tc>
          <w:tcPr>
            <w:tcW w:w="2606" w:type="dxa"/>
            <w:vAlign w:val="center"/>
          </w:tcPr>
          <w:p w14:paraId="29A2989F" w14:textId="77777777" w:rsidR="00D90F25" w:rsidRDefault="009F3225">
            <w:r>
              <w:rPr>
                <w:sz w:val="17"/>
              </w:rPr>
              <w:t>Fino a revisione</w:t>
            </w:r>
          </w:p>
        </w:tc>
      </w:tr>
      <w:tr w:rsidR="00D90F25" w:rsidRPr="003D32BE" w14:paraId="1F6EA082" w14:textId="77777777">
        <w:trPr>
          <w:jc w:val="center"/>
        </w:trPr>
        <w:tc>
          <w:tcPr>
            <w:tcW w:w="2606" w:type="dxa"/>
            <w:vAlign w:val="center"/>
          </w:tcPr>
          <w:p w14:paraId="0854612B" w14:textId="77777777" w:rsidR="00D90F25" w:rsidRDefault="009F3225">
            <w:r>
              <w:rPr>
                <w:b/>
                <w:sz w:val="17"/>
              </w:rPr>
              <w:t>Campo di applicazione</w:t>
            </w:r>
          </w:p>
        </w:tc>
        <w:tc>
          <w:tcPr>
            <w:tcW w:w="2606" w:type="dxa"/>
            <w:vAlign w:val="center"/>
          </w:tcPr>
          <w:p w14:paraId="28206EC3" w14:textId="77777777" w:rsidR="00D90F25" w:rsidRPr="00DE3822" w:rsidRDefault="009F3225">
            <w:pPr>
              <w:rPr>
                <w:lang w:val="it-IT"/>
              </w:rPr>
            </w:pPr>
            <w:r w:rsidRPr="00DE3822">
              <w:rPr>
                <w:sz w:val="17"/>
                <w:lang w:val="it-IT"/>
              </w:rPr>
              <w:t>MPA - processi di sede e commesse infrastrutturali</w:t>
            </w:r>
          </w:p>
        </w:tc>
        <w:tc>
          <w:tcPr>
            <w:tcW w:w="2606" w:type="dxa"/>
            <w:vAlign w:val="center"/>
          </w:tcPr>
          <w:p w14:paraId="7F45F4E5" w14:textId="77777777" w:rsidR="00D90F25" w:rsidRPr="00DE3822" w:rsidRDefault="00D90F25">
            <w:pPr>
              <w:rPr>
                <w:lang w:val="it-IT"/>
              </w:rPr>
            </w:pPr>
          </w:p>
        </w:tc>
        <w:tc>
          <w:tcPr>
            <w:tcW w:w="2606" w:type="dxa"/>
            <w:vAlign w:val="center"/>
          </w:tcPr>
          <w:p w14:paraId="39D0EF07" w14:textId="77777777" w:rsidR="00D90F25" w:rsidRPr="00DE3822" w:rsidRDefault="00D90F25">
            <w:pPr>
              <w:rPr>
                <w:lang w:val="it-IT"/>
              </w:rPr>
            </w:pPr>
          </w:p>
        </w:tc>
      </w:tr>
    </w:tbl>
    <w:p w14:paraId="72106135" w14:textId="77777777" w:rsidR="00B13C23" w:rsidRPr="00A42404" w:rsidRDefault="00B14579">
      <w:pPr>
        <w:pStyle w:val="Titolo1"/>
        <w:rPr>
          <w:lang w:val="it-IT"/>
        </w:rPr>
      </w:pPr>
      <w:r w:rsidRPr="00A42404">
        <w:rPr>
          <w:lang w:val="it-IT"/>
        </w:rPr>
        <w:t>0. Termini, Acronimi e Definizioni</w:t>
      </w:r>
    </w:p>
    <w:p w14:paraId="796E211E" w14:textId="77777777" w:rsidR="00B13C23" w:rsidRPr="00A42404" w:rsidRDefault="00B14579">
      <w:pPr>
        <w:rPr>
          <w:lang w:val="it-IT"/>
        </w:rPr>
      </w:pPr>
      <w:r w:rsidRPr="00A42404">
        <w:rPr>
          <w:b/>
          <w:lang w:val="it-IT"/>
        </w:rPr>
        <w:t>ACDat (Ambiente di Condivisione Dati):</w:t>
      </w:r>
      <w:r w:rsidRPr="00A42404">
        <w:rPr>
          <w:lang w:val="it-IT"/>
        </w:rPr>
        <w:t xml:space="preserve"> Infrastruttura informatica configurata per la gestione e la condivisione dei dati di commessa.</w:t>
      </w:r>
    </w:p>
    <w:p w14:paraId="10F96746" w14:textId="77777777" w:rsidR="00B13C23" w:rsidRPr="00A42404" w:rsidRDefault="00B14579">
      <w:pPr>
        <w:rPr>
          <w:lang w:val="it-IT"/>
        </w:rPr>
      </w:pPr>
      <w:r w:rsidRPr="00A42404">
        <w:rPr>
          <w:b/>
          <w:lang w:val="it-IT"/>
        </w:rPr>
        <w:t>BIM (Building Information Modeling):</w:t>
      </w:r>
      <w:r w:rsidRPr="00A42404">
        <w:rPr>
          <w:lang w:val="it-IT"/>
        </w:rPr>
        <w:t xml:space="preserve"> Metodologia di gestione digitale dei processi informativi applicati alle opere infrastrutturali.</w:t>
      </w:r>
    </w:p>
    <w:p w14:paraId="4AFBA725" w14:textId="77777777" w:rsidR="00B13C23" w:rsidRPr="00A42404" w:rsidRDefault="00B14579">
      <w:pPr>
        <w:rPr>
          <w:lang w:val="it-IT"/>
        </w:rPr>
      </w:pPr>
      <w:r w:rsidRPr="00A42404">
        <w:rPr>
          <w:b/>
          <w:lang w:val="it-IT"/>
        </w:rPr>
        <w:t>KPI (Key Performance Indicator):</w:t>
      </w:r>
      <w:r w:rsidRPr="00A42404">
        <w:rPr>
          <w:lang w:val="it-IT"/>
        </w:rPr>
        <w:t xml:space="preserve"> Indicatore quantificabile utilizzato per misurare il raggiungimento degli obiettivi di prestazione.</w:t>
      </w:r>
    </w:p>
    <w:p w14:paraId="3348118E" w14:textId="77777777" w:rsidR="00B13C23" w:rsidRPr="00A42404" w:rsidRDefault="00B14579">
      <w:pPr>
        <w:rPr>
          <w:lang w:val="it-IT"/>
        </w:rPr>
      </w:pPr>
      <w:r w:rsidRPr="00A42404">
        <w:rPr>
          <w:b/>
          <w:lang w:val="it-IT"/>
        </w:rPr>
        <w:t>Near-Miss Digitale:</w:t>
      </w:r>
      <w:r w:rsidRPr="00A42404">
        <w:rPr>
          <w:lang w:val="it-IT"/>
        </w:rPr>
        <w:t xml:space="preserve"> Evento intercettato dai controlli preventivi che avrebbe potuto compromettere l'integrità del dato.</w:t>
      </w:r>
    </w:p>
    <w:p w14:paraId="6ED649A1" w14:textId="77777777" w:rsidR="00B13C23" w:rsidRPr="00A42404" w:rsidRDefault="00B14579">
      <w:pPr>
        <w:rPr>
          <w:lang w:val="it-IT"/>
        </w:rPr>
      </w:pPr>
      <w:r w:rsidRPr="00A42404">
        <w:rPr>
          <w:b/>
          <w:lang w:val="it-IT"/>
        </w:rPr>
        <w:t>pGI (Piano di Gestione Informativa):</w:t>
      </w:r>
      <w:r w:rsidRPr="00A42404">
        <w:rPr>
          <w:lang w:val="it-IT"/>
        </w:rPr>
        <w:t xml:space="preserve"> Documento redatto dall'Affidatario per definire la strategia digitale della commessa.</w:t>
      </w:r>
    </w:p>
    <w:p w14:paraId="2DD3858C" w14:textId="77777777" w:rsidR="00B13C23" w:rsidRPr="00A42404" w:rsidRDefault="00B14579">
      <w:pPr>
        <w:rPr>
          <w:lang w:val="it-IT"/>
        </w:rPr>
      </w:pPr>
      <w:r w:rsidRPr="00A42404">
        <w:rPr>
          <w:b/>
          <w:lang w:val="it-IT"/>
        </w:rPr>
        <w:t>SGPD (Sistema di Gestione dei Processi Digitalizzati):</w:t>
      </w:r>
      <w:r w:rsidRPr="00A42404">
        <w:rPr>
          <w:lang w:val="it-IT"/>
        </w:rPr>
        <w:t xml:space="preserve"> Insieme di regole, procedure e strumenti per il governo digitale dell'organizzazione.</w:t>
      </w:r>
    </w:p>
    <w:p w14:paraId="26B7209B" w14:textId="77777777" w:rsidR="00D90F25" w:rsidRPr="00DE3822" w:rsidRDefault="009F3225">
      <w:pPr>
        <w:pStyle w:val="Titolo1"/>
        <w:rPr>
          <w:lang w:val="it-IT"/>
        </w:rPr>
      </w:pPr>
      <w:r w:rsidRPr="00DE3822">
        <w:rPr>
          <w:lang w:val="it-IT"/>
        </w:rPr>
        <w:t>1. Scopo</w:t>
      </w:r>
    </w:p>
    <w:p w14:paraId="5A6A9E7E" w14:textId="77777777" w:rsidR="00D90F25" w:rsidRDefault="009F3225" w:rsidP="00F26EDA">
      <w:pPr>
        <w:jc w:val="both"/>
        <w:rPr>
          <w:lang w:val="it-IT"/>
        </w:rPr>
      </w:pPr>
      <w:r w:rsidRPr="00DE3822">
        <w:rPr>
          <w:lang w:val="it-IT"/>
        </w:rPr>
        <w:t xml:space="preserve">La Direzione di MPA </w:t>
      </w:r>
      <w:r w:rsidRPr="009F3225">
        <w:rPr>
          <w:lang w:val="it-IT"/>
        </w:rPr>
        <w:t>in una ottica di massima soddisfazione del Cliente e di miglioramento continuo della qualità del servizio erogato, della salute e sicurezza dei lavoratori e collaboratori e della protezione dell'ambiente esterno, coinvolgendo tutte le parti interessate</w:t>
      </w:r>
      <w:r>
        <w:rPr>
          <w:lang w:val="it-IT"/>
        </w:rPr>
        <w:t xml:space="preserve"> </w:t>
      </w:r>
      <w:r w:rsidRPr="00DE3822">
        <w:rPr>
          <w:lang w:val="it-IT"/>
        </w:rPr>
        <w:t>stabilisce la presente politica per governare i processi digitalizzati e informativi applicati alle commesse infrastrutturali, con particolare riferimento alla metodologia BIM, all'ambiente di condivisione dati e al controllo della qualità informativa</w:t>
      </w:r>
      <w:r>
        <w:rPr>
          <w:lang w:val="it-IT"/>
        </w:rPr>
        <w:t xml:space="preserve"> </w:t>
      </w:r>
      <w:r w:rsidRPr="009F3225">
        <w:rPr>
          <w:lang w:val="it-IT"/>
        </w:rPr>
        <w:t xml:space="preserve"> in conformità a quanto previsto dalle norme UNI EN ISO 9001 e UNI 11337</w:t>
      </w:r>
      <w:r>
        <w:rPr>
          <w:lang w:val="it-IT"/>
        </w:rPr>
        <w:t>-8</w:t>
      </w:r>
      <w:r w:rsidRPr="009F3225">
        <w:rPr>
          <w:lang w:val="it-IT"/>
        </w:rPr>
        <w:t xml:space="preserve"> in vigore</w:t>
      </w:r>
    </w:p>
    <w:p w14:paraId="474F2CDA" w14:textId="3FCD6DF5" w:rsidR="00F26EDA" w:rsidRPr="00F26EDA" w:rsidRDefault="00F26EDA" w:rsidP="00F26EDA">
      <w:pPr>
        <w:jc w:val="both"/>
        <w:rPr>
          <w:lang w:val="it-IT"/>
        </w:rPr>
      </w:pPr>
      <w:r>
        <w:rPr>
          <w:lang w:val="it-IT"/>
        </w:rPr>
        <w:t>L</w:t>
      </w:r>
      <w:r w:rsidRPr="00F26EDA">
        <w:rPr>
          <w:lang w:val="it-IT"/>
        </w:rPr>
        <w:t xml:space="preserve">'attività aziendale si inserisce in un contesto tecnico e normativo in continua </w:t>
      </w:r>
      <w:r w:rsidR="00A42404" w:rsidRPr="00F26EDA">
        <w:rPr>
          <w:lang w:val="it-IT"/>
        </w:rPr>
        <w:t>evoluzione nel</w:t>
      </w:r>
      <w:r w:rsidRPr="00F26EDA">
        <w:rPr>
          <w:lang w:val="it-IT"/>
        </w:rPr>
        <w:t xml:space="preserve"> quale il ricorso a modelli digitali intelligenti rappresenta un elemento imprescindibile</w:t>
      </w:r>
      <w:r>
        <w:rPr>
          <w:lang w:val="it-IT"/>
        </w:rPr>
        <w:t xml:space="preserve"> </w:t>
      </w:r>
      <w:r w:rsidRPr="00F26EDA">
        <w:rPr>
          <w:lang w:val="it-IT"/>
        </w:rPr>
        <w:t>per garantire qualità, trasparenza, efficienza operativa e sostenibilità lungo tutto il ciclo</w:t>
      </w:r>
      <w:r w:rsidR="00A42404">
        <w:rPr>
          <w:lang w:val="it-IT"/>
        </w:rPr>
        <w:t xml:space="preserve"> </w:t>
      </w:r>
      <w:r w:rsidRPr="00F26EDA">
        <w:rPr>
          <w:lang w:val="it-IT"/>
        </w:rPr>
        <w:t>di vita delle opere.</w:t>
      </w:r>
    </w:p>
    <w:p w14:paraId="4378824F" w14:textId="77777777" w:rsidR="00F26EDA" w:rsidRDefault="00F26EDA" w:rsidP="00F26EDA">
      <w:pPr>
        <w:jc w:val="both"/>
        <w:rPr>
          <w:lang w:val="it-IT"/>
        </w:rPr>
      </w:pPr>
      <w:r w:rsidRPr="00A42404">
        <w:rPr>
          <w:lang w:val="it-IT"/>
        </w:rPr>
        <w:t>In questo scenario, il Building Information Modeling (BIM) è per la MPA un'opportunità concreta per innovare i processi e valorizzare le competenze aziendali. L'Organizzazione ha scelto di adottare un Sistema di Gestione BIM conforme alla UNI 11337-8:2026, fondato su criteri di coerenza con il contesto normativo di riferimento – incluse le norme della serie UNI 11337</w:t>
      </w:r>
    </w:p>
    <w:p w14:paraId="012BE5BF" w14:textId="77777777" w:rsidR="00F26EDA" w:rsidRPr="00F26EDA" w:rsidRDefault="00F26EDA" w:rsidP="00F26EDA">
      <w:pPr>
        <w:jc w:val="both"/>
        <w:rPr>
          <w:lang w:val="it-IT"/>
        </w:rPr>
      </w:pPr>
      <w:r w:rsidRPr="00A42404">
        <w:rPr>
          <w:lang w:val="it-IT"/>
        </w:rPr>
        <w:t>Per la MPA, il BIM non rappresenta solo un insieme di strumenti operativi, ma un nuovo approccio collaborativo alla costruzione e alla opere infrastrutturali, in cui l'informazione tecnica diventa un patrimonio condiviso, strutturato e accessibile. È obiettivo della Società rafforzare progressivamente il livello di maturità digitale, favorendo l'integrazione dei processi informativi e rendendo l'utilizzo del modello BIM una prassi operativa coerente con gli obiettivi strategici aziendali.</w:t>
      </w:r>
    </w:p>
    <w:p w14:paraId="0C198A16" w14:textId="470015FD" w:rsidR="00F26EDA" w:rsidRDefault="00F26EDA" w:rsidP="00F26EDA">
      <w:pPr>
        <w:jc w:val="both"/>
        <w:rPr>
          <w:lang w:val="it-IT"/>
        </w:rPr>
      </w:pPr>
      <w:r w:rsidRPr="00F26EDA">
        <w:rPr>
          <w:lang w:val="it-IT"/>
        </w:rPr>
        <w:t>Particolare attenzione viene posta allo sviluppo e alla diffusione delle competenze</w:t>
      </w:r>
      <w:r>
        <w:rPr>
          <w:lang w:val="it-IT"/>
        </w:rPr>
        <w:t xml:space="preserve"> </w:t>
      </w:r>
      <w:r w:rsidRPr="00F26EDA">
        <w:rPr>
          <w:lang w:val="it-IT"/>
        </w:rPr>
        <w:t>interne. La formazione continua delle figure professionali coinvolte nel processo BIM</w:t>
      </w:r>
      <w:r>
        <w:rPr>
          <w:lang w:val="it-IT"/>
        </w:rPr>
        <w:t xml:space="preserve"> </w:t>
      </w:r>
      <w:r w:rsidRPr="00F26EDA">
        <w:rPr>
          <w:lang w:val="it-IT"/>
        </w:rPr>
        <w:t>(quali BIM Manager, BIM Coordinator, BIM Specialist) viene considerata leva essenziale</w:t>
      </w:r>
      <w:r>
        <w:rPr>
          <w:lang w:val="it-IT"/>
        </w:rPr>
        <w:t xml:space="preserve"> </w:t>
      </w:r>
      <w:r w:rsidRPr="00F26EDA">
        <w:rPr>
          <w:lang w:val="it-IT"/>
        </w:rPr>
        <w:t>per il consolidamento delle capacità operative e per l'incremento del livello di maturità</w:t>
      </w:r>
      <w:r>
        <w:rPr>
          <w:lang w:val="it-IT"/>
        </w:rPr>
        <w:t xml:space="preserve"> </w:t>
      </w:r>
      <w:r w:rsidRPr="00F26EDA">
        <w:rPr>
          <w:lang w:val="it-IT"/>
        </w:rPr>
        <w:t>digitale. A tal fine, vengono attivati percorsi formativi strutturati e, ove opportuno,</w:t>
      </w:r>
      <w:r w:rsidR="00A42404">
        <w:rPr>
          <w:lang w:val="it-IT"/>
        </w:rPr>
        <w:t xml:space="preserve"> </w:t>
      </w:r>
      <w:r w:rsidRPr="00F26EDA">
        <w:rPr>
          <w:lang w:val="it-IT"/>
        </w:rPr>
        <w:t>percorsi di certificazione delle competenze</w:t>
      </w:r>
    </w:p>
    <w:p w14:paraId="4AD31C39" w14:textId="77777777" w:rsidR="009F3225" w:rsidRDefault="00DE3822">
      <w:pPr>
        <w:rPr>
          <w:lang w:val="it-IT"/>
        </w:rPr>
      </w:pPr>
      <w:r w:rsidRPr="00DE3822">
        <w:rPr>
          <w:lang w:val="it-IT"/>
        </w:rPr>
        <w:t xml:space="preserve">. </w:t>
      </w:r>
    </w:p>
    <w:p w14:paraId="1FEE9ED2" w14:textId="77777777" w:rsidR="00D90F25" w:rsidRPr="00F26EDA" w:rsidRDefault="009F3225">
      <w:pPr>
        <w:pStyle w:val="Titolo1"/>
        <w:rPr>
          <w:lang w:val="it-IT"/>
        </w:rPr>
      </w:pPr>
      <w:r w:rsidRPr="00F26EDA">
        <w:rPr>
          <w:lang w:val="it-IT"/>
        </w:rPr>
        <w:lastRenderedPageBreak/>
        <w:t>2. Impegni della Direzione</w:t>
      </w:r>
    </w:p>
    <w:p w14:paraId="204FB3DC" w14:textId="77777777" w:rsidR="009F3225" w:rsidRPr="009F3225" w:rsidRDefault="009F3225" w:rsidP="009F3225">
      <w:pPr>
        <w:rPr>
          <w:lang w:val="it-IT"/>
        </w:rPr>
      </w:pPr>
      <w:r w:rsidRPr="009F3225">
        <w:rPr>
          <w:lang w:val="it-IT"/>
        </w:rPr>
        <w:t xml:space="preserve">Al fine di raggiungere </w:t>
      </w:r>
      <w:r w:rsidR="00183F32">
        <w:rPr>
          <w:lang w:val="it-IT"/>
        </w:rPr>
        <w:t>lo scopo</w:t>
      </w:r>
      <w:r w:rsidRPr="009F3225">
        <w:rPr>
          <w:lang w:val="it-IT"/>
        </w:rPr>
        <w:t>, sulla base anche della Politica definita dal Sistema di gestione integrato ha definito i seguenti impegni:</w:t>
      </w:r>
    </w:p>
    <w:p w14:paraId="2CB3C308" w14:textId="77777777" w:rsidR="00D90F25" w:rsidRDefault="009F3225">
      <w:pPr>
        <w:pStyle w:val="Puntoelenco"/>
        <w:rPr>
          <w:lang w:val="it-IT"/>
        </w:rPr>
      </w:pPr>
      <w:r w:rsidRPr="00A42404">
        <w:rPr>
          <w:lang w:val="it-IT"/>
        </w:rPr>
        <w:t>definire obiettivi misurabili per la gestione digitale dei processi e valutarli periodicamente al fine del miglioramento continuo;</w:t>
      </w:r>
    </w:p>
    <w:p w14:paraId="074DE805" w14:textId="77777777" w:rsidR="009F3225" w:rsidRPr="00DE3822" w:rsidRDefault="009F3225">
      <w:pPr>
        <w:pStyle w:val="Puntoelenco"/>
        <w:rPr>
          <w:lang w:val="it-IT"/>
        </w:rPr>
      </w:pPr>
      <w:r w:rsidRPr="009F3225">
        <w:rPr>
          <w:lang w:val="it-IT"/>
        </w:rPr>
        <w:t>tenere sotto controllo i rischi e le opportunità per definire appropriate azioni di mitigazione del rischio e di sviluppo di opportunità per la tutela della continuità del business dell'impresa</w:t>
      </w:r>
    </w:p>
    <w:p w14:paraId="52CAC0B0" w14:textId="77777777" w:rsidR="00D90F25" w:rsidRDefault="009F3225">
      <w:pPr>
        <w:pStyle w:val="Puntoelenco"/>
        <w:rPr>
          <w:lang w:val="it-IT"/>
        </w:rPr>
      </w:pPr>
      <w:r w:rsidRPr="00DE3822">
        <w:rPr>
          <w:lang w:val="it-IT"/>
        </w:rPr>
        <w:t>assicurare ruoli, competenze, risorse e strumenti adeguati</w:t>
      </w:r>
      <w:r>
        <w:rPr>
          <w:lang w:val="it-IT"/>
        </w:rPr>
        <w:t xml:space="preserve"> e monitorarne periodicamente l’adeguatezza</w:t>
      </w:r>
      <w:r w:rsidRPr="00DE3822">
        <w:rPr>
          <w:lang w:val="it-IT"/>
        </w:rPr>
        <w:t>;</w:t>
      </w:r>
    </w:p>
    <w:p w14:paraId="474EF49B" w14:textId="77777777" w:rsidR="009F3225" w:rsidRDefault="009F3225">
      <w:pPr>
        <w:pStyle w:val="Puntoelenco"/>
        <w:rPr>
          <w:lang w:val="it-IT"/>
        </w:rPr>
      </w:pPr>
      <w:r>
        <w:rPr>
          <w:lang w:val="it-IT"/>
        </w:rPr>
        <w:t>r</w:t>
      </w:r>
      <w:r w:rsidRPr="009F3225">
        <w:rPr>
          <w:lang w:val="it-IT"/>
        </w:rPr>
        <w:t>esponsabilizzare e migliorare le conoscenze e le competenze del personale promuovendo attività di informazione e formazione e aggiornamento continuo delle funzioni di riferimento coinvolte nel processo BIM</w:t>
      </w:r>
    </w:p>
    <w:p w14:paraId="3B0AC1E4" w14:textId="77777777" w:rsidR="00D90F25" w:rsidRPr="00DE3822" w:rsidRDefault="009F3225">
      <w:pPr>
        <w:pStyle w:val="Puntoelenco"/>
        <w:rPr>
          <w:lang w:val="it-IT"/>
        </w:rPr>
      </w:pPr>
      <w:r w:rsidRPr="00DE3822">
        <w:rPr>
          <w:lang w:val="it-IT"/>
        </w:rPr>
        <w:t>garantire tracciabilità, sicurezza, integrità e disponibilità dei dati;</w:t>
      </w:r>
    </w:p>
    <w:p w14:paraId="26BD0AAB" w14:textId="77777777" w:rsidR="00D90F25" w:rsidRDefault="009F3225">
      <w:pPr>
        <w:pStyle w:val="Puntoelenco"/>
        <w:rPr>
          <w:lang w:val="it-IT"/>
        </w:rPr>
      </w:pPr>
      <w:r w:rsidRPr="00DE3822">
        <w:rPr>
          <w:lang w:val="it-IT"/>
        </w:rPr>
        <w:t>favorire interoperabilità, uso di formati aperti ove richiesto e standardizzazione dei flussi;</w:t>
      </w:r>
    </w:p>
    <w:p w14:paraId="3D4EF67F" w14:textId="77777777" w:rsidR="009F3225" w:rsidRPr="00DE3822" w:rsidRDefault="009F3225">
      <w:pPr>
        <w:pStyle w:val="Puntoelenco"/>
        <w:rPr>
          <w:lang w:val="it-IT"/>
        </w:rPr>
      </w:pPr>
      <w:r w:rsidRPr="009F3225">
        <w:rPr>
          <w:lang w:val="it-IT"/>
        </w:rPr>
        <w:t>Promuovere lo</w:t>
      </w:r>
      <w:r>
        <w:rPr>
          <w:lang w:val="it-IT"/>
        </w:rPr>
        <w:t xml:space="preserve"> </w:t>
      </w:r>
      <w:r w:rsidRPr="009F3225">
        <w:rPr>
          <w:lang w:val="it-IT"/>
        </w:rPr>
        <w:t>sviluppo delle attività in</w:t>
      </w:r>
      <w:r>
        <w:rPr>
          <w:lang w:val="it-IT"/>
        </w:rPr>
        <w:t xml:space="preserve"> </w:t>
      </w:r>
      <w:r w:rsidRPr="009F3225">
        <w:rPr>
          <w:lang w:val="it-IT"/>
        </w:rPr>
        <w:t>BIM</w:t>
      </w:r>
      <w:r>
        <w:rPr>
          <w:lang w:val="it-IT"/>
        </w:rPr>
        <w:t xml:space="preserve"> </w:t>
      </w:r>
      <w:r w:rsidRPr="009F3225">
        <w:rPr>
          <w:lang w:val="it-IT"/>
        </w:rPr>
        <w:t>dei fornitori per sviluppare un processo integrato e</w:t>
      </w:r>
      <w:r>
        <w:rPr>
          <w:lang w:val="it-IT"/>
        </w:rPr>
        <w:t xml:space="preserve"> </w:t>
      </w:r>
      <w:r w:rsidRPr="009F3225">
        <w:rPr>
          <w:lang w:val="it-IT"/>
        </w:rPr>
        <w:t>condiviso</w:t>
      </w:r>
    </w:p>
    <w:p w14:paraId="19533EB4" w14:textId="77777777" w:rsidR="00D90F25" w:rsidRDefault="009F3225">
      <w:pPr>
        <w:pStyle w:val="Puntoelenco"/>
        <w:rPr>
          <w:lang w:val="it-IT"/>
        </w:rPr>
      </w:pPr>
      <w:r w:rsidRPr="00DE3822">
        <w:rPr>
          <w:lang w:val="it-IT"/>
        </w:rPr>
        <w:t>monitorare prestazioni, non conformità e miglioramento continuo del SGPD.</w:t>
      </w:r>
    </w:p>
    <w:p w14:paraId="29994DB1" w14:textId="77777777" w:rsidR="009F3225" w:rsidRDefault="009F3225">
      <w:pPr>
        <w:pStyle w:val="Puntoelenco"/>
        <w:rPr>
          <w:lang w:val="it-IT"/>
        </w:rPr>
      </w:pPr>
      <w:r w:rsidRPr="009F3225">
        <w:rPr>
          <w:lang w:val="it-IT"/>
        </w:rPr>
        <w:t>Comunicare e rendere disponibile la Politica per il BIM, affinché sia compresa e applicata all'interno dell'organizzazione</w:t>
      </w:r>
    </w:p>
    <w:p w14:paraId="55DC31B4" w14:textId="77777777" w:rsidR="006C5A9D" w:rsidRPr="00A42404" w:rsidRDefault="006C5A9D" w:rsidP="006C5A9D">
      <w:pPr>
        <w:pStyle w:val="Puntoelenco"/>
        <w:rPr>
          <w:lang w:val="it-IT"/>
        </w:rPr>
      </w:pPr>
      <w:r w:rsidRPr="00A42404">
        <w:rPr>
          <w:lang w:val="it-IT"/>
        </w:rPr>
        <w:t>Garantire la resilienza del patrimonio informativo aziendale attraverso protocolli di sicurezza informatica volti a prevenire la perdita o la corruzione dei dati di commessa.</w:t>
      </w:r>
    </w:p>
    <w:p w14:paraId="79465205" w14:textId="77777777" w:rsidR="00F26EDA" w:rsidRPr="00A42404" w:rsidRDefault="009F3225" w:rsidP="00F26EDA">
      <w:pPr>
        <w:pStyle w:val="Titolo1"/>
        <w:rPr>
          <w:lang w:val="it-IT"/>
        </w:rPr>
      </w:pPr>
      <w:r w:rsidRPr="00A42404">
        <w:rPr>
          <w:lang w:val="it-IT"/>
        </w:rPr>
        <w:t xml:space="preserve">3. Obiettivi annuali </w:t>
      </w:r>
      <w:r w:rsidR="00F26EDA" w:rsidRPr="00A42404">
        <w:rPr>
          <w:lang w:val="it-IT"/>
        </w:rPr>
        <w:t>indicativi</w:t>
      </w:r>
    </w:p>
    <w:p w14:paraId="19C5780A" w14:textId="77777777" w:rsidR="00183F32" w:rsidRPr="00183F32" w:rsidRDefault="00183F32" w:rsidP="00F26EDA">
      <w:pPr>
        <w:rPr>
          <w:lang w:val="it-IT"/>
        </w:rPr>
      </w:pPr>
      <w:r w:rsidRPr="00A42404">
        <w:rPr>
          <w:lang w:val="it-IT"/>
        </w:rPr>
        <w:t>La MPA ha stabilito degli obiettivi annuali per monitorare lo stato del proprio SGPD.</w:t>
      </w:r>
    </w:p>
    <w:p w14:paraId="479AD29A" w14:textId="77777777" w:rsidR="00F26EDA" w:rsidRPr="00F26EDA" w:rsidRDefault="00F26EDA" w:rsidP="00F26EDA">
      <w:pPr>
        <w:rPr>
          <w:lang w:val="it-IT"/>
        </w:rPr>
      </w:pPr>
      <w:r>
        <w:rPr>
          <w:lang w:val="it-IT"/>
        </w:rPr>
        <w:t>Gi</w:t>
      </w:r>
      <w:r w:rsidRPr="00F26EDA">
        <w:rPr>
          <w:lang w:val="it-IT"/>
        </w:rPr>
        <w:t xml:space="preserve"> obiettivi</w:t>
      </w:r>
      <w:r>
        <w:rPr>
          <w:lang w:val="it-IT"/>
        </w:rPr>
        <w:t xml:space="preserve"> elencati di seguito</w:t>
      </w:r>
      <w:r w:rsidRPr="00F26EDA">
        <w:rPr>
          <w:lang w:val="it-IT"/>
        </w:rPr>
        <w:t xml:space="preserve"> vengono monitorati e riesaminati periodicamente in coerenza con il sistema</w:t>
      </w:r>
      <w:r>
        <w:rPr>
          <w:lang w:val="it-IT"/>
        </w:rPr>
        <w:t xml:space="preserve"> </w:t>
      </w:r>
      <w:r w:rsidRPr="00F26EDA">
        <w:rPr>
          <w:lang w:val="it-IT"/>
        </w:rPr>
        <w:t>di gestione, contribuendo alla valutazione del livello di maturità digitale</w:t>
      </w:r>
      <w:r>
        <w:rPr>
          <w:lang w:val="it-IT"/>
        </w:rPr>
        <w:t xml:space="preserve"> </w:t>
      </w:r>
      <w:r w:rsidRPr="00F26EDA">
        <w:rPr>
          <w:lang w:val="it-IT"/>
        </w:rPr>
        <w:t>dell'organizzazione e al consolidamento di una cultura del miglioramento continuo.</w:t>
      </w:r>
    </w:p>
    <w:p w14:paraId="198E35EA" w14:textId="77777777" w:rsidR="00F26EDA" w:rsidRPr="00F26EDA" w:rsidRDefault="00F26EDA" w:rsidP="00F26EDA">
      <w:pPr>
        <w:rPr>
          <w:lang w:val="it-IT"/>
        </w:rPr>
      </w:pPr>
      <w:r w:rsidRPr="00F26EDA">
        <w:rPr>
          <w:lang w:val="it-IT"/>
        </w:rPr>
        <w:t>Il monitoraggio delle performance viene realizzato mediante la definizione e l'analisi dispecifici indicatori chiave (KPI), individuati per misurare il raggiungimento degli obiettivistabiliti e per sostenere il miglioramento continuo del sistema. I dati raccolti, analizzati eriesaminati periodicamente, rappresentano uno strumento di supporto per l'efficaciadecisionale e la pianificazione delle attività future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085"/>
        <w:gridCol w:w="2085"/>
        <w:gridCol w:w="2085"/>
        <w:gridCol w:w="2085"/>
        <w:gridCol w:w="2085"/>
      </w:tblGrid>
      <w:tr w:rsidR="00D90F25" w14:paraId="5A700703" w14:textId="77777777">
        <w:trPr>
          <w:jc w:val="center"/>
        </w:trPr>
        <w:tc>
          <w:tcPr>
            <w:tcW w:w="2085" w:type="dxa"/>
            <w:shd w:val="clear" w:color="auto" w:fill="D9EAF7"/>
            <w:vAlign w:val="center"/>
          </w:tcPr>
          <w:p w14:paraId="7FB70EEC" w14:textId="77777777" w:rsidR="00D90F25" w:rsidRDefault="009F3225">
            <w:r>
              <w:rPr>
                <w:b/>
                <w:sz w:val="17"/>
              </w:rPr>
              <w:t>Obiettivo</w:t>
            </w:r>
          </w:p>
        </w:tc>
        <w:tc>
          <w:tcPr>
            <w:tcW w:w="2085" w:type="dxa"/>
            <w:shd w:val="clear" w:color="auto" w:fill="D9EAF7"/>
            <w:vAlign w:val="center"/>
          </w:tcPr>
          <w:p w14:paraId="2CC4676D" w14:textId="77777777" w:rsidR="00D90F25" w:rsidRDefault="009F3225">
            <w:r>
              <w:rPr>
                <w:b/>
                <w:sz w:val="17"/>
              </w:rPr>
              <w:t>Indicatore/KPI</w:t>
            </w:r>
          </w:p>
        </w:tc>
        <w:tc>
          <w:tcPr>
            <w:tcW w:w="2085" w:type="dxa"/>
            <w:shd w:val="clear" w:color="auto" w:fill="D9EAF7"/>
            <w:vAlign w:val="center"/>
          </w:tcPr>
          <w:p w14:paraId="05C08576" w14:textId="77777777" w:rsidR="00D90F25" w:rsidRDefault="009F3225">
            <w:r>
              <w:rPr>
                <w:b/>
                <w:sz w:val="17"/>
              </w:rPr>
              <w:t>Target</w:t>
            </w:r>
          </w:p>
        </w:tc>
        <w:tc>
          <w:tcPr>
            <w:tcW w:w="2085" w:type="dxa"/>
            <w:shd w:val="clear" w:color="auto" w:fill="D9EAF7"/>
            <w:vAlign w:val="center"/>
          </w:tcPr>
          <w:p w14:paraId="45CCB092" w14:textId="77777777" w:rsidR="00D90F25" w:rsidRDefault="009F3225">
            <w:r>
              <w:rPr>
                <w:b/>
                <w:sz w:val="17"/>
              </w:rPr>
              <w:t>Responsabile</w:t>
            </w:r>
          </w:p>
        </w:tc>
        <w:tc>
          <w:tcPr>
            <w:tcW w:w="2085" w:type="dxa"/>
            <w:shd w:val="clear" w:color="auto" w:fill="D9EAF7"/>
            <w:vAlign w:val="center"/>
          </w:tcPr>
          <w:p w14:paraId="589EAD6D" w14:textId="77777777" w:rsidR="00D90F25" w:rsidRDefault="009F3225">
            <w:r>
              <w:rPr>
                <w:b/>
                <w:sz w:val="17"/>
              </w:rPr>
              <w:t>Frequenza</w:t>
            </w:r>
          </w:p>
        </w:tc>
      </w:tr>
      <w:tr w:rsidR="00D90F25" w14:paraId="07449841" w14:textId="77777777">
        <w:trPr>
          <w:jc w:val="center"/>
        </w:trPr>
        <w:tc>
          <w:tcPr>
            <w:tcW w:w="2085" w:type="dxa"/>
            <w:vAlign w:val="center"/>
          </w:tcPr>
          <w:p w14:paraId="16C9E4D2" w14:textId="77777777" w:rsidR="00D90F25" w:rsidRPr="00DE3822" w:rsidRDefault="009F3225">
            <w:pPr>
              <w:rPr>
                <w:lang w:val="it-IT"/>
              </w:rPr>
            </w:pPr>
            <w:r w:rsidRPr="00DE3822">
              <w:rPr>
                <w:sz w:val="17"/>
                <w:lang w:val="it-IT"/>
              </w:rPr>
              <w:t>Adozione pGI/BEP sulle commesse BIM</w:t>
            </w:r>
          </w:p>
        </w:tc>
        <w:tc>
          <w:tcPr>
            <w:tcW w:w="2085" w:type="dxa"/>
            <w:vAlign w:val="center"/>
          </w:tcPr>
          <w:p w14:paraId="5A5C00E3" w14:textId="77777777" w:rsidR="00D90F25" w:rsidRPr="009F3225" w:rsidRDefault="009F3225">
            <w:pPr>
              <w:rPr>
                <w:color w:val="000000" w:themeColor="text1"/>
              </w:rPr>
            </w:pPr>
            <w:r w:rsidRPr="009F3225">
              <w:rPr>
                <w:color w:val="000000" w:themeColor="text1"/>
                <w:sz w:val="17"/>
              </w:rPr>
              <w:t>% commesse con pGI approvato</w:t>
            </w:r>
          </w:p>
        </w:tc>
        <w:tc>
          <w:tcPr>
            <w:tcW w:w="2085" w:type="dxa"/>
            <w:vAlign w:val="center"/>
          </w:tcPr>
          <w:p w14:paraId="169AF1F0" w14:textId="77777777" w:rsidR="00B13C23" w:rsidRDefault="00B14579">
            <w:r>
              <w:t>100%</w:t>
            </w:r>
          </w:p>
        </w:tc>
        <w:tc>
          <w:tcPr>
            <w:tcW w:w="2085" w:type="dxa"/>
            <w:vAlign w:val="center"/>
          </w:tcPr>
          <w:p w14:paraId="51404620" w14:textId="77777777" w:rsidR="00D90F25" w:rsidRDefault="009F3225">
            <w:r>
              <w:rPr>
                <w:sz w:val="17"/>
              </w:rPr>
              <w:t>BIM Manager / PM</w:t>
            </w:r>
          </w:p>
        </w:tc>
        <w:tc>
          <w:tcPr>
            <w:tcW w:w="2085" w:type="dxa"/>
            <w:vAlign w:val="center"/>
          </w:tcPr>
          <w:p w14:paraId="29CF0D79" w14:textId="77777777" w:rsidR="00D90F25" w:rsidRDefault="009F3225">
            <w:r>
              <w:rPr>
                <w:sz w:val="17"/>
              </w:rPr>
              <w:t>Trimestrale</w:t>
            </w:r>
          </w:p>
        </w:tc>
      </w:tr>
      <w:tr w:rsidR="00D90F25" w14:paraId="04887566" w14:textId="77777777">
        <w:trPr>
          <w:jc w:val="center"/>
        </w:trPr>
        <w:tc>
          <w:tcPr>
            <w:tcW w:w="2085" w:type="dxa"/>
            <w:vAlign w:val="center"/>
          </w:tcPr>
          <w:p w14:paraId="6D91990D" w14:textId="77777777" w:rsidR="00D90F25" w:rsidRDefault="009F3225">
            <w:r>
              <w:rPr>
                <w:sz w:val="17"/>
              </w:rPr>
              <w:t>Controllo qualità modelli</w:t>
            </w:r>
          </w:p>
        </w:tc>
        <w:tc>
          <w:tcPr>
            <w:tcW w:w="2085" w:type="dxa"/>
            <w:vAlign w:val="center"/>
          </w:tcPr>
          <w:p w14:paraId="05A984B5" w14:textId="77777777" w:rsidR="00D90F25" w:rsidRPr="009F3225" w:rsidRDefault="009F3225">
            <w:pPr>
              <w:rPr>
                <w:color w:val="000000" w:themeColor="text1"/>
                <w:lang w:val="it-IT"/>
              </w:rPr>
            </w:pPr>
            <w:r w:rsidRPr="009F3225">
              <w:rPr>
                <w:color w:val="000000" w:themeColor="text1"/>
                <w:sz w:val="17"/>
                <w:lang w:val="it-IT"/>
              </w:rPr>
              <w:t>% modelli verificati prima della consegna</w:t>
            </w:r>
          </w:p>
        </w:tc>
        <w:tc>
          <w:tcPr>
            <w:tcW w:w="2085" w:type="dxa"/>
            <w:vAlign w:val="center"/>
          </w:tcPr>
          <w:p w14:paraId="5354C654" w14:textId="77777777" w:rsidR="00D90F25" w:rsidRPr="00A42404" w:rsidRDefault="009F3225">
            <w:r w:rsidRPr="00A42404">
              <w:rPr>
                <w:sz w:val="17"/>
              </w:rPr>
              <w:t>[100%]</w:t>
            </w:r>
          </w:p>
        </w:tc>
        <w:tc>
          <w:tcPr>
            <w:tcW w:w="2085" w:type="dxa"/>
            <w:vAlign w:val="center"/>
          </w:tcPr>
          <w:p w14:paraId="764975A8" w14:textId="77777777" w:rsidR="00D90F25" w:rsidRDefault="009F3225">
            <w:r>
              <w:rPr>
                <w:sz w:val="17"/>
              </w:rPr>
              <w:t>BIM Coordinator</w:t>
            </w:r>
          </w:p>
        </w:tc>
        <w:tc>
          <w:tcPr>
            <w:tcW w:w="2085" w:type="dxa"/>
            <w:vAlign w:val="center"/>
          </w:tcPr>
          <w:p w14:paraId="7B339282" w14:textId="77777777" w:rsidR="00D90F25" w:rsidRDefault="009F3225">
            <w:r>
              <w:rPr>
                <w:sz w:val="17"/>
              </w:rPr>
              <w:t>Per milestone</w:t>
            </w:r>
          </w:p>
        </w:tc>
      </w:tr>
      <w:tr w:rsidR="00D90F25" w14:paraId="27360E47" w14:textId="77777777">
        <w:trPr>
          <w:jc w:val="center"/>
        </w:trPr>
        <w:tc>
          <w:tcPr>
            <w:tcW w:w="2085" w:type="dxa"/>
            <w:vAlign w:val="center"/>
          </w:tcPr>
          <w:p w14:paraId="020C7A63" w14:textId="77777777" w:rsidR="00D90F25" w:rsidRDefault="009F3225">
            <w:r>
              <w:rPr>
                <w:sz w:val="17"/>
              </w:rPr>
              <w:t>Tracciabilità CDE</w:t>
            </w:r>
          </w:p>
        </w:tc>
        <w:tc>
          <w:tcPr>
            <w:tcW w:w="2085" w:type="dxa"/>
            <w:vAlign w:val="center"/>
          </w:tcPr>
          <w:p w14:paraId="33BFE183" w14:textId="77777777" w:rsidR="00D90F25" w:rsidRPr="009F3225" w:rsidRDefault="009F3225">
            <w:pPr>
              <w:rPr>
                <w:color w:val="000000" w:themeColor="text1"/>
                <w:lang w:val="it-IT"/>
              </w:rPr>
            </w:pPr>
            <w:r w:rsidRPr="009F3225">
              <w:rPr>
                <w:color w:val="000000" w:themeColor="text1"/>
                <w:sz w:val="17"/>
                <w:lang w:val="it-IT"/>
              </w:rPr>
              <w:t>% deliverable pubblicati tramite ACDat/CDE</w:t>
            </w:r>
          </w:p>
        </w:tc>
        <w:tc>
          <w:tcPr>
            <w:tcW w:w="2085" w:type="dxa"/>
            <w:vAlign w:val="center"/>
          </w:tcPr>
          <w:p w14:paraId="633B253F" w14:textId="77777777" w:rsidR="00B13C23" w:rsidRDefault="00B14579">
            <w:r>
              <w:t>≥ 80%</w:t>
            </w:r>
          </w:p>
        </w:tc>
        <w:tc>
          <w:tcPr>
            <w:tcW w:w="2085" w:type="dxa"/>
            <w:vAlign w:val="center"/>
          </w:tcPr>
          <w:p w14:paraId="6F10DDBE" w14:textId="77777777" w:rsidR="00D90F25" w:rsidRDefault="009F3225">
            <w:r>
              <w:rPr>
                <w:sz w:val="17"/>
              </w:rPr>
              <w:t>CDE Manager</w:t>
            </w:r>
          </w:p>
        </w:tc>
        <w:tc>
          <w:tcPr>
            <w:tcW w:w="2085" w:type="dxa"/>
            <w:vAlign w:val="center"/>
          </w:tcPr>
          <w:p w14:paraId="7517A586" w14:textId="77777777" w:rsidR="00D90F25" w:rsidRDefault="009F3225">
            <w:r>
              <w:rPr>
                <w:sz w:val="17"/>
              </w:rPr>
              <w:t>Mensile</w:t>
            </w:r>
          </w:p>
        </w:tc>
      </w:tr>
      <w:tr w:rsidR="00D90F25" w14:paraId="2CC58F86" w14:textId="77777777">
        <w:trPr>
          <w:jc w:val="center"/>
        </w:trPr>
        <w:tc>
          <w:tcPr>
            <w:tcW w:w="2085" w:type="dxa"/>
            <w:vAlign w:val="center"/>
          </w:tcPr>
          <w:p w14:paraId="5FCE725D" w14:textId="77777777" w:rsidR="00D90F25" w:rsidRDefault="009F3225">
            <w:r>
              <w:rPr>
                <w:sz w:val="17"/>
              </w:rPr>
              <w:t>Competenze</w:t>
            </w:r>
          </w:p>
        </w:tc>
        <w:tc>
          <w:tcPr>
            <w:tcW w:w="2085" w:type="dxa"/>
            <w:vAlign w:val="center"/>
          </w:tcPr>
          <w:p w14:paraId="0E0638F3" w14:textId="77777777" w:rsidR="00D90F25" w:rsidRPr="009F3225" w:rsidRDefault="009F3225">
            <w:pPr>
              <w:rPr>
                <w:color w:val="000000" w:themeColor="text1"/>
                <w:lang w:val="it-IT"/>
              </w:rPr>
            </w:pPr>
            <w:r w:rsidRPr="009F3225">
              <w:rPr>
                <w:color w:val="000000" w:themeColor="text1"/>
                <w:sz w:val="17"/>
                <w:lang w:val="it-IT"/>
              </w:rPr>
              <w:t>Ore formazione digitale per collaboratore</w:t>
            </w:r>
          </w:p>
        </w:tc>
        <w:tc>
          <w:tcPr>
            <w:tcW w:w="2085" w:type="dxa"/>
            <w:vAlign w:val="center"/>
          </w:tcPr>
          <w:p w14:paraId="1FC3699E" w14:textId="77777777" w:rsidR="00B13C23" w:rsidRDefault="00B14579">
            <w:r>
              <w:t>≥ 24 ore/anno</w:t>
            </w:r>
          </w:p>
        </w:tc>
        <w:tc>
          <w:tcPr>
            <w:tcW w:w="2085" w:type="dxa"/>
            <w:vAlign w:val="center"/>
          </w:tcPr>
          <w:p w14:paraId="26B793BD" w14:textId="77777777" w:rsidR="00D90F25" w:rsidRDefault="009F3225">
            <w:r>
              <w:rPr>
                <w:sz w:val="17"/>
              </w:rPr>
              <w:t>Direzione / HR</w:t>
            </w:r>
          </w:p>
        </w:tc>
        <w:tc>
          <w:tcPr>
            <w:tcW w:w="2085" w:type="dxa"/>
            <w:vAlign w:val="center"/>
          </w:tcPr>
          <w:p w14:paraId="6BAB7C1F" w14:textId="77777777" w:rsidR="00D90F25" w:rsidRDefault="009F3225">
            <w:r>
              <w:rPr>
                <w:sz w:val="17"/>
              </w:rPr>
              <w:t>Annuale</w:t>
            </w:r>
          </w:p>
        </w:tc>
      </w:tr>
    </w:tbl>
    <w:p w14:paraId="321FCEA3" w14:textId="77777777" w:rsidR="00D90F25" w:rsidRDefault="009F3225">
      <w:pPr>
        <w:pStyle w:val="Titolo1"/>
      </w:pPr>
      <w:r>
        <w:t>4. Comunicazione e riesame</w:t>
      </w:r>
    </w:p>
    <w:p w14:paraId="09471D95" w14:textId="77777777" w:rsidR="00D90F25" w:rsidRPr="00DE3822" w:rsidRDefault="009F3225">
      <w:pPr>
        <w:rPr>
          <w:lang w:val="it-IT"/>
        </w:rPr>
      </w:pPr>
      <w:r w:rsidRPr="00DE3822">
        <w:rPr>
          <w:lang w:val="it-IT"/>
        </w:rPr>
        <w:t>La politica è comunicata a collaboratori, consulenti e partner coinvolti nei processi digitalizzati ed è riesaminata almeno annualmente in occasione del riesame della Direzione.</w:t>
      </w:r>
    </w:p>
    <w:p w14:paraId="084692DB" w14:textId="77777777" w:rsidR="00D90F25" w:rsidRDefault="009F3225">
      <w:r>
        <w:t>Firma Direzione: __________________________    Data:29/04/2026</w:t>
      </w:r>
    </w:p>
    <w:p w14:paraId="219820D3" w14:textId="77777777" w:rsidR="003D32BE" w:rsidRDefault="003D32BE"/>
    <w:p w14:paraId="5BCAA526" w14:textId="77777777" w:rsidR="003D32BE" w:rsidRPr="00C36363" w:rsidRDefault="003D32BE" w:rsidP="003D32BE">
      <w:pPr>
        <w:pStyle w:val="Titolo1"/>
        <w:rPr>
          <w:lang w:val="it-IT"/>
        </w:rPr>
      </w:pPr>
      <w:r w:rsidRPr="00C36363">
        <w:rPr>
          <w:lang w:val="it-IT"/>
        </w:rPr>
        <w:t>Registro revisioni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522"/>
        <w:gridCol w:w="3522"/>
        <w:gridCol w:w="3522"/>
      </w:tblGrid>
      <w:tr w:rsidR="003D32BE" w14:paraId="0628DD85" w14:textId="77777777" w:rsidTr="00457BD0">
        <w:tc>
          <w:tcPr>
            <w:tcW w:w="3522" w:type="dxa"/>
          </w:tcPr>
          <w:p w14:paraId="082E9839" w14:textId="77777777" w:rsidR="003D32BE" w:rsidRDefault="003D32BE" w:rsidP="00457BD0">
            <w:pPr>
              <w:rPr>
                <w:lang w:val="it-IT"/>
              </w:rPr>
            </w:pPr>
            <w:r>
              <w:rPr>
                <w:lang w:val="it-IT"/>
              </w:rPr>
              <w:t>rev</w:t>
            </w:r>
          </w:p>
        </w:tc>
        <w:tc>
          <w:tcPr>
            <w:tcW w:w="3522" w:type="dxa"/>
          </w:tcPr>
          <w:p w14:paraId="7E926805" w14:textId="77777777" w:rsidR="003D32BE" w:rsidRDefault="003D32BE" w:rsidP="00457BD0">
            <w:pPr>
              <w:rPr>
                <w:lang w:val="it-IT"/>
              </w:rPr>
            </w:pPr>
            <w:r>
              <w:rPr>
                <w:lang w:val="it-IT"/>
              </w:rPr>
              <w:t>data</w:t>
            </w:r>
          </w:p>
        </w:tc>
        <w:tc>
          <w:tcPr>
            <w:tcW w:w="3522" w:type="dxa"/>
          </w:tcPr>
          <w:p w14:paraId="51AD7330" w14:textId="77777777" w:rsidR="003D32BE" w:rsidRDefault="003D32BE" w:rsidP="00457BD0">
            <w:pPr>
              <w:rPr>
                <w:lang w:val="it-IT"/>
              </w:rPr>
            </w:pPr>
            <w:r>
              <w:rPr>
                <w:lang w:val="it-IT"/>
              </w:rPr>
              <w:t>responsabile</w:t>
            </w:r>
          </w:p>
        </w:tc>
      </w:tr>
      <w:tr w:rsidR="003D32BE" w14:paraId="0AE0BD04" w14:textId="77777777" w:rsidTr="00457BD0">
        <w:tc>
          <w:tcPr>
            <w:tcW w:w="3522" w:type="dxa"/>
          </w:tcPr>
          <w:p w14:paraId="68C6EC10" w14:textId="77777777" w:rsidR="003D32BE" w:rsidRDefault="003D32BE" w:rsidP="00457BD0">
            <w:pPr>
              <w:rPr>
                <w:lang w:val="it-IT"/>
              </w:rPr>
            </w:pPr>
            <w:r>
              <w:rPr>
                <w:lang w:val="it-IT"/>
              </w:rPr>
              <w:t>00</w:t>
            </w:r>
          </w:p>
        </w:tc>
        <w:tc>
          <w:tcPr>
            <w:tcW w:w="3522" w:type="dxa"/>
          </w:tcPr>
          <w:p w14:paraId="325B1D38" w14:textId="77777777" w:rsidR="003D32BE" w:rsidRDefault="003D32BE" w:rsidP="00457BD0">
            <w:pPr>
              <w:rPr>
                <w:lang w:val="it-IT"/>
              </w:rPr>
            </w:pPr>
            <w:r>
              <w:rPr>
                <w:lang w:val="it-IT"/>
              </w:rPr>
              <w:t>08/01/2026</w:t>
            </w:r>
          </w:p>
        </w:tc>
        <w:tc>
          <w:tcPr>
            <w:tcW w:w="3522" w:type="dxa"/>
          </w:tcPr>
          <w:p w14:paraId="6C7CCD66" w14:textId="77777777" w:rsidR="003D32BE" w:rsidRDefault="003D32BE" w:rsidP="00457BD0">
            <w:pPr>
              <w:rPr>
                <w:lang w:val="it-IT"/>
              </w:rPr>
            </w:pPr>
            <w:r>
              <w:rPr>
                <w:lang w:val="it-IT"/>
              </w:rPr>
              <w:t>Petrangeli</w:t>
            </w:r>
          </w:p>
        </w:tc>
      </w:tr>
      <w:tr w:rsidR="003D32BE" w14:paraId="3C8CE0F4" w14:textId="77777777" w:rsidTr="00457BD0">
        <w:tc>
          <w:tcPr>
            <w:tcW w:w="3522" w:type="dxa"/>
          </w:tcPr>
          <w:p w14:paraId="6ABFF8C6" w14:textId="77777777" w:rsidR="003D32BE" w:rsidRDefault="003D32BE" w:rsidP="00457BD0">
            <w:pPr>
              <w:rPr>
                <w:lang w:val="it-IT"/>
              </w:rPr>
            </w:pPr>
            <w:r>
              <w:rPr>
                <w:lang w:val="it-IT"/>
              </w:rPr>
              <w:t>01</w:t>
            </w:r>
          </w:p>
        </w:tc>
        <w:tc>
          <w:tcPr>
            <w:tcW w:w="3522" w:type="dxa"/>
          </w:tcPr>
          <w:p w14:paraId="61B7B837" w14:textId="30A57D33" w:rsidR="003D32BE" w:rsidRDefault="003D32BE" w:rsidP="00457BD0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  <w:r>
              <w:rPr>
                <w:lang w:val="it-IT"/>
              </w:rPr>
              <w:t>5</w:t>
            </w:r>
            <w:r>
              <w:rPr>
                <w:lang w:val="it-IT"/>
              </w:rPr>
              <w:t>/05/2026</w:t>
            </w:r>
          </w:p>
        </w:tc>
        <w:tc>
          <w:tcPr>
            <w:tcW w:w="3522" w:type="dxa"/>
          </w:tcPr>
          <w:p w14:paraId="60231296" w14:textId="77777777" w:rsidR="003D32BE" w:rsidRDefault="003D32BE" w:rsidP="00457BD0">
            <w:pPr>
              <w:rPr>
                <w:lang w:val="it-IT"/>
              </w:rPr>
            </w:pPr>
            <w:r>
              <w:rPr>
                <w:lang w:val="it-IT"/>
              </w:rPr>
              <w:t>Petrangeli</w:t>
            </w:r>
          </w:p>
        </w:tc>
      </w:tr>
    </w:tbl>
    <w:p w14:paraId="039ED007" w14:textId="77777777" w:rsidR="003D32BE" w:rsidRPr="00EF049B" w:rsidRDefault="003D32BE" w:rsidP="003D32BE">
      <w:pPr>
        <w:rPr>
          <w:lang w:val="it-IT"/>
        </w:rPr>
      </w:pPr>
    </w:p>
    <w:p w14:paraId="20BBB2E4" w14:textId="77777777" w:rsidR="003D32BE" w:rsidRDefault="003D32BE"/>
    <w:sectPr w:rsidR="003D32BE" w:rsidSect="00034616">
      <w:headerReference w:type="default" r:id="rId8"/>
      <w:footerReference w:type="default" r:id="rId9"/>
      <w:pgSz w:w="12240" w:h="15840"/>
      <w:pgMar w:top="964" w:right="907" w:bottom="850" w:left="907" w:header="39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6F4D" w14:textId="77777777" w:rsidR="00256AC3" w:rsidRDefault="00256AC3">
      <w:pPr>
        <w:spacing w:after="0" w:line="240" w:lineRule="auto"/>
      </w:pPr>
      <w:r>
        <w:separator/>
      </w:r>
    </w:p>
  </w:endnote>
  <w:endnote w:type="continuationSeparator" w:id="0">
    <w:p w14:paraId="39D368E3" w14:textId="77777777" w:rsidR="00256AC3" w:rsidRDefault="0025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74A2" w14:textId="77777777" w:rsidR="00D90F25" w:rsidRDefault="00D90F2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A508" w14:textId="77777777" w:rsidR="00256AC3" w:rsidRDefault="00256AC3">
      <w:pPr>
        <w:spacing w:after="0" w:line="240" w:lineRule="auto"/>
      </w:pPr>
      <w:r>
        <w:separator/>
      </w:r>
    </w:p>
  </w:footnote>
  <w:footnote w:type="continuationSeparator" w:id="0">
    <w:p w14:paraId="71492722" w14:textId="77777777" w:rsidR="00256AC3" w:rsidRDefault="0025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6CD9" w14:textId="77777777" w:rsidR="00D90F25" w:rsidRPr="00DE3822" w:rsidRDefault="009F3225">
    <w:pPr>
      <w:pStyle w:val="Intestazione"/>
      <w:jc w:val="center"/>
      <w:rPr>
        <w:lang w:val="it-IT"/>
      </w:rPr>
    </w:pPr>
    <w:r w:rsidRPr="00DE3822">
      <w:rPr>
        <w:sz w:val="16"/>
        <w:lang w:val="it-IT"/>
      </w:rPr>
      <w:t>Mario Petrangeli &amp; Associati S.r.l. (MPA) | SGPD UNI 11337-8:2026 | SGPD-POL-01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4952733">
    <w:abstractNumId w:val="8"/>
  </w:num>
  <w:num w:numId="2" w16cid:durableId="922109967">
    <w:abstractNumId w:val="6"/>
  </w:num>
  <w:num w:numId="3" w16cid:durableId="529954490">
    <w:abstractNumId w:val="5"/>
  </w:num>
  <w:num w:numId="4" w16cid:durableId="1326127400">
    <w:abstractNumId w:val="4"/>
  </w:num>
  <w:num w:numId="5" w16cid:durableId="2117092828">
    <w:abstractNumId w:val="7"/>
  </w:num>
  <w:num w:numId="6" w16cid:durableId="1935551195">
    <w:abstractNumId w:val="3"/>
  </w:num>
  <w:num w:numId="7" w16cid:durableId="202403777">
    <w:abstractNumId w:val="2"/>
  </w:num>
  <w:num w:numId="8" w16cid:durableId="1313215857">
    <w:abstractNumId w:val="1"/>
  </w:num>
  <w:num w:numId="9" w16cid:durableId="29885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3F32"/>
    <w:rsid w:val="00256AC3"/>
    <w:rsid w:val="0029639D"/>
    <w:rsid w:val="00326F90"/>
    <w:rsid w:val="003D32BE"/>
    <w:rsid w:val="004D72F7"/>
    <w:rsid w:val="005F54CC"/>
    <w:rsid w:val="00623763"/>
    <w:rsid w:val="006C5A9D"/>
    <w:rsid w:val="007E6A9F"/>
    <w:rsid w:val="009F3225"/>
    <w:rsid w:val="00A42404"/>
    <w:rsid w:val="00AA1D8D"/>
    <w:rsid w:val="00B13C23"/>
    <w:rsid w:val="00B14579"/>
    <w:rsid w:val="00B47730"/>
    <w:rsid w:val="00CB0664"/>
    <w:rsid w:val="00D90F25"/>
    <w:rsid w:val="00DE3822"/>
    <w:rsid w:val="00E548F4"/>
    <w:rsid w:val="00F26259"/>
    <w:rsid w:val="00F26EDA"/>
    <w:rsid w:val="00FC693F"/>
    <w:rsid w:val="00FE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5B228"/>
  <w14:defaultImageDpi w14:val="300"/>
  <w15:docId w15:val="{B8D065C0-70E4-4C95-99A5-525863D9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hAnsi="Arial"/>
      <w:sz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aliases w:val="Deloitte,Table Definitions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rial" w:hAnsi="Arial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988</Words>
  <Characters>5635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Polastri</cp:lastModifiedBy>
  <cp:revision>7</cp:revision>
  <dcterms:created xsi:type="dcterms:W3CDTF">2013-12-23T23:15:00Z</dcterms:created>
  <dcterms:modified xsi:type="dcterms:W3CDTF">2026-05-19T17:33:00Z</dcterms:modified>
  <cp:category/>
</cp:coreProperties>
</file>