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2DB2" w14:textId="77777777" w:rsidR="00D51268" w:rsidRDefault="00D51268" w:rsidP="00D51268">
      <w:pPr>
        <w:jc w:val="center"/>
        <w:rPr>
          <w:rFonts w:ascii="Arial" w:hAnsi="Arial" w:cs="Arial"/>
          <w:b/>
          <w:bCs/>
          <w:sz w:val="20"/>
          <w:szCs w:val="20"/>
        </w:rPr>
      </w:pPr>
      <w:r w:rsidRPr="00C06BE9">
        <w:rPr>
          <w:rFonts w:ascii="Arial" w:hAnsi="Arial" w:cs="Arial"/>
          <w:b/>
          <w:bCs/>
          <w:sz w:val="20"/>
          <w:szCs w:val="20"/>
        </w:rPr>
        <w:t>CMS Proposed Rule for the Medicare Program in FY 2027</w:t>
      </w:r>
    </w:p>
    <w:p w14:paraId="45E6D9B9" w14:textId="77777777" w:rsidR="00D51268" w:rsidRDefault="00D51268" w:rsidP="00D51268">
      <w:pPr>
        <w:jc w:val="center"/>
        <w:rPr>
          <w:rFonts w:ascii="Arial" w:hAnsi="Arial" w:cs="Arial"/>
          <w:b/>
          <w:bCs/>
          <w:sz w:val="20"/>
          <w:szCs w:val="20"/>
        </w:rPr>
      </w:pPr>
    </w:p>
    <w:p w14:paraId="443B777B" w14:textId="77777777" w:rsidR="00D51268" w:rsidRDefault="00D51268" w:rsidP="00D51268">
      <w:pPr>
        <w:jc w:val="center"/>
        <w:rPr>
          <w:rFonts w:ascii="Arial" w:hAnsi="Arial" w:cs="Arial"/>
          <w:b/>
          <w:bCs/>
          <w:sz w:val="20"/>
          <w:szCs w:val="20"/>
        </w:rPr>
      </w:pPr>
      <w:r>
        <w:rPr>
          <w:rFonts w:ascii="Arial" w:hAnsi="Arial" w:cs="Arial"/>
          <w:b/>
          <w:bCs/>
          <w:sz w:val="20"/>
          <w:szCs w:val="20"/>
        </w:rPr>
        <w:t>Patients for Patient Safety US</w:t>
      </w:r>
    </w:p>
    <w:p w14:paraId="38638B64" w14:textId="77777777" w:rsidR="00D51268" w:rsidRPr="00C06BE9" w:rsidRDefault="00D51268" w:rsidP="00D51268">
      <w:pPr>
        <w:jc w:val="center"/>
        <w:rPr>
          <w:rFonts w:ascii="Arial" w:hAnsi="Arial" w:cs="Arial"/>
          <w:b/>
          <w:bCs/>
          <w:sz w:val="20"/>
          <w:szCs w:val="20"/>
        </w:rPr>
      </w:pPr>
      <w:r>
        <w:rPr>
          <w:rFonts w:ascii="Arial" w:hAnsi="Arial" w:cs="Arial"/>
          <w:b/>
          <w:bCs/>
          <w:sz w:val="20"/>
          <w:szCs w:val="20"/>
        </w:rPr>
        <w:t>Common Sense Talking Points</w:t>
      </w:r>
    </w:p>
    <w:p w14:paraId="5DE74FC5" w14:textId="77777777" w:rsidR="00D51268" w:rsidRDefault="00D51268" w:rsidP="00D51268">
      <w:pPr>
        <w:rPr>
          <w:rFonts w:ascii="Arial" w:hAnsi="Arial" w:cs="Arial"/>
          <w:sz w:val="20"/>
          <w:szCs w:val="20"/>
        </w:rPr>
      </w:pPr>
    </w:p>
    <w:p w14:paraId="0DEC2D9C" w14:textId="77777777" w:rsidR="00D51268" w:rsidRDefault="00D51268" w:rsidP="00D51268">
      <w:pPr>
        <w:rPr>
          <w:rFonts w:ascii="Arial" w:hAnsi="Arial" w:cs="Arial"/>
          <w:sz w:val="20"/>
          <w:szCs w:val="20"/>
        </w:rPr>
      </w:pPr>
    </w:p>
    <w:p w14:paraId="389E6282" w14:textId="77777777" w:rsidR="00D51268" w:rsidRPr="00C06BE9" w:rsidRDefault="00D51268" w:rsidP="00D51268">
      <w:pPr>
        <w:jc w:val="center"/>
        <w:rPr>
          <w:rFonts w:ascii="Arial" w:hAnsi="Arial" w:cs="Arial"/>
          <w:sz w:val="20"/>
          <w:szCs w:val="20"/>
          <w:u w:val="single"/>
        </w:rPr>
      </w:pPr>
      <w:r w:rsidRPr="00C06BE9">
        <w:rPr>
          <w:rFonts w:ascii="Arial" w:hAnsi="Arial" w:cs="Arial"/>
          <w:sz w:val="20"/>
          <w:szCs w:val="20"/>
          <w:u w:val="single"/>
        </w:rPr>
        <w:t>Overall Trends in CMS Safety and Quality Measurement</w:t>
      </w:r>
    </w:p>
    <w:p w14:paraId="2F35EED8" w14:textId="77777777" w:rsidR="00D51268" w:rsidRDefault="00D51268" w:rsidP="00D51268">
      <w:pPr>
        <w:rPr>
          <w:rFonts w:ascii="Arial" w:hAnsi="Arial" w:cs="Arial"/>
          <w:sz w:val="20"/>
          <w:szCs w:val="20"/>
        </w:rPr>
      </w:pPr>
    </w:p>
    <w:p w14:paraId="4318913C" w14:textId="77777777" w:rsidR="00D51268" w:rsidRDefault="00D51268" w:rsidP="00D51268">
      <w:pPr>
        <w:rPr>
          <w:rFonts w:ascii="Arial" w:hAnsi="Arial" w:cs="Arial"/>
          <w:sz w:val="20"/>
          <w:szCs w:val="20"/>
        </w:rPr>
      </w:pPr>
      <w:r w:rsidRPr="00C06BE9">
        <w:rPr>
          <w:rFonts w:ascii="Arial" w:hAnsi="Arial" w:cs="Arial"/>
          <w:b/>
          <w:bCs/>
          <w:sz w:val="20"/>
          <w:szCs w:val="20"/>
        </w:rPr>
        <w:t>Structural Measures</w:t>
      </w:r>
      <w:r>
        <w:rPr>
          <w:rFonts w:ascii="Arial" w:hAnsi="Arial" w:cs="Arial"/>
          <w:sz w:val="20"/>
          <w:szCs w:val="20"/>
        </w:rPr>
        <w:t>: Structural measures (also called Attestation Measures) are an important complement to other measures. They require hospital leadership to annually attest to whether they have implemented patient safety best practices. This sends a signal to hospital leaders that CMS and the public expect best practices to be in place.  Hospital responses to structural measures are scored by CMS and publicly reported, which gives patients information we can use in our decision-making about where to get care.</w:t>
      </w:r>
    </w:p>
    <w:p w14:paraId="2088908D" w14:textId="77777777" w:rsidR="00D51268" w:rsidRDefault="00D51268" w:rsidP="00D51268">
      <w:pPr>
        <w:rPr>
          <w:rFonts w:ascii="Arial" w:hAnsi="Arial" w:cs="Arial"/>
          <w:sz w:val="20"/>
          <w:szCs w:val="20"/>
        </w:rPr>
      </w:pPr>
    </w:p>
    <w:p w14:paraId="321E3E53" w14:textId="77777777" w:rsidR="00D51268" w:rsidRDefault="00D51268" w:rsidP="00D51268">
      <w:pPr>
        <w:rPr>
          <w:rFonts w:ascii="Arial" w:hAnsi="Arial" w:cs="Arial"/>
          <w:sz w:val="20"/>
          <w:szCs w:val="20"/>
        </w:rPr>
      </w:pPr>
      <w:proofErr w:type="spellStart"/>
      <w:r w:rsidRPr="00DE7A6D">
        <w:rPr>
          <w:rFonts w:ascii="Arial" w:hAnsi="Arial" w:cs="Arial"/>
          <w:b/>
          <w:bCs/>
          <w:sz w:val="20"/>
          <w:szCs w:val="20"/>
        </w:rPr>
        <w:t>eCQMs</w:t>
      </w:r>
      <w:proofErr w:type="spellEnd"/>
      <w:r>
        <w:rPr>
          <w:rFonts w:ascii="Arial" w:hAnsi="Arial" w:cs="Arial"/>
          <w:sz w:val="20"/>
          <w:szCs w:val="20"/>
        </w:rPr>
        <w:t>: Electronic Clinical Quality Measures (</w:t>
      </w:r>
      <w:proofErr w:type="spellStart"/>
      <w:r>
        <w:rPr>
          <w:rFonts w:ascii="Arial" w:hAnsi="Arial" w:cs="Arial"/>
          <w:sz w:val="20"/>
          <w:szCs w:val="20"/>
        </w:rPr>
        <w:t>eCQMs</w:t>
      </w:r>
      <w:proofErr w:type="spellEnd"/>
      <w:r>
        <w:rPr>
          <w:rFonts w:ascii="Arial" w:hAnsi="Arial" w:cs="Arial"/>
          <w:sz w:val="20"/>
          <w:szCs w:val="20"/>
        </w:rPr>
        <w:t xml:space="preserve">) are measures that are automatically pulled from the EHR (electronic health records) and other IT (information technology) records. They do not have to be coded by a person.  </w:t>
      </w:r>
      <w:proofErr w:type="spellStart"/>
      <w:r>
        <w:rPr>
          <w:rFonts w:ascii="Arial" w:hAnsi="Arial" w:cs="Arial"/>
          <w:sz w:val="20"/>
          <w:szCs w:val="20"/>
        </w:rPr>
        <w:t>eCQMs</w:t>
      </w:r>
      <w:proofErr w:type="spellEnd"/>
      <w:r>
        <w:rPr>
          <w:rFonts w:ascii="Arial" w:hAnsi="Arial" w:cs="Arial"/>
          <w:sz w:val="20"/>
          <w:szCs w:val="20"/>
        </w:rPr>
        <w:t xml:space="preserve"> find patient safety issues that are never reported by healthcare providers, and they also relieve the human time burden of reporting safety and quality information. The CMS strategy of converting coding-based safety and quality measures to </w:t>
      </w:r>
      <w:proofErr w:type="spellStart"/>
      <w:r>
        <w:rPr>
          <w:rFonts w:ascii="Arial" w:hAnsi="Arial" w:cs="Arial"/>
          <w:sz w:val="20"/>
          <w:szCs w:val="20"/>
        </w:rPr>
        <w:t>eCQMs</w:t>
      </w:r>
      <w:proofErr w:type="spellEnd"/>
      <w:r>
        <w:rPr>
          <w:rFonts w:ascii="Arial" w:hAnsi="Arial" w:cs="Arial"/>
          <w:sz w:val="20"/>
          <w:szCs w:val="20"/>
        </w:rPr>
        <w:t xml:space="preserve"> is important to improving surveillance of patient harms.</w:t>
      </w:r>
    </w:p>
    <w:p w14:paraId="4D49CC78" w14:textId="77777777" w:rsidR="00D51268" w:rsidRDefault="00D51268" w:rsidP="00D51268">
      <w:pPr>
        <w:rPr>
          <w:rFonts w:ascii="Arial" w:hAnsi="Arial" w:cs="Arial"/>
          <w:sz w:val="20"/>
          <w:szCs w:val="20"/>
        </w:rPr>
      </w:pPr>
    </w:p>
    <w:p w14:paraId="2335FB07" w14:textId="77777777" w:rsidR="00D51268" w:rsidRPr="00DE7A6D" w:rsidRDefault="00D51268" w:rsidP="00D51268">
      <w:pPr>
        <w:rPr>
          <w:rFonts w:ascii="Arial" w:hAnsi="Arial" w:cs="Arial"/>
          <w:sz w:val="20"/>
          <w:szCs w:val="20"/>
        </w:rPr>
      </w:pPr>
      <w:r w:rsidRPr="008A1D65">
        <w:rPr>
          <w:rFonts w:ascii="Arial" w:hAnsi="Arial" w:cs="Arial"/>
          <w:b/>
          <w:bCs/>
          <w:sz w:val="20"/>
          <w:szCs w:val="20"/>
        </w:rPr>
        <w:t>Inclusion of Medicare Advantage Data</w:t>
      </w:r>
      <w:r>
        <w:rPr>
          <w:rFonts w:ascii="Arial" w:hAnsi="Arial" w:cs="Arial"/>
          <w:sz w:val="20"/>
          <w:szCs w:val="20"/>
        </w:rPr>
        <w:t>: Historically, CMS safety and quality measures did not capture data on patients covered by Medicare Advantage plans. CMS is to be commended for its strategy of now expanding data collection to include Medicare Advantage patients, because it significantly increases the amount of safety data it collects.</w:t>
      </w:r>
    </w:p>
    <w:p w14:paraId="68EBF071" w14:textId="77777777" w:rsidR="00D51268" w:rsidRDefault="00D51268" w:rsidP="00D51268">
      <w:pPr>
        <w:rPr>
          <w:rFonts w:ascii="Arial" w:hAnsi="Arial" w:cs="Arial"/>
          <w:sz w:val="20"/>
          <w:szCs w:val="20"/>
        </w:rPr>
      </w:pPr>
    </w:p>
    <w:p w14:paraId="3E740208" w14:textId="77777777" w:rsidR="00D51268" w:rsidRPr="00DA7206" w:rsidRDefault="00D51268" w:rsidP="00D51268">
      <w:pPr>
        <w:jc w:val="center"/>
        <w:rPr>
          <w:rFonts w:ascii="Arial" w:hAnsi="Arial" w:cs="Arial"/>
          <w:sz w:val="20"/>
          <w:szCs w:val="20"/>
          <w:u w:val="single"/>
        </w:rPr>
      </w:pPr>
      <w:r w:rsidRPr="00DA7206">
        <w:rPr>
          <w:rFonts w:ascii="Arial" w:hAnsi="Arial" w:cs="Arial"/>
          <w:sz w:val="20"/>
          <w:szCs w:val="20"/>
          <w:u w:val="single"/>
        </w:rPr>
        <w:t xml:space="preserve">Specific </w:t>
      </w:r>
      <w:r>
        <w:rPr>
          <w:rFonts w:ascii="Arial" w:hAnsi="Arial" w:cs="Arial"/>
          <w:sz w:val="20"/>
          <w:szCs w:val="20"/>
          <w:u w:val="single"/>
        </w:rPr>
        <w:t xml:space="preserve">Patient Safety Priorities </w:t>
      </w:r>
      <w:r w:rsidRPr="00DA7206">
        <w:rPr>
          <w:rFonts w:ascii="Arial" w:hAnsi="Arial" w:cs="Arial"/>
          <w:sz w:val="20"/>
          <w:szCs w:val="20"/>
          <w:u w:val="single"/>
        </w:rPr>
        <w:t>in this Proposed Rule</w:t>
      </w:r>
    </w:p>
    <w:p w14:paraId="037EC4BA" w14:textId="77777777" w:rsidR="00D51268" w:rsidRDefault="00D51268" w:rsidP="00D51268">
      <w:pPr>
        <w:rPr>
          <w:rFonts w:ascii="Arial" w:hAnsi="Arial" w:cs="Arial"/>
          <w:sz w:val="20"/>
          <w:szCs w:val="20"/>
        </w:rPr>
      </w:pPr>
    </w:p>
    <w:p w14:paraId="314DC28D" w14:textId="7780AF9B" w:rsidR="00D51268" w:rsidRDefault="00D51268" w:rsidP="00D51268">
      <w:pPr>
        <w:rPr>
          <w:rFonts w:ascii="Arial" w:hAnsi="Arial" w:cs="Arial"/>
          <w:sz w:val="20"/>
          <w:szCs w:val="20"/>
        </w:rPr>
      </w:pPr>
      <w:r w:rsidRPr="00DA7206">
        <w:rPr>
          <w:rFonts w:ascii="Arial" w:hAnsi="Arial" w:cs="Arial"/>
          <w:b/>
          <w:bCs/>
          <w:sz w:val="20"/>
          <w:szCs w:val="20"/>
        </w:rPr>
        <w:t>Postoper</w:t>
      </w:r>
      <w:r>
        <w:rPr>
          <w:rFonts w:ascii="Arial" w:hAnsi="Arial" w:cs="Arial"/>
          <w:b/>
          <w:bCs/>
          <w:sz w:val="20"/>
          <w:szCs w:val="20"/>
        </w:rPr>
        <w:t>a</w:t>
      </w:r>
      <w:r w:rsidRPr="00DA7206">
        <w:rPr>
          <w:rFonts w:ascii="Arial" w:hAnsi="Arial" w:cs="Arial"/>
          <w:b/>
          <w:bCs/>
          <w:sz w:val="20"/>
          <w:szCs w:val="20"/>
        </w:rPr>
        <w:t>tive Venous Thromboemb</w:t>
      </w:r>
      <w:r>
        <w:rPr>
          <w:rFonts w:ascii="Arial" w:hAnsi="Arial" w:cs="Arial"/>
          <w:b/>
          <w:bCs/>
          <w:sz w:val="20"/>
          <w:szCs w:val="20"/>
        </w:rPr>
        <w:t>o</w:t>
      </w:r>
      <w:r w:rsidRPr="00DA7206">
        <w:rPr>
          <w:rFonts w:ascii="Arial" w:hAnsi="Arial" w:cs="Arial"/>
          <w:b/>
          <w:bCs/>
          <w:sz w:val="20"/>
          <w:szCs w:val="20"/>
        </w:rPr>
        <w:t>lism (VTE</w:t>
      </w:r>
      <w:r>
        <w:rPr>
          <w:rFonts w:ascii="Arial" w:hAnsi="Arial" w:cs="Arial"/>
          <w:sz w:val="20"/>
          <w:szCs w:val="20"/>
        </w:rPr>
        <w:t xml:space="preserve">): Postoperative VTEs are blood clots that form in veins following surgery. The Proposed Rule would adopt a new </w:t>
      </w:r>
      <w:r w:rsidRPr="00A01435">
        <w:rPr>
          <w:rFonts w:ascii="Arial" w:hAnsi="Arial" w:cs="Arial"/>
          <w:sz w:val="20"/>
          <w:szCs w:val="20"/>
          <w:u w:val="single"/>
        </w:rPr>
        <w:t>outcome</w:t>
      </w:r>
      <w:r>
        <w:rPr>
          <w:rFonts w:ascii="Arial" w:hAnsi="Arial" w:cs="Arial"/>
          <w:sz w:val="20"/>
          <w:szCs w:val="20"/>
        </w:rPr>
        <w:t xml:space="preserve"> measure that would gather data about blood clots that happen, but CMS simultaneously proposes to drop two </w:t>
      </w:r>
      <w:r w:rsidRPr="00DA7206">
        <w:rPr>
          <w:rFonts w:ascii="Arial" w:hAnsi="Arial" w:cs="Arial"/>
          <w:sz w:val="20"/>
          <w:szCs w:val="20"/>
          <w:u w:val="single"/>
        </w:rPr>
        <w:t>process</w:t>
      </w:r>
      <w:r>
        <w:rPr>
          <w:rFonts w:ascii="Arial" w:hAnsi="Arial" w:cs="Arial"/>
          <w:sz w:val="20"/>
          <w:szCs w:val="20"/>
        </w:rPr>
        <w:t xml:space="preserve"> measures that address VTE prevention.  We/I strongly believe that the process measures</w:t>
      </w:r>
      <w:r>
        <w:rPr>
          <w:rFonts w:ascii="Arial" w:hAnsi="Arial" w:cs="Arial"/>
          <w:sz w:val="20"/>
          <w:szCs w:val="20"/>
        </w:rPr>
        <w:t xml:space="preserve"> should</w:t>
      </w:r>
      <w:r>
        <w:rPr>
          <w:rFonts w:ascii="Arial" w:hAnsi="Arial" w:cs="Arial"/>
          <w:sz w:val="20"/>
          <w:szCs w:val="20"/>
        </w:rPr>
        <w:t xml:space="preserve"> be retained in addition to the new outcome measure. The outcome measure finds what happened, and the process measures shed light on why VTEs happen, which is important to timely diagnosis and prevention.</w:t>
      </w:r>
    </w:p>
    <w:p w14:paraId="0F2D70CB" w14:textId="77777777" w:rsidR="00D51268" w:rsidRDefault="00D51268" w:rsidP="00D51268">
      <w:pPr>
        <w:rPr>
          <w:rFonts w:ascii="Arial" w:hAnsi="Arial" w:cs="Arial"/>
          <w:sz w:val="20"/>
          <w:szCs w:val="20"/>
        </w:rPr>
      </w:pPr>
    </w:p>
    <w:p w14:paraId="5D4CDFDB" w14:textId="77777777" w:rsidR="00D51268" w:rsidRDefault="00D51268" w:rsidP="00D51268">
      <w:pPr>
        <w:rPr>
          <w:rFonts w:ascii="Arial" w:hAnsi="Arial" w:cs="Arial"/>
          <w:sz w:val="20"/>
          <w:szCs w:val="20"/>
        </w:rPr>
      </w:pPr>
      <w:r w:rsidRPr="00DA7206">
        <w:rPr>
          <w:rFonts w:ascii="Arial" w:hAnsi="Arial" w:cs="Arial"/>
          <w:b/>
          <w:bCs/>
          <w:sz w:val="20"/>
          <w:szCs w:val="20"/>
        </w:rPr>
        <w:t xml:space="preserve">Mandatory Reporting of Hospital Harm </w:t>
      </w:r>
      <w:proofErr w:type="spellStart"/>
      <w:r w:rsidRPr="00DA7206">
        <w:rPr>
          <w:rFonts w:ascii="Arial" w:hAnsi="Arial" w:cs="Arial"/>
          <w:b/>
          <w:bCs/>
          <w:sz w:val="20"/>
          <w:szCs w:val="20"/>
        </w:rPr>
        <w:t>eCQMs</w:t>
      </w:r>
      <w:proofErr w:type="spellEnd"/>
      <w:r>
        <w:rPr>
          <w:rFonts w:ascii="Arial" w:hAnsi="Arial" w:cs="Arial"/>
          <w:sz w:val="20"/>
          <w:szCs w:val="20"/>
        </w:rPr>
        <w:t xml:space="preserve">: Not all </w:t>
      </w:r>
      <w:proofErr w:type="spellStart"/>
      <w:r>
        <w:rPr>
          <w:rFonts w:ascii="Arial" w:hAnsi="Arial" w:cs="Arial"/>
          <w:sz w:val="20"/>
          <w:szCs w:val="20"/>
        </w:rPr>
        <w:t>eCQMs</w:t>
      </w:r>
      <w:proofErr w:type="spellEnd"/>
      <w:r>
        <w:rPr>
          <w:rFonts w:ascii="Arial" w:hAnsi="Arial" w:cs="Arial"/>
          <w:sz w:val="20"/>
          <w:szCs w:val="20"/>
        </w:rPr>
        <w:t xml:space="preserve"> that address hospital-based harms are mandatory.  CMS should be encouraged to move forward as quickly as feasible to mandate reporting of all hospital harm </w:t>
      </w:r>
      <w:proofErr w:type="spellStart"/>
      <w:r>
        <w:rPr>
          <w:rFonts w:ascii="Arial" w:hAnsi="Arial" w:cs="Arial"/>
          <w:sz w:val="20"/>
          <w:szCs w:val="20"/>
        </w:rPr>
        <w:t>eCQMs</w:t>
      </w:r>
      <w:proofErr w:type="spellEnd"/>
      <w:r>
        <w:rPr>
          <w:rFonts w:ascii="Arial" w:hAnsi="Arial" w:cs="Arial"/>
          <w:sz w:val="20"/>
          <w:szCs w:val="20"/>
        </w:rPr>
        <w:t>.</w:t>
      </w:r>
    </w:p>
    <w:p w14:paraId="6934B2AB" w14:textId="77777777" w:rsidR="00D51268" w:rsidRPr="004B320F" w:rsidRDefault="00D51268" w:rsidP="00D51268">
      <w:pPr>
        <w:rPr>
          <w:rFonts w:ascii="Arial" w:hAnsi="Arial" w:cs="Arial"/>
          <w:b/>
          <w:bCs/>
          <w:sz w:val="20"/>
          <w:szCs w:val="20"/>
        </w:rPr>
      </w:pPr>
    </w:p>
    <w:p w14:paraId="25B7295B" w14:textId="77777777" w:rsidR="00D51268" w:rsidRDefault="00D51268" w:rsidP="00D51268">
      <w:pPr>
        <w:rPr>
          <w:rFonts w:ascii="Arial" w:hAnsi="Arial" w:cs="Arial"/>
          <w:sz w:val="20"/>
          <w:szCs w:val="20"/>
        </w:rPr>
      </w:pPr>
      <w:r w:rsidRPr="004B320F">
        <w:rPr>
          <w:rFonts w:ascii="Arial" w:hAnsi="Arial" w:cs="Arial"/>
          <w:b/>
          <w:bCs/>
          <w:sz w:val="20"/>
          <w:szCs w:val="20"/>
        </w:rPr>
        <w:t>Maternal Morbidity Structural Measure</w:t>
      </w:r>
      <w:r>
        <w:rPr>
          <w:rFonts w:ascii="Arial" w:hAnsi="Arial" w:cs="Arial"/>
          <w:sz w:val="20"/>
          <w:szCs w:val="20"/>
        </w:rPr>
        <w:t xml:space="preserve">: This structural measure currently requires hospital leaders to attest to whether the organization is involved in a state or national learning collaborative where safety and quality staff work together on improvement. CMS proposes amending this measure to require identification of the specific learning collaborative in which the hospital participates. CMS should be commended for taking this logical next step in gathering data about improvement work.  </w:t>
      </w:r>
    </w:p>
    <w:p w14:paraId="7EBA5CB9" w14:textId="77777777" w:rsidR="00D51268" w:rsidRDefault="00D51268" w:rsidP="00D51268">
      <w:pPr>
        <w:rPr>
          <w:rFonts w:ascii="Arial" w:hAnsi="Arial" w:cs="Arial"/>
          <w:sz w:val="20"/>
          <w:szCs w:val="20"/>
        </w:rPr>
      </w:pPr>
    </w:p>
    <w:p w14:paraId="4E842F26" w14:textId="77777777" w:rsidR="00D51268" w:rsidRDefault="00D51268" w:rsidP="00D51268">
      <w:pPr>
        <w:rPr>
          <w:rFonts w:ascii="Arial" w:hAnsi="Arial" w:cs="Arial"/>
          <w:sz w:val="20"/>
          <w:szCs w:val="20"/>
        </w:rPr>
      </w:pPr>
      <w:r w:rsidRPr="004B320F">
        <w:rPr>
          <w:rFonts w:ascii="Arial" w:hAnsi="Arial" w:cs="Arial"/>
          <w:b/>
          <w:bCs/>
          <w:sz w:val="20"/>
          <w:szCs w:val="20"/>
        </w:rPr>
        <w:t>Birthing Friendly Hospital Designation</w:t>
      </w:r>
      <w:r>
        <w:rPr>
          <w:rFonts w:ascii="Arial" w:hAnsi="Arial" w:cs="Arial"/>
          <w:sz w:val="20"/>
          <w:szCs w:val="20"/>
        </w:rPr>
        <w:t>: CMS currently uses Maternal Morbidity Structural Measure attestations reported by hospital leaders to evaluate hospitals for their investment in maternal safety. CMS should be encouraged to include outcomes data as well as attestation data in the public listing of Birthing Friendly Hospitals.</w:t>
      </w:r>
    </w:p>
    <w:p w14:paraId="4011AE14" w14:textId="77777777" w:rsidR="00D51268" w:rsidRDefault="00D51268" w:rsidP="00D51268">
      <w:pPr>
        <w:rPr>
          <w:rFonts w:ascii="Arial" w:hAnsi="Arial" w:cs="Arial"/>
          <w:sz w:val="20"/>
          <w:szCs w:val="20"/>
        </w:rPr>
      </w:pPr>
    </w:p>
    <w:p w14:paraId="015016FA" w14:textId="77777777" w:rsidR="00D51268" w:rsidRDefault="00D51268" w:rsidP="00D51268">
      <w:pPr>
        <w:rPr>
          <w:rFonts w:ascii="Arial" w:hAnsi="Arial" w:cs="Arial"/>
          <w:sz w:val="20"/>
          <w:szCs w:val="20"/>
        </w:rPr>
      </w:pPr>
      <w:r w:rsidRPr="00A17722">
        <w:rPr>
          <w:rFonts w:ascii="Arial" w:hAnsi="Arial" w:cs="Arial"/>
          <w:b/>
          <w:bCs/>
          <w:sz w:val="20"/>
          <w:szCs w:val="20"/>
        </w:rPr>
        <w:t>Emergency Care Access</w:t>
      </w:r>
      <w:r>
        <w:rPr>
          <w:rFonts w:ascii="Arial" w:hAnsi="Arial" w:cs="Arial"/>
          <w:sz w:val="20"/>
          <w:szCs w:val="20"/>
        </w:rPr>
        <w:t xml:space="preserve">:  CMS has asked for input on addressing hospital-wide accountability for delays in the Emergency Department, not just consideration of such delays as an ED problem. CMS </w:t>
      </w:r>
      <w:r>
        <w:rPr>
          <w:rFonts w:ascii="Arial" w:hAnsi="Arial" w:cs="Arial"/>
          <w:sz w:val="20"/>
          <w:szCs w:val="20"/>
        </w:rPr>
        <w:lastRenderedPageBreak/>
        <w:t>should be commended for seeing “boarding” patients in the ED as a serious patient safety issue and encouraged to factor ED “observation” status into its measurement approach. ED observation status should not be a “blind spot” in the hospital-wide measurement of patient safety in the ED.</w:t>
      </w:r>
    </w:p>
    <w:p w14:paraId="788E22E6" w14:textId="77777777" w:rsidR="00D51268" w:rsidRDefault="00D51268" w:rsidP="00D51268">
      <w:pPr>
        <w:rPr>
          <w:rFonts w:ascii="Arial" w:hAnsi="Arial" w:cs="Arial"/>
          <w:sz w:val="20"/>
          <w:szCs w:val="20"/>
        </w:rPr>
      </w:pPr>
    </w:p>
    <w:p w14:paraId="7FDDC697" w14:textId="0E2D56DA" w:rsidR="00D51268" w:rsidRPr="005951B4" w:rsidRDefault="00D51268" w:rsidP="00D51268">
      <w:pPr>
        <w:rPr>
          <w:rFonts w:ascii="Arial" w:hAnsi="Arial" w:cs="Arial"/>
          <w:sz w:val="20"/>
          <w:szCs w:val="20"/>
        </w:rPr>
      </w:pPr>
      <w:r w:rsidRPr="005951B4">
        <w:rPr>
          <w:rFonts w:ascii="Arial" w:hAnsi="Arial" w:cs="Arial"/>
          <w:b/>
          <w:bCs/>
          <w:sz w:val="20"/>
          <w:szCs w:val="20"/>
        </w:rPr>
        <w:t>Adult Community-Onset of Sepsis</w:t>
      </w:r>
      <w:r w:rsidRPr="005951B4">
        <w:rPr>
          <w:rFonts w:ascii="Arial" w:hAnsi="Arial" w:cs="Arial"/>
          <w:sz w:val="20"/>
          <w:szCs w:val="20"/>
        </w:rPr>
        <w:t>:  Sepsis continues to be a serious preventable harm event with devasting impact for patients.  CMS is to be commended for prioritizing sepsis as a serious</w:t>
      </w:r>
      <w:r>
        <w:rPr>
          <w:rFonts w:ascii="Arial" w:hAnsi="Arial" w:cs="Arial"/>
          <w:sz w:val="20"/>
          <w:szCs w:val="20"/>
        </w:rPr>
        <w:t xml:space="preserve"> </w:t>
      </w:r>
      <w:r w:rsidRPr="005951B4">
        <w:rPr>
          <w:rFonts w:ascii="Arial" w:hAnsi="Arial" w:cs="Arial"/>
          <w:sz w:val="20"/>
          <w:szCs w:val="20"/>
        </w:rPr>
        <w:t xml:space="preserve">issue and encouraged to explore more clinically sophisticated </w:t>
      </w:r>
      <w:r>
        <w:rPr>
          <w:rFonts w:ascii="Arial" w:hAnsi="Arial" w:cs="Arial"/>
          <w:sz w:val="20"/>
          <w:szCs w:val="20"/>
        </w:rPr>
        <w:t xml:space="preserve">electronic </w:t>
      </w:r>
      <w:r w:rsidRPr="005951B4">
        <w:rPr>
          <w:rFonts w:ascii="Arial" w:hAnsi="Arial" w:cs="Arial"/>
          <w:sz w:val="20"/>
          <w:szCs w:val="20"/>
        </w:rPr>
        <w:t xml:space="preserve">measurement approaches incorporating physiologic and laboratory data rather than relying exclusively on </w:t>
      </w:r>
      <w:r>
        <w:rPr>
          <w:rFonts w:ascii="Arial" w:hAnsi="Arial" w:cs="Arial"/>
          <w:sz w:val="20"/>
          <w:szCs w:val="20"/>
        </w:rPr>
        <w:t>after</w:t>
      </w:r>
      <w:r>
        <w:rPr>
          <w:rFonts w:ascii="Arial" w:hAnsi="Arial" w:cs="Arial"/>
          <w:sz w:val="20"/>
          <w:szCs w:val="20"/>
        </w:rPr>
        <w:t>-the-</w:t>
      </w:r>
      <w:r>
        <w:rPr>
          <w:rFonts w:ascii="Arial" w:hAnsi="Arial" w:cs="Arial"/>
          <w:sz w:val="20"/>
          <w:szCs w:val="20"/>
        </w:rPr>
        <w:t xml:space="preserve">fact </w:t>
      </w:r>
      <w:r w:rsidRPr="005951B4">
        <w:rPr>
          <w:rFonts w:ascii="Arial" w:hAnsi="Arial" w:cs="Arial"/>
          <w:sz w:val="20"/>
          <w:szCs w:val="20"/>
        </w:rPr>
        <w:t xml:space="preserve">claims-based </w:t>
      </w:r>
      <w:r>
        <w:rPr>
          <w:rFonts w:ascii="Arial" w:hAnsi="Arial" w:cs="Arial"/>
          <w:sz w:val="20"/>
          <w:szCs w:val="20"/>
        </w:rPr>
        <w:t>measures.</w:t>
      </w:r>
    </w:p>
    <w:p w14:paraId="28763E37" w14:textId="77777777" w:rsidR="007A57BE" w:rsidRDefault="007A57BE"/>
    <w:p w14:paraId="5B3D81B8" w14:textId="77777777" w:rsidR="007A57BE" w:rsidRDefault="007A57BE"/>
    <w:sectPr w:rsidR="007A57BE" w:rsidSect="007A57BE">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19AB" w14:textId="77777777" w:rsidR="009F65C5" w:rsidRDefault="009F65C5" w:rsidP="007A57BE">
      <w:r>
        <w:separator/>
      </w:r>
    </w:p>
  </w:endnote>
  <w:endnote w:type="continuationSeparator" w:id="0">
    <w:p w14:paraId="3C3079CF" w14:textId="77777777" w:rsidR="009F65C5" w:rsidRDefault="009F65C5" w:rsidP="007A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CDAB" w14:textId="77777777" w:rsidR="007A57BE" w:rsidRPr="007A57BE" w:rsidRDefault="007A57BE" w:rsidP="007A57BE">
    <w:pPr>
      <w:pStyle w:val="Footer"/>
      <w:jc w:val="center"/>
      <w:rPr>
        <w:rFonts w:ascii="Times New Roman" w:hAnsi="Times New Roman" w:cs="Times New Roman"/>
      </w:rPr>
    </w:pPr>
    <w:r w:rsidRPr="007A57BE">
      <w:rPr>
        <w:rFonts w:ascii="Times New Roman" w:hAnsi="Times New Roman" w:cs="Times New Roman"/>
        <w:color w:val="4472C4" w:themeColor="accent1"/>
      </w:rPr>
      <w:t xml:space="preserve">Patients For Patient Safety </w:t>
    </w:r>
    <w:r w:rsidRPr="007A57BE">
      <w:rPr>
        <w:rFonts w:ascii="Times New Roman" w:hAnsi="Times New Roman" w:cs="Times New Roman"/>
        <w:color w:val="ED7D31" w:themeColor="accent2"/>
      </w:rPr>
      <w:t xml:space="preserve">US </w:t>
    </w:r>
    <w:r w:rsidRPr="007A57BE">
      <w:rPr>
        <w:rFonts w:ascii="Times New Roman" w:hAnsi="Times New Roman" w:cs="Times New Roman"/>
      </w:rPr>
      <w:t>| 251 Still Pine Bend, Smyrna, Georgia 30082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5F9C" w14:textId="77777777" w:rsidR="009F65C5" w:rsidRDefault="009F65C5" w:rsidP="007A57BE">
      <w:r>
        <w:separator/>
      </w:r>
    </w:p>
  </w:footnote>
  <w:footnote w:type="continuationSeparator" w:id="0">
    <w:p w14:paraId="2CC6E219" w14:textId="77777777" w:rsidR="009F65C5" w:rsidRDefault="009F65C5" w:rsidP="007A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385"/>
    </w:tblGrid>
    <w:tr w:rsidR="007A57BE" w14:paraId="4EC9CBC9" w14:textId="77777777" w:rsidTr="003B17AC">
      <w:tc>
        <w:tcPr>
          <w:tcW w:w="1615" w:type="dxa"/>
        </w:tcPr>
        <w:p w14:paraId="2C2FFAAB" w14:textId="77777777" w:rsidR="007A57BE" w:rsidRDefault="007A57BE" w:rsidP="007A57BE">
          <w:pPr>
            <w:pStyle w:val="Header"/>
            <w:jc w:val="center"/>
          </w:pPr>
          <w:r>
            <w:rPr>
              <w:noProof/>
            </w:rPr>
            <w:drawing>
              <wp:inline distT="0" distB="0" distL="0" distR="0" wp14:anchorId="540631ED" wp14:editId="0CB62578">
                <wp:extent cx="667512" cy="669291"/>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3111" cy="715011"/>
                        </a:xfrm>
                        <a:prstGeom prst="rect">
                          <a:avLst/>
                        </a:prstGeom>
                      </pic:spPr>
                    </pic:pic>
                  </a:graphicData>
                </a:graphic>
              </wp:inline>
            </w:drawing>
          </w:r>
        </w:p>
      </w:tc>
      <w:tc>
        <w:tcPr>
          <w:tcW w:w="7385" w:type="dxa"/>
          <w:vAlign w:val="center"/>
        </w:tcPr>
        <w:p w14:paraId="47B03ABA" w14:textId="77777777" w:rsidR="007A57BE" w:rsidRPr="007A57BE" w:rsidRDefault="007A57BE" w:rsidP="007A57BE">
          <w:pPr>
            <w:pStyle w:val="Header"/>
            <w:jc w:val="center"/>
            <w:rPr>
              <w:rFonts w:ascii="Times New Roman" w:hAnsi="Times New Roman" w:cs="Times New Roman"/>
              <w:b/>
              <w:bCs/>
              <w:sz w:val="48"/>
              <w:szCs w:val="48"/>
            </w:rPr>
          </w:pPr>
          <w:r w:rsidRPr="007A57BE">
            <w:rPr>
              <w:rFonts w:ascii="Times New Roman" w:hAnsi="Times New Roman" w:cs="Times New Roman"/>
              <w:b/>
              <w:bCs/>
              <w:color w:val="4472C4" w:themeColor="accent1"/>
              <w:sz w:val="48"/>
              <w:szCs w:val="48"/>
            </w:rPr>
            <w:t xml:space="preserve">Patients For Patient Safety </w:t>
          </w:r>
          <w:r w:rsidRPr="007A57BE">
            <w:rPr>
              <w:rFonts w:ascii="Times New Roman" w:hAnsi="Times New Roman" w:cs="Times New Roman"/>
              <w:b/>
              <w:bCs/>
              <w:color w:val="ED7D31" w:themeColor="accent2"/>
              <w:sz w:val="48"/>
              <w:szCs w:val="48"/>
            </w:rPr>
            <w:t>US</w:t>
          </w:r>
        </w:p>
      </w:tc>
    </w:tr>
  </w:tbl>
  <w:p w14:paraId="2E9BAC2C" w14:textId="77777777" w:rsidR="007A57BE" w:rsidRDefault="007A5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68"/>
    <w:rsid w:val="00212DD8"/>
    <w:rsid w:val="003E1FCC"/>
    <w:rsid w:val="007A57BE"/>
    <w:rsid w:val="009F65C5"/>
    <w:rsid w:val="00CF6D40"/>
    <w:rsid w:val="00D51268"/>
    <w:rsid w:val="00D7087E"/>
    <w:rsid w:val="00F7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1A4A3"/>
  <w15:chartTrackingRefBased/>
  <w15:docId w15:val="{4F84239E-E080-A042-82A9-9E687F79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68"/>
    <w:pPr>
      <w:spacing w:after="0" w:line="240" w:lineRule="auto"/>
    </w:pPr>
  </w:style>
  <w:style w:type="paragraph" w:styleId="Heading1">
    <w:name w:val="heading 1"/>
    <w:basedOn w:val="Normal"/>
    <w:next w:val="Normal"/>
    <w:link w:val="Heading1Char"/>
    <w:uiPriority w:val="9"/>
    <w:qFormat/>
    <w:rsid w:val="007A57B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57B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57B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7BE"/>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7BE"/>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7BE"/>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7BE"/>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7BE"/>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7BE"/>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5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5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7BE"/>
    <w:rPr>
      <w:rFonts w:eastAsiaTheme="majorEastAsia" w:cstheme="majorBidi"/>
      <w:color w:val="272727" w:themeColor="text1" w:themeTint="D8"/>
    </w:rPr>
  </w:style>
  <w:style w:type="paragraph" w:styleId="Title">
    <w:name w:val="Title"/>
    <w:basedOn w:val="Normal"/>
    <w:next w:val="Normal"/>
    <w:link w:val="TitleChar"/>
    <w:uiPriority w:val="10"/>
    <w:qFormat/>
    <w:rsid w:val="007A57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7BE"/>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7BE"/>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A57BE"/>
    <w:rPr>
      <w:i/>
      <w:iCs/>
      <w:color w:val="404040" w:themeColor="text1" w:themeTint="BF"/>
    </w:rPr>
  </w:style>
  <w:style w:type="paragraph" w:styleId="ListParagraph">
    <w:name w:val="List Paragraph"/>
    <w:basedOn w:val="Normal"/>
    <w:uiPriority w:val="34"/>
    <w:qFormat/>
    <w:rsid w:val="007A57BE"/>
    <w:pPr>
      <w:spacing w:after="160" w:line="278" w:lineRule="auto"/>
      <w:ind w:left="720"/>
      <w:contextualSpacing/>
    </w:pPr>
  </w:style>
  <w:style w:type="character" w:styleId="IntenseEmphasis">
    <w:name w:val="Intense Emphasis"/>
    <w:basedOn w:val="DefaultParagraphFont"/>
    <w:uiPriority w:val="21"/>
    <w:qFormat/>
    <w:rsid w:val="007A57BE"/>
    <w:rPr>
      <w:i/>
      <w:iCs/>
      <w:color w:val="2F5496" w:themeColor="accent1" w:themeShade="BF"/>
    </w:rPr>
  </w:style>
  <w:style w:type="paragraph" w:styleId="IntenseQuote">
    <w:name w:val="Intense Quote"/>
    <w:basedOn w:val="Normal"/>
    <w:next w:val="Normal"/>
    <w:link w:val="IntenseQuoteChar"/>
    <w:uiPriority w:val="30"/>
    <w:qFormat/>
    <w:rsid w:val="007A57B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7BE"/>
    <w:rPr>
      <w:i/>
      <w:iCs/>
      <w:color w:val="2F5496" w:themeColor="accent1" w:themeShade="BF"/>
    </w:rPr>
  </w:style>
  <w:style w:type="character" w:styleId="IntenseReference">
    <w:name w:val="Intense Reference"/>
    <w:basedOn w:val="DefaultParagraphFont"/>
    <w:uiPriority w:val="32"/>
    <w:qFormat/>
    <w:rsid w:val="007A57BE"/>
    <w:rPr>
      <w:b/>
      <w:bCs/>
      <w:smallCaps/>
      <w:color w:val="2F5496" w:themeColor="accent1" w:themeShade="BF"/>
      <w:spacing w:val="5"/>
    </w:rPr>
  </w:style>
  <w:style w:type="paragraph" w:styleId="Header">
    <w:name w:val="header"/>
    <w:basedOn w:val="Normal"/>
    <w:link w:val="HeaderChar"/>
    <w:uiPriority w:val="99"/>
    <w:unhideWhenUsed/>
    <w:rsid w:val="007A57BE"/>
    <w:pPr>
      <w:tabs>
        <w:tab w:val="center" w:pos="4680"/>
        <w:tab w:val="right" w:pos="9360"/>
      </w:tabs>
    </w:pPr>
  </w:style>
  <w:style w:type="character" w:customStyle="1" w:styleId="HeaderChar">
    <w:name w:val="Header Char"/>
    <w:basedOn w:val="DefaultParagraphFont"/>
    <w:link w:val="Header"/>
    <w:uiPriority w:val="99"/>
    <w:rsid w:val="007A57BE"/>
  </w:style>
  <w:style w:type="paragraph" w:styleId="Footer">
    <w:name w:val="footer"/>
    <w:basedOn w:val="Normal"/>
    <w:link w:val="FooterChar"/>
    <w:uiPriority w:val="99"/>
    <w:unhideWhenUsed/>
    <w:rsid w:val="007A57BE"/>
    <w:pPr>
      <w:tabs>
        <w:tab w:val="center" w:pos="4680"/>
        <w:tab w:val="right" w:pos="9360"/>
      </w:tabs>
    </w:pPr>
  </w:style>
  <w:style w:type="character" w:customStyle="1" w:styleId="FooterChar">
    <w:name w:val="Footer Char"/>
    <w:basedOn w:val="DefaultParagraphFont"/>
    <w:link w:val="Footer"/>
    <w:uiPriority w:val="99"/>
    <w:rsid w:val="007A57BE"/>
  </w:style>
  <w:style w:type="table" w:styleId="TableGrid">
    <w:name w:val="Table Grid"/>
    <w:basedOn w:val="TableNormal"/>
    <w:uiPriority w:val="39"/>
    <w:rsid w:val="007A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mandonahum/Library/Group%20Containers/UBF8T346G9.Office/User%20Content.localized/Templates.localized/PFPS%20US%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PFPS US Word Template.dotx</Template>
  <TotalTime>2</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Nahum</dc:creator>
  <cp:keywords/>
  <dc:description/>
  <cp:lastModifiedBy>Armando Nahum</cp:lastModifiedBy>
  <cp:revision>1</cp:revision>
  <dcterms:created xsi:type="dcterms:W3CDTF">2026-06-01T19:42:00Z</dcterms:created>
  <dcterms:modified xsi:type="dcterms:W3CDTF">2026-06-01T19:44:00Z</dcterms:modified>
</cp:coreProperties>
</file>