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EC62" w14:textId="7EC8B9AB" w:rsidR="000A7CDF" w:rsidRPr="000A7CDF" w:rsidRDefault="000A7C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</w:t>
      </w:r>
      <w:r w:rsidR="00EE7CEB">
        <w:rPr>
          <w:b/>
          <w:bCs/>
          <w:sz w:val="28"/>
          <w:szCs w:val="28"/>
        </w:rPr>
        <w:t xml:space="preserve"> Plants 2026</w:t>
      </w:r>
    </w:p>
    <w:p w14:paraId="38A0AC66" w14:textId="398C9C97" w:rsidR="007A28B9" w:rsidRDefault="00ED2C0B">
      <w:r>
        <w:t xml:space="preserve">Hi everyone, this is a request from the Flora Committee. The new ‘Flora of Wiltshire’ is gradually being pieced together but analysing some of the records we find there is either a bias in some of the data i.e. differences in recorder effort or distance from home travelled or, just some records that have been missed altogether e.g. recorder not visiting at a particular time of year. In an effort to get as complete a picture as possible recorders will, for this year only, attempt to seek out </w:t>
      </w:r>
      <w:r w:rsidR="00DF5E28">
        <w:t>r</w:t>
      </w:r>
      <w:r>
        <w:t>are or appare</w:t>
      </w:r>
      <w:r w:rsidRPr="007F3804">
        <w:t>nt</w:t>
      </w:r>
      <w:r w:rsidR="00AC7572" w:rsidRPr="007F3804">
        <w:t>ly</w:t>
      </w:r>
      <w:r>
        <w:t xml:space="preserve"> little recorded species</w:t>
      </w:r>
      <w:r w:rsidR="00DF5E28">
        <w:t>.</w:t>
      </w:r>
    </w:p>
    <w:p w14:paraId="5EBA3059" w14:textId="2BD02B23" w:rsidR="00DF5E28" w:rsidRDefault="00DF5E28">
      <w:r>
        <w:t>So as to include our members we have produced another in the series of Good Plants</w:t>
      </w:r>
    </w:p>
    <w:p w14:paraId="43A67FB5" w14:textId="357476FC" w:rsidR="0005389C" w:rsidRDefault="0005389C"/>
    <w:p w14:paraId="32EABB95" w14:textId="3005C812" w:rsidR="0005389C" w:rsidRDefault="000305CA">
      <w:pPr>
        <w:rPr>
          <w:i/>
          <w:iCs/>
        </w:rPr>
      </w:pPr>
      <w:r>
        <w:rPr>
          <w:b/>
          <w:bCs/>
        </w:rPr>
        <w:t xml:space="preserve">Snowdrop </w:t>
      </w:r>
      <w:r w:rsidRPr="000305CA">
        <w:rPr>
          <w:i/>
          <w:iCs/>
        </w:rPr>
        <w:t>Galanthus nivalis</w:t>
      </w:r>
    </w:p>
    <w:p w14:paraId="478C38C1" w14:textId="67470DCA" w:rsidR="000305CA" w:rsidRDefault="000305CA">
      <w:r>
        <w:t>Surely, this plant needs no introduction</w:t>
      </w:r>
      <w:r w:rsidR="008879F5">
        <w:t xml:space="preserve">. </w:t>
      </w:r>
    </w:p>
    <w:p w14:paraId="7CE3EF2F" w14:textId="0B4509F8" w:rsidR="00F313CE" w:rsidRDefault="00F313CE">
      <w:r>
        <w:t xml:space="preserve">As you will see from the </w:t>
      </w:r>
      <w:r w:rsidR="003A11F2">
        <w:t xml:space="preserve">Snowdrop recorded </w:t>
      </w:r>
      <w:r>
        <w:t xml:space="preserve">map </w:t>
      </w:r>
      <w:r w:rsidR="00697CC5">
        <w:t>below</w:t>
      </w:r>
      <w:r>
        <w:t xml:space="preserve"> there </w:t>
      </w:r>
      <w:r w:rsidR="00CB7598">
        <w:t xml:space="preserve">are many ‘white gaps’ indicating no records of any </w:t>
      </w:r>
      <w:r w:rsidR="00386941">
        <w:t>snowdrop in the county.</w:t>
      </w:r>
      <w:r w:rsidR="003A11F2">
        <w:t xml:space="preserve"> </w:t>
      </w:r>
      <w:r w:rsidR="00F457F0">
        <w:t>The grey dots represent pre- 2000 records and the blue ones, post 2000</w:t>
      </w:r>
      <w:r w:rsidR="00D550FF">
        <w:t xml:space="preserve">. </w:t>
      </w:r>
      <w:r w:rsidR="003A11F2">
        <w:t xml:space="preserve">We would like to improve </w:t>
      </w:r>
      <w:r w:rsidR="00D550FF">
        <w:t xml:space="preserve">on this. Can you turn a grey dot blue? </w:t>
      </w:r>
    </w:p>
    <w:p w14:paraId="542EDF10" w14:textId="2374BD0D" w:rsidR="0005389C" w:rsidRPr="00A31D25" w:rsidRDefault="00697CC5">
      <w:r>
        <w:rPr>
          <w:noProof/>
        </w:rPr>
        <w:drawing>
          <wp:anchor distT="0" distB="0" distL="114300" distR="114300" simplePos="0" relativeHeight="251662336" behindDoc="1" locked="0" layoutInCell="1" allowOverlap="1" wp14:anchorId="2564ED06" wp14:editId="461AD16F">
            <wp:simplePos x="0" y="0"/>
            <wp:positionH relativeFrom="column">
              <wp:posOffset>2583180</wp:posOffset>
            </wp:positionH>
            <wp:positionV relativeFrom="paragraph">
              <wp:posOffset>6985</wp:posOffset>
            </wp:positionV>
            <wp:extent cx="3954780" cy="5650230"/>
            <wp:effectExtent l="0" t="0" r="7620" b="7620"/>
            <wp:wrapTight wrapText="bothSides">
              <wp:wrapPolygon edited="0">
                <wp:start x="0" y="0"/>
                <wp:lineTo x="0" y="21556"/>
                <wp:lineTo x="21538" y="21556"/>
                <wp:lineTo x="21538" y="0"/>
                <wp:lineTo x="0" y="0"/>
              </wp:wrapPolygon>
            </wp:wrapTight>
            <wp:docPr id="1201514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14290" name="Picture 12015142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0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3D061" wp14:editId="394E796D">
                <wp:simplePos x="0" y="0"/>
                <wp:positionH relativeFrom="column">
                  <wp:posOffset>5852160</wp:posOffset>
                </wp:positionH>
                <wp:positionV relativeFrom="paragraph">
                  <wp:posOffset>1640205</wp:posOffset>
                </wp:positionV>
                <wp:extent cx="640080" cy="259080"/>
                <wp:effectExtent l="0" t="0" r="26670" b="26670"/>
                <wp:wrapNone/>
                <wp:docPr id="20876493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B540F" w14:textId="0E3D4C39" w:rsidR="00EC4039" w:rsidRPr="005C675B" w:rsidRDefault="00EC40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675B">
                              <w:rPr>
                                <w:sz w:val="20"/>
                                <w:szCs w:val="20"/>
                              </w:rPr>
                              <w:t>©</w:t>
                            </w:r>
                            <w:r w:rsidR="005C675B" w:rsidRPr="005C675B">
                              <w:rPr>
                                <w:sz w:val="20"/>
                                <w:szCs w:val="20"/>
                              </w:rPr>
                              <w:t xml:space="preserve"> BSBI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D06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0.8pt;margin-top:129.15pt;width:50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roNQIAAHsEAAAOAAAAZHJzL2Uyb0RvYy54bWysVE1v2zAMvQ/YfxB0X+ykSdcacYosRYYB&#10;QVsgLXpWZCk2KouapMTOfv0o2flot9Owi0yJ1BP5+OjpXVsrshfWVaBzOhyklAjNoaj0Nqcvz8sv&#10;N5Q4z3TBFGiR04Nw9G72+dO0MZkYQQmqEJYgiHZZY3Jaem+yJHG8FDVzAzBCo1OCrZnHrd0mhWUN&#10;otcqGaXpddKALYwFLpzD0/vOSWcRX0rB/aOUTniicoq5+bjauG7CmsymLNtaZsqK92mwf8iiZpXG&#10;R09Q98wzsrPVH1B1xS04kH7AoU5AyoqLWANWM0w/VLMumRGxFiTHmRNN7v/B8of92jxZ4ttv0GID&#10;AyGNcZnDw1BPK20dvpgpQT9SeDjRJlpPOB5ej9P0Bj0cXaPJbbARJTlfNtb57wJqEoycWuxKJIvt&#10;V853oceQ8JYDVRXLSqm4CUoQC2XJnmEPlY8pIvi7KKVJg4lcTdII/M4XoE/3N4rxtz69iyjEUxpz&#10;PpceLN9u2p6PDRQHpMlCpyBn+LJC3BVz/olZlAzWj2PgH3GRCjAZ6C1KSrC//nYe4rGT6KWkQQnm&#10;1P3cMSsoUT809vh2OB4HzcbNePJ1hBt76dlcevSuXgAyNMSBMzyaId6roykt1K84LfPwKrqY5vh2&#10;Tv3RXPhuMHDauJjPYxCq1DC/0mvDA3ToSODzuX1l1vT99CiEBziKlWUf2trFhpsa5jsPsoo9DwR3&#10;rPa8o8KjavppDCN0uY9R53/G7DcAAAD//wMAUEsDBBQABgAIAAAAIQBNLU8E3gAAAAwBAAAPAAAA&#10;ZHJzL2Rvd25yZXYueG1sTI/BTsMwDIbvSLxDZCRuLG2AqS1NJ0CDCycG4pw1XhLROFWTdeXtyU5w&#10;tP3p9/e3m8UPbMYpukASylUBDKkP2pGR8PnxclMBi0mRVkMglPCDETbd5UWrGh1O9I7zLhmWQyg2&#10;SoJNaWw4j71Fr+IqjEj5dgiTVymPk+F6Uqcc7gcuimLNvXKUP1g14rPF/nt39BK2T6Y2faUmu620&#10;c/PydXgzr1JeXy2PD8ASLukPhrN+VocuO+3DkXRkg4RalOuMShD31S2wM1EIcQdsn1d1XQLvWv6/&#10;RPcLAAD//wMAUEsBAi0AFAAGAAgAAAAhALaDOJL+AAAA4QEAABMAAAAAAAAAAAAAAAAAAAAAAFtD&#10;b250ZW50X1R5cGVzXS54bWxQSwECLQAUAAYACAAAACEAOP0h/9YAAACUAQAACwAAAAAAAAAAAAAA&#10;AAAvAQAAX3JlbHMvLnJlbHNQSwECLQAUAAYACAAAACEA1M8K6DUCAAB7BAAADgAAAAAAAAAAAAAA&#10;AAAuAgAAZHJzL2Uyb0RvYy54bWxQSwECLQAUAAYACAAAACEATS1PBN4AAAAMAQAADwAAAAAAAAAA&#10;AAAAAACPBAAAZHJzL2Rvd25yZXYueG1sUEsFBgAAAAAEAAQA8wAAAJoFAAAAAA==&#10;" fillcolor="white [3201]" strokeweight=".5pt">
                <v:textbox>
                  <w:txbxContent>
                    <w:p w14:paraId="3A8B540F" w14:textId="0E3D4C39" w:rsidR="00EC4039" w:rsidRPr="005C675B" w:rsidRDefault="00EC4039">
                      <w:pPr>
                        <w:rPr>
                          <w:sz w:val="20"/>
                          <w:szCs w:val="20"/>
                        </w:rPr>
                      </w:pPr>
                      <w:r w:rsidRPr="005C675B">
                        <w:rPr>
                          <w:sz w:val="20"/>
                          <w:szCs w:val="20"/>
                        </w:rPr>
                        <w:t>©</w:t>
                      </w:r>
                      <w:r w:rsidR="005C675B" w:rsidRPr="005C675B">
                        <w:rPr>
                          <w:sz w:val="20"/>
                          <w:szCs w:val="20"/>
                        </w:rPr>
                        <w:t xml:space="preserve"> BSBI</w:t>
                      </w:r>
                    </w:p>
                  </w:txbxContent>
                </v:textbox>
              </v:shape>
            </w:pict>
          </mc:Fallback>
        </mc:AlternateContent>
      </w:r>
      <w:r w:rsidR="00386941">
        <w:t xml:space="preserve">There are </w:t>
      </w:r>
      <w:r w:rsidR="00AF4421">
        <w:t xml:space="preserve">several species </w:t>
      </w:r>
      <w:r w:rsidR="00F679EF">
        <w:t xml:space="preserve">of Snowdrop </w:t>
      </w:r>
      <w:r w:rsidR="00AF4421">
        <w:t xml:space="preserve">with </w:t>
      </w:r>
      <w:proofErr w:type="spellStart"/>
      <w:r w:rsidR="00AF4421">
        <w:rPr>
          <w:i/>
          <w:iCs/>
        </w:rPr>
        <w:t>G.nivalis</w:t>
      </w:r>
      <w:proofErr w:type="spellEnd"/>
      <w:r w:rsidR="00AF4421">
        <w:rPr>
          <w:i/>
          <w:iCs/>
        </w:rPr>
        <w:t xml:space="preserve"> </w:t>
      </w:r>
      <w:r w:rsidR="00F679EF">
        <w:t xml:space="preserve">probably the most </w:t>
      </w:r>
      <w:r w:rsidR="00AF4421">
        <w:t xml:space="preserve"> common</w:t>
      </w:r>
      <w:r w:rsidR="00600E47">
        <w:t xml:space="preserve">. </w:t>
      </w:r>
      <w:r w:rsidR="003A0A32">
        <w:t>The</w:t>
      </w:r>
      <w:r w:rsidR="00B221B0">
        <w:t>se</w:t>
      </w:r>
      <w:r w:rsidR="003A0A32">
        <w:t xml:space="preserve"> species readily </w:t>
      </w:r>
      <w:r w:rsidR="00B221B0">
        <w:t>hybridise</w:t>
      </w:r>
      <w:r w:rsidR="003A0A32">
        <w:t xml:space="preserve"> with </w:t>
      </w:r>
      <w:r w:rsidR="00072588">
        <w:t xml:space="preserve">each other either naturally or in cultivation and </w:t>
      </w:r>
      <w:r w:rsidR="00B221B0">
        <w:t>there are many hundreds of named cultivars</w:t>
      </w:r>
      <w:r w:rsidR="00864584">
        <w:t xml:space="preserve">. We </w:t>
      </w:r>
      <w:r w:rsidR="00072588">
        <w:t xml:space="preserve">do not expect you to </w:t>
      </w:r>
      <w:r w:rsidR="0056542B">
        <w:t xml:space="preserve">attempt to </w:t>
      </w:r>
      <w:r w:rsidR="00864584">
        <w:t>identify to species o</w:t>
      </w:r>
      <w:r w:rsidR="00C2487A">
        <w:t>r name a cultivar!</w:t>
      </w:r>
      <w:r w:rsidR="004D7731">
        <w:t xml:space="preserve"> Under the Snowdrop heading in the upcoming new Flora will be a </w:t>
      </w:r>
      <w:r w:rsidR="00A31D25">
        <w:t xml:space="preserve">caveat </w:t>
      </w:r>
      <w:r w:rsidR="00E04D84">
        <w:t>indicating</w:t>
      </w:r>
      <w:r w:rsidR="00A31D25">
        <w:t xml:space="preserve"> that </w:t>
      </w:r>
      <w:proofErr w:type="spellStart"/>
      <w:r w:rsidR="00A31D25">
        <w:rPr>
          <w:i/>
          <w:iCs/>
        </w:rPr>
        <w:t>G.nivalis</w:t>
      </w:r>
      <w:proofErr w:type="spellEnd"/>
      <w:r w:rsidR="00A31D25">
        <w:rPr>
          <w:i/>
          <w:iCs/>
        </w:rPr>
        <w:t xml:space="preserve"> </w:t>
      </w:r>
      <w:r w:rsidR="00A31D25">
        <w:t>will likely include</w:t>
      </w:r>
      <w:r w:rsidR="00803B6D">
        <w:t xml:space="preserve"> other species and hybrids.</w:t>
      </w:r>
    </w:p>
    <w:p w14:paraId="0FD8C848" w14:textId="2EF81A86" w:rsidR="00EB741B" w:rsidRDefault="00803B6D">
      <w:r>
        <w:t>In the usual way, we would l</w:t>
      </w:r>
      <w:r w:rsidR="006854A9">
        <w:t>ike you to give us at least a six-figure grid reference</w:t>
      </w:r>
      <w:r w:rsidR="00C93582">
        <w:t>, the site and where it</w:t>
      </w:r>
      <w:r w:rsidR="00F21087">
        <w:t xml:space="preserve"> is</w:t>
      </w:r>
      <w:r w:rsidR="00C93582">
        <w:t xml:space="preserve"> growing</w:t>
      </w:r>
      <w:r w:rsidR="005A5A40">
        <w:t xml:space="preserve"> together with how well </w:t>
      </w:r>
      <w:r w:rsidR="00BD2D08">
        <w:t>established</w:t>
      </w:r>
      <w:r w:rsidR="005A5A40">
        <w:t xml:space="preserve"> they are</w:t>
      </w:r>
      <w:r w:rsidR="009662E7">
        <w:t xml:space="preserve"> e.g. </w:t>
      </w:r>
      <w:r w:rsidR="00306626">
        <w:t>A361 Beckhampton Road, SU</w:t>
      </w:r>
      <w:r w:rsidR="00DE1736">
        <w:t>082687</w:t>
      </w:r>
      <w:r w:rsidR="000907C2">
        <w:t>. Many patches on roadside verge</w:t>
      </w:r>
      <w:r w:rsidR="001120E0">
        <w:t>, probably dumped but now established and spreading into ditch.</w:t>
      </w:r>
      <w:r w:rsidR="00D96171">
        <w:t xml:space="preserve"> Or maybe</w:t>
      </w:r>
      <w:r w:rsidR="00807053">
        <w:t>, originally planted but now well-established and spreading across verge.</w:t>
      </w:r>
    </w:p>
    <w:p w14:paraId="3EA6E47E" w14:textId="00235C8E" w:rsidR="0005389C" w:rsidRDefault="00EB741B">
      <w:r>
        <w:t>Please</w:t>
      </w:r>
      <w:r w:rsidR="00397EFE">
        <w:t>,</w:t>
      </w:r>
      <w:r>
        <w:t xml:space="preserve"> no records from churchyards</w:t>
      </w:r>
      <w:r w:rsidR="008F5F94">
        <w:t>, public parks</w:t>
      </w:r>
      <w:r w:rsidR="00D550FF">
        <w:t xml:space="preserve"> or private </w:t>
      </w:r>
      <w:r w:rsidR="002E3424">
        <w:t>gardens.</w:t>
      </w:r>
      <w:r w:rsidR="00803B6D">
        <w:t xml:space="preserve">                                                                           </w:t>
      </w:r>
    </w:p>
    <w:p w14:paraId="30205C52" w14:textId="77777777" w:rsidR="0005389C" w:rsidRDefault="0005389C"/>
    <w:p w14:paraId="6D960DCD" w14:textId="77777777" w:rsidR="00D550FF" w:rsidRDefault="00D550FF" w:rsidP="00255D37">
      <w:pPr>
        <w:rPr>
          <w:b/>
          <w:bCs/>
        </w:rPr>
      </w:pPr>
    </w:p>
    <w:p w14:paraId="78D3B8DB" w14:textId="77777777" w:rsidR="00D550FF" w:rsidRDefault="00D550FF" w:rsidP="00255D37">
      <w:pPr>
        <w:rPr>
          <w:b/>
          <w:bCs/>
        </w:rPr>
      </w:pPr>
    </w:p>
    <w:p w14:paraId="61268AB0" w14:textId="309C5774" w:rsidR="00255D37" w:rsidRDefault="00255D37" w:rsidP="00255D37">
      <w:pPr>
        <w:rPr>
          <w:b/>
          <w:bCs/>
          <w:i/>
          <w:iCs/>
        </w:rPr>
      </w:pPr>
      <w:r w:rsidRPr="00255D37">
        <w:rPr>
          <w:b/>
          <w:bCs/>
        </w:rPr>
        <w:lastRenderedPageBreak/>
        <w:t xml:space="preserve">Grey Field-speedwell </w:t>
      </w:r>
      <w:r w:rsidRPr="00255D37">
        <w:rPr>
          <w:b/>
          <w:bCs/>
          <w:i/>
          <w:iCs/>
        </w:rPr>
        <w:t>Veronica polita</w:t>
      </w:r>
      <w:r w:rsidRPr="00255D37">
        <w:rPr>
          <w:b/>
          <w:bCs/>
        </w:rPr>
        <w:t xml:space="preserve"> and Green Field-speedwell </w:t>
      </w:r>
      <w:r w:rsidRPr="00255D37">
        <w:rPr>
          <w:b/>
          <w:bCs/>
          <w:i/>
          <w:iCs/>
        </w:rPr>
        <w:t>Veronica agrestis</w:t>
      </w:r>
    </w:p>
    <w:p w14:paraId="4EA67845" w14:textId="72063ECC" w:rsidR="00255D37" w:rsidRDefault="007A6D21" w:rsidP="00255D37">
      <w:r>
        <w:t>These two species have been added</w:t>
      </w:r>
      <w:r w:rsidR="00EC1889">
        <w:t xml:space="preserve"> as they tend to be early flowering; for instance</w:t>
      </w:r>
      <w:r w:rsidR="00DC7280">
        <w:t>,</w:t>
      </w:r>
      <w:r w:rsidR="00EC1889">
        <w:t xml:space="preserve"> both species were recorded on this year</w:t>
      </w:r>
      <w:r w:rsidR="00CD52E8">
        <w:t>’s New Year Plant Hunt. References will comment that the flowering period is around March to November however hot summers can mean frazzled plants</w:t>
      </w:r>
      <w:r w:rsidR="00DC7280">
        <w:t xml:space="preserve"> and the species get missed</w:t>
      </w:r>
      <w:r w:rsidR="00CC235C">
        <w:t>. Both of these can be found in the corners or margins of arable fields</w:t>
      </w:r>
      <w:r w:rsidR="002F1024">
        <w:t>, in gardens and allotments</w:t>
      </w:r>
      <w:r w:rsidR="0033628A">
        <w:t xml:space="preserve"> </w:t>
      </w:r>
      <w:r w:rsidR="009A5AC6">
        <w:t xml:space="preserve">and often </w:t>
      </w:r>
      <w:r w:rsidR="0033628A">
        <w:t>in cracks in paving.</w:t>
      </w:r>
    </w:p>
    <w:p w14:paraId="5B2AD010" w14:textId="57A6A51E" w:rsidR="002E3424" w:rsidRDefault="001770D9" w:rsidP="00255D37">
      <w:r>
        <w:t>The</w:t>
      </w:r>
      <w:r w:rsidR="00065FF3">
        <w:t>re are too many grey dots</w:t>
      </w:r>
      <w:r w:rsidR="00FD5F56">
        <w:t xml:space="preserve"> on these plans. Can you make them blue?</w:t>
      </w:r>
    </w:p>
    <w:p w14:paraId="26A825C4" w14:textId="77777777" w:rsidR="003F7925" w:rsidRDefault="003F7925" w:rsidP="003F7925">
      <w:r>
        <w:t xml:space="preserve">Instead of descriptions, we point you to </w:t>
      </w:r>
      <w:r w:rsidRPr="007F3804">
        <w:t xml:space="preserve">page 4 of </w:t>
      </w:r>
      <w:r>
        <w:t>the excellent article on Speedwells on the BSBI website.</w:t>
      </w:r>
    </w:p>
    <w:p w14:paraId="1BBDAA0B" w14:textId="77777777" w:rsidR="003F7925" w:rsidRDefault="003F7925" w:rsidP="003F7925">
      <w:hyperlink r:id="rId5" w:history="1">
        <w:r w:rsidRPr="00B47940">
          <w:rPr>
            <w:rStyle w:val="Hyperlink"/>
          </w:rPr>
          <w:t>https://webprototype.bsbi.org/media/pages/file-archive/a7f00b75b0-1756475407/bsbi-news-158-pp21-24-beginners-corner-speedwells-part1.pdf</w:t>
        </w:r>
      </w:hyperlink>
    </w:p>
    <w:p w14:paraId="0D90616B" w14:textId="77777777" w:rsidR="0079631C" w:rsidRDefault="0079631C" w:rsidP="00255D37"/>
    <w:p w14:paraId="34448F03" w14:textId="7A5BFE24" w:rsidR="00AC7977" w:rsidRDefault="0079631C" w:rsidP="00255D37"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E8BE3B4" wp14:editId="50ED4B16">
            <wp:extent cx="3114259" cy="4448810"/>
            <wp:effectExtent l="0" t="0" r="0" b="8890"/>
            <wp:docPr id="8802790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79094" name="Picture 8802790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992" cy="44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19561EA" wp14:editId="5E4DAC9E">
            <wp:extent cx="3119756" cy="4456668"/>
            <wp:effectExtent l="0" t="0" r="4445" b="1270"/>
            <wp:docPr id="15598311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31100" name="Picture 15598311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60" cy="447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0917" w14:textId="77777777" w:rsidR="00AC7977" w:rsidRDefault="00AC7977" w:rsidP="00255D37"/>
    <w:p w14:paraId="65BF4776" w14:textId="77777777" w:rsidR="00A676F0" w:rsidRDefault="00A676F0" w:rsidP="00255D37"/>
    <w:p w14:paraId="6888CBD8" w14:textId="43D9286F" w:rsidR="00A676F0" w:rsidRDefault="003F317D" w:rsidP="00255D37">
      <w:r>
        <w:t>Every record counts, even just one</w:t>
      </w:r>
      <w:r w:rsidR="000333BC">
        <w:t>, thank you</w:t>
      </w:r>
    </w:p>
    <w:p w14:paraId="5FB68DD5" w14:textId="2AD1ED08" w:rsidR="008A7A06" w:rsidRDefault="008A7A06" w:rsidP="00255D37">
      <w:r>
        <w:t>WBS Flora Committee</w:t>
      </w:r>
    </w:p>
    <w:p w14:paraId="3FDC1251" w14:textId="77777777" w:rsidR="008A7A06" w:rsidRPr="00255D37" w:rsidRDefault="008A7A06" w:rsidP="00255D37"/>
    <w:p w14:paraId="7B3AF9CB" w14:textId="77777777" w:rsidR="0005389C" w:rsidRDefault="0005389C"/>
    <w:sectPr w:rsidR="0005389C" w:rsidSect="00255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0B"/>
    <w:rsid w:val="000305CA"/>
    <w:rsid w:val="000333BC"/>
    <w:rsid w:val="0003714E"/>
    <w:rsid w:val="00043E09"/>
    <w:rsid w:val="000450C1"/>
    <w:rsid w:val="0005141D"/>
    <w:rsid w:val="0005389C"/>
    <w:rsid w:val="00062B97"/>
    <w:rsid w:val="00065FF3"/>
    <w:rsid w:val="00072588"/>
    <w:rsid w:val="00072A58"/>
    <w:rsid w:val="000907C2"/>
    <w:rsid w:val="000A7CDF"/>
    <w:rsid w:val="000D6386"/>
    <w:rsid w:val="000E3F17"/>
    <w:rsid w:val="00107442"/>
    <w:rsid w:val="001120E0"/>
    <w:rsid w:val="001427F2"/>
    <w:rsid w:val="0015479E"/>
    <w:rsid w:val="001669D1"/>
    <w:rsid w:val="001770D9"/>
    <w:rsid w:val="0019001E"/>
    <w:rsid w:val="001A7CA1"/>
    <w:rsid w:val="001B7A4D"/>
    <w:rsid w:val="00205679"/>
    <w:rsid w:val="00254EC6"/>
    <w:rsid w:val="00255D37"/>
    <w:rsid w:val="002871B5"/>
    <w:rsid w:val="002A01A3"/>
    <w:rsid w:val="002E3424"/>
    <w:rsid w:val="002F1024"/>
    <w:rsid w:val="002F2580"/>
    <w:rsid w:val="002F551E"/>
    <w:rsid w:val="00306626"/>
    <w:rsid w:val="003153E1"/>
    <w:rsid w:val="003340FA"/>
    <w:rsid w:val="0033628A"/>
    <w:rsid w:val="00386941"/>
    <w:rsid w:val="00397EFE"/>
    <w:rsid w:val="003A0A32"/>
    <w:rsid w:val="003A11F2"/>
    <w:rsid w:val="003B02FB"/>
    <w:rsid w:val="003C57D2"/>
    <w:rsid w:val="003F179B"/>
    <w:rsid w:val="003F317D"/>
    <w:rsid w:val="003F7925"/>
    <w:rsid w:val="00440B43"/>
    <w:rsid w:val="0046491C"/>
    <w:rsid w:val="00472401"/>
    <w:rsid w:val="00475017"/>
    <w:rsid w:val="004814E1"/>
    <w:rsid w:val="004877EB"/>
    <w:rsid w:val="004B2850"/>
    <w:rsid w:val="004D7731"/>
    <w:rsid w:val="005070D6"/>
    <w:rsid w:val="0056542B"/>
    <w:rsid w:val="00581D76"/>
    <w:rsid w:val="005A5A40"/>
    <w:rsid w:val="005C675B"/>
    <w:rsid w:val="005F55CA"/>
    <w:rsid w:val="00600E47"/>
    <w:rsid w:val="0061420E"/>
    <w:rsid w:val="0062443E"/>
    <w:rsid w:val="00644F07"/>
    <w:rsid w:val="00650545"/>
    <w:rsid w:val="00660B92"/>
    <w:rsid w:val="00673783"/>
    <w:rsid w:val="006854A9"/>
    <w:rsid w:val="00697CC5"/>
    <w:rsid w:val="006B6F2E"/>
    <w:rsid w:val="006C7D80"/>
    <w:rsid w:val="006E24BB"/>
    <w:rsid w:val="00734E75"/>
    <w:rsid w:val="007452A8"/>
    <w:rsid w:val="0075578A"/>
    <w:rsid w:val="00772808"/>
    <w:rsid w:val="0079631C"/>
    <w:rsid w:val="007975B1"/>
    <w:rsid w:val="007A28B9"/>
    <w:rsid w:val="007A6D21"/>
    <w:rsid w:val="007C094B"/>
    <w:rsid w:val="007C7C85"/>
    <w:rsid w:val="007D3DC3"/>
    <w:rsid w:val="007F3804"/>
    <w:rsid w:val="00803B6D"/>
    <w:rsid w:val="00807053"/>
    <w:rsid w:val="00837999"/>
    <w:rsid w:val="00864584"/>
    <w:rsid w:val="008878D6"/>
    <w:rsid w:val="008879F5"/>
    <w:rsid w:val="00895ACB"/>
    <w:rsid w:val="008A7A06"/>
    <w:rsid w:val="008B2980"/>
    <w:rsid w:val="008C6E7A"/>
    <w:rsid w:val="008E121D"/>
    <w:rsid w:val="008F5F94"/>
    <w:rsid w:val="00902628"/>
    <w:rsid w:val="00914F79"/>
    <w:rsid w:val="009175A7"/>
    <w:rsid w:val="009662E7"/>
    <w:rsid w:val="009A528A"/>
    <w:rsid w:val="009A5AC6"/>
    <w:rsid w:val="009C227F"/>
    <w:rsid w:val="00A31D25"/>
    <w:rsid w:val="00A32E2A"/>
    <w:rsid w:val="00A676F0"/>
    <w:rsid w:val="00AA1BB4"/>
    <w:rsid w:val="00AC2A46"/>
    <w:rsid w:val="00AC7572"/>
    <w:rsid w:val="00AC7977"/>
    <w:rsid w:val="00AE31AA"/>
    <w:rsid w:val="00AF4421"/>
    <w:rsid w:val="00B02794"/>
    <w:rsid w:val="00B221B0"/>
    <w:rsid w:val="00B417AA"/>
    <w:rsid w:val="00B43B0F"/>
    <w:rsid w:val="00B44329"/>
    <w:rsid w:val="00B964A6"/>
    <w:rsid w:val="00BD2D08"/>
    <w:rsid w:val="00C07F2D"/>
    <w:rsid w:val="00C2487A"/>
    <w:rsid w:val="00C45923"/>
    <w:rsid w:val="00C5793E"/>
    <w:rsid w:val="00C6327D"/>
    <w:rsid w:val="00C93582"/>
    <w:rsid w:val="00C97457"/>
    <w:rsid w:val="00CB7598"/>
    <w:rsid w:val="00CB78D8"/>
    <w:rsid w:val="00CC235C"/>
    <w:rsid w:val="00CD52E8"/>
    <w:rsid w:val="00CE06AE"/>
    <w:rsid w:val="00D15E49"/>
    <w:rsid w:val="00D3197D"/>
    <w:rsid w:val="00D4287B"/>
    <w:rsid w:val="00D550FF"/>
    <w:rsid w:val="00D60192"/>
    <w:rsid w:val="00D64F00"/>
    <w:rsid w:val="00D64FC0"/>
    <w:rsid w:val="00D96171"/>
    <w:rsid w:val="00DB7C98"/>
    <w:rsid w:val="00DC7280"/>
    <w:rsid w:val="00DE1736"/>
    <w:rsid w:val="00DF4A3A"/>
    <w:rsid w:val="00DF5E28"/>
    <w:rsid w:val="00E04D84"/>
    <w:rsid w:val="00E27AC3"/>
    <w:rsid w:val="00E547ED"/>
    <w:rsid w:val="00E816B5"/>
    <w:rsid w:val="00EB741B"/>
    <w:rsid w:val="00EC1889"/>
    <w:rsid w:val="00EC4039"/>
    <w:rsid w:val="00ED2C0B"/>
    <w:rsid w:val="00EE7CEB"/>
    <w:rsid w:val="00F21087"/>
    <w:rsid w:val="00F26C38"/>
    <w:rsid w:val="00F313CE"/>
    <w:rsid w:val="00F457F0"/>
    <w:rsid w:val="00F678C8"/>
    <w:rsid w:val="00F679EF"/>
    <w:rsid w:val="00FB4B98"/>
    <w:rsid w:val="00FB79C9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A1BD"/>
  <w15:chartTrackingRefBased/>
  <w15:docId w15:val="{3F21174D-612B-4214-8D9A-30770A35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C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C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C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C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C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C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C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C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C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C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C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C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C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C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C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C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C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C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ebprototype.bsbi.org/media/pages/file-archive/a7f00b75b0-1756475407/bsbi-news-158-pp21-24-beginners-corner-speedwells-part1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Buckland</dc:creator>
  <cp:keywords/>
  <dc:description/>
  <cp:lastModifiedBy>Martin Buckland</cp:lastModifiedBy>
  <cp:revision>152</cp:revision>
  <dcterms:created xsi:type="dcterms:W3CDTF">2026-01-08T14:19:00Z</dcterms:created>
  <dcterms:modified xsi:type="dcterms:W3CDTF">2026-01-27T09:46:00Z</dcterms:modified>
</cp:coreProperties>
</file>