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3C64" w14:textId="77777777" w:rsidR="00DC0384" w:rsidRPr="00DC0384" w:rsidRDefault="00613223" w:rsidP="00DC0384">
      <w:pPr>
        <w:jc w:val="center"/>
        <w:rPr>
          <w:rFonts w:ascii="Calibri" w:hAnsi="Calibri" w:cs="Calibri"/>
          <w:b/>
          <w:bCs/>
          <w:sz w:val="32"/>
          <w:szCs w:val="32"/>
        </w:rPr>
      </w:pPr>
      <w:r w:rsidRPr="00DC0384">
        <w:rPr>
          <w:rFonts w:ascii="Calibri" w:hAnsi="Calibri" w:cs="Calibri"/>
          <w:b/>
          <w:bCs/>
          <w:sz w:val="32"/>
          <w:szCs w:val="32"/>
        </w:rPr>
        <w:t xml:space="preserve">Questions </w:t>
      </w:r>
      <w:r w:rsidR="00DC0384" w:rsidRPr="00DC0384">
        <w:rPr>
          <w:rFonts w:ascii="Calibri" w:hAnsi="Calibri" w:cs="Calibri"/>
          <w:b/>
          <w:bCs/>
          <w:sz w:val="32"/>
          <w:szCs w:val="32"/>
        </w:rPr>
        <w:t xml:space="preserve">and Reponses </w:t>
      </w:r>
    </w:p>
    <w:p w14:paraId="3BDE1971" w14:textId="3C764762" w:rsidR="00613223" w:rsidRPr="00DC0384" w:rsidRDefault="00613223" w:rsidP="00DC0384">
      <w:pPr>
        <w:jc w:val="center"/>
        <w:rPr>
          <w:rFonts w:ascii="Calibri" w:hAnsi="Calibri" w:cs="Calibri"/>
          <w:b/>
          <w:bCs/>
          <w:sz w:val="28"/>
          <w:szCs w:val="28"/>
        </w:rPr>
      </w:pPr>
      <w:r w:rsidRPr="00DC0384">
        <w:rPr>
          <w:rFonts w:ascii="Calibri" w:hAnsi="Calibri" w:cs="Calibri"/>
          <w:b/>
          <w:bCs/>
          <w:sz w:val="28"/>
          <w:szCs w:val="28"/>
        </w:rPr>
        <w:t>COGWORKS Disaster Handling &amp; Cleanup Services RFP 2526</w:t>
      </w:r>
    </w:p>
    <w:p w14:paraId="027830B3" w14:textId="77777777" w:rsidR="00613223" w:rsidRPr="00DC0384" w:rsidRDefault="00613223" w:rsidP="00613223">
      <w:pPr>
        <w:rPr>
          <w:rFonts w:ascii="Calibri" w:hAnsi="Calibri" w:cs="Calibri"/>
        </w:rPr>
      </w:pPr>
    </w:p>
    <w:p w14:paraId="746113B9" w14:textId="516DC4B8" w:rsidR="00613223" w:rsidRDefault="00613223" w:rsidP="00DC0384">
      <w:pPr>
        <w:pStyle w:val="ListParagraph"/>
        <w:numPr>
          <w:ilvl w:val="0"/>
          <w:numId w:val="2"/>
        </w:numPr>
        <w:rPr>
          <w:rFonts w:ascii="Calibri" w:hAnsi="Calibri" w:cs="Calibri"/>
          <w:color w:val="EE0000"/>
        </w:rPr>
      </w:pPr>
      <w:r w:rsidRPr="004D3186">
        <w:rPr>
          <w:rFonts w:ascii="Calibri" w:hAnsi="Calibri" w:cs="Calibri"/>
        </w:rPr>
        <w:t>Please clarify whether proposers are expected to submit their own unit pricing for the service and then apply the percentage discount, or if the percentage is intended to be applied to a market price established by the Owner</w:t>
      </w:r>
      <w:r w:rsidRPr="004D3186">
        <w:rPr>
          <w:rFonts w:ascii="Calibri" w:hAnsi="Calibri" w:cs="Calibri"/>
          <w:color w:val="EE0000"/>
        </w:rPr>
        <w:t xml:space="preserve">. Response: the proposer will determine the applicable current market price per cubic yard </w:t>
      </w:r>
      <w:r w:rsidRPr="004D3186">
        <w:rPr>
          <w:rFonts w:ascii="Calibri" w:hAnsi="Calibri" w:cs="Calibri"/>
          <w:color w:val="EE0000"/>
          <w:u w:val="single"/>
        </w:rPr>
        <w:t>at the time services are requested</w:t>
      </w:r>
      <w:r w:rsidRPr="004D3186">
        <w:rPr>
          <w:rFonts w:ascii="Calibri" w:hAnsi="Calibri" w:cs="Calibri"/>
          <w:color w:val="EE0000"/>
        </w:rPr>
        <w:t>. The percentage discount submitted by each proposer will then be applied to that established market price to calculate the rate.</w:t>
      </w:r>
    </w:p>
    <w:p w14:paraId="7486D284" w14:textId="77777777" w:rsidR="002E5B7B" w:rsidRPr="004D3186" w:rsidRDefault="002E5B7B" w:rsidP="002E5B7B">
      <w:pPr>
        <w:pStyle w:val="ListParagraph"/>
        <w:rPr>
          <w:rFonts w:ascii="Calibri" w:hAnsi="Calibri" w:cs="Calibri"/>
          <w:color w:val="EE0000"/>
        </w:rPr>
      </w:pPr>
    </w:p>
    <w:p w14:paraId="5A6C05C6" w14:textId="280B5ED5" w:rsidR="00DC0384" w:rsidRDefault="00613223" w:rsidP="00DC0384">
      <w:pPr>
        <w:pStyle w:val="ListParagraph"/>
        <w:numPr>
          <w:ilvl w:val="0"/>
          <w:numId w:val="2"/>
        </w:numPr>
        <w:rPr>
          <w:rFonts w:ascii="Calibri" w:hAnsi="Calibri" w:cs="Calibri"/>
          <w:color w:val="EE0000"/>
        </w:rPr>
      </w:pPr>
      <w:r w:rsidRPr="004D3186">
        <w:rPr>
          <w:rFonts w:ascii="Calibri" w:hAnsi="Calibri" w:cs="Calibri"/>
        </w:rPr>
        <w:t xml:space="preserve">In disaster response operations, tipping fees are typically paid by the contractor and billed to the customer at actual cost, without markup. Please confirm whether this approach would be acceptable. </w:t>
      </w:r>
      <w:r w:rsidRPr="004D3186">
        <w:rPr>
          <w:rFonts w:ascii="Calibri" w:hAnsi="Calibri" w:cs="Calibri"/>
          <w:color w:val="EE0000"/>
        </w:rPr>
        <w:t>Response: the tipping fee can be paid by the proposer and reimbursed by the customer at actual cost, with no markup, based on the landfill(s) utilized for each specific activation. The proposer will be required to provide appropriate documentation (e.g., landfill receipts or invoices) to support reimbursement</w:t>
      </w:r>
      <w:r w:rsidR="00DC0384" w:rsidRPr="004D3186">
        <w:rPr>
          <w:rFonts w:ascii="Calibri" w:hAnsi="Calibri" w:cs="Calibri"/>
          <w:color w:val="EE0000"/>
        </w:rPr>
        <w:t>.</w:t>
      </w:r>
    </w:p>
    <w:p w14:paraId="0DB84089" w14:textId="77777777" w:rsidR="002E5B7B" w:rsidRPr="004D3186" w:rsidRDefault="002E5B7B" w:rsidP="002E5B7B">
      <w:pPr>
        <w:pStyle w:val="ListParagraph"/>
        <w:rPr>
          <w:rFonts w:ascii="Calibri" w:hAnsi="Calibri" w:cs="Calibri"/>
          <w:color w:val="EE0000"/>
        </w:rPr>
      </w:pPr>
    </w:p>
    <w:p w14:paraId="6DC5FC25" w14:textId="0D8FE5D4" w:rsidR="00DC0384" w:rsidRDefault="00DC0384" w:rsidP="00DC0384">
      <w:pPr>
        <w:pStyle w:val="ListParagraph"/>
        <w:numPr>
          <w:ilvl w:val="0"/>
          <w:numId w:val="2"/>
        </w:numPr>
        <w:rPr>
          <w:rFonts w:ascii="Calibri" w:hAnsi="Calibri" w:cs="Calibri"/>
          <w:color w:val="EE0000"/>
        </w:rPr>
      </w:pPr>
      <w:r w:rsidRPr="004D3186">
        <w:rPr>
          <w:rFonts w:ascii="Calibri" w:hAnsi="Calibri" w:cs="Calibri"/>
        </w:rPr>
        <w:t xml:space="preserve">Can you confirm this RFP's scope of work only covers waterway debris and does not include collecting and disposing of debris from ROW. </w:t>
      </w:r>
      <w:r w:rsidRPr="004D3186">
        <w:rPr>
          <w:rFonts w:ascii="Calibri" w:hAnsi="Calibri" w:cs="Calibri"/>
          <w:color w:val="EE0000"/>
        </w:rPr>
        <w:t>Response: ROW is included in the disaster debris services across the preparation, response, recovery and mitigation phases of an emergency or disaster</w:t>
      </w:r>
      <w:r w:rsidR="00ED4D5C" w:rsidRPr="004D3186">
        <w:rPr>
          <w:rFonts w:ascii="Calibri" w:hAnsi="Calibri" w:cs="Calibri"/>
          <w:color w:val="EE0000"/>
        </w:rPr>
        <w:t>.</w:t>
      </w:r>
    </w:p>
    <w:p w14:paraId="4CEA0FD7" w14:textId="77777777" w:rsidR="002E5B7B" w:rsidRPr="004D3186" w:rsidRDefault="002E5B7B" w:rsidP="002E5B7B">
      <w:pPr>
        <w:pStyle w:val="ListParagraph"/>
        <w:rPr>
          <w:rFonts w:ascii="Calibri" w:hAnsi="Calibri" w:cs="Calibri"/>
          <w:color w:val="EE0000"/>
        </w:rPr>
      </w:pPr>
    </w:p>
    <w:p w14:paraId="25A2DAD9" w14:textId="77777777" w:rsidR="00122AF0" w:rsidRDefault="00ED4D5C" w:rsidP="00122AF0">
      <w:pPr>
        <w:pStyle w:val="ListParagraph"/>
        <w:numPr>
          <w:ilvl w:val="0"/>
          <w:numId w:val="2"/>
        </w:numPr>
        <w:spacing w:line="240" w:lineRule="auto"/>
        <w:contextualSpacing w:val="0"/>
        <w:rPr>
          <w:rFonts w:ascii="Calibri" w:eastAsia="Times New Roman" w:hAnsi="Calibri" w:cs="Calibri"/>
          <w:color w:val="FF0000"/>
        </w:rPr>
      </w:pPr>
      <w:r w:rsidRPr="00122AF0">
        <w:rPr>
          <w:rFonts w:ascii="Calibri" w:eastAsia="Times New Roman" w:hAnsi="Calibri" w:cs="Calibri"/>
        </w:rPr>
        <w:t xml:space="preserve">Should vendors attach their own rate schedule to the Bid Submission Sheet? If so, are there specific line items for which vendors should provide competitive pricing and current market pricing? </w:t>
      </w:r>
      <w:r w:rsidRPr="00122AF0">
        <w:rPr>
          <w:rFonts w:ascii="Calibri" w:eastAsia="Times New Roman" w:hAnsi="Calibri" w:cs="Calibri"/>
          <w:color w:val="FF0000"/>
        </w:rPr>
        <w:t>Response: please see page 2 of the RFP. Also, I have attached Amendment 2 for your reference.</w:t>
      </w:r>
    </w:p>
    <w:p w14:paraId="4DB577C5" w14:textId="1B159286" w:rsidR="00ED4D5C" w:rsidRPr="00122AF0" w:rsidRDefault="00ED4D5C" w:rsidP="00122AF0">
      <w:pPr>
        <w:pStyle w:val="ListParagraph"/>
        <w:numPr>
          <w:ilvl w:val="0"/>
          <w:numId w:val="2"/>
        </w:numPr>
        <w:spacing w:line="240" w:lineRule="auto"/>
        <w:contextualSpacing w:val="0"/>
        <w:rPr>
          <w:rFonts w:ascii="Calibri" w:eastAsia="Times New Roman" w:hAnsi="Calibri" w:cs="Calibri"/>
          <w:color w:val="FF0000"/>
        </w:rPr>
      </w:pPr>
      <w:r w:rsidRPr="00122AF0">
        <w:rPr>
          <w:rFonts w:ascii="Calibri" w:eastAsia="Times New Roman" w:hAnsi="Calibri" w:cs="Calibri"/>
        </w:rPr>
        <w:t xml:space="preserve">If vendors provide a flat % off current market pricing, should the spaces under each category listed on the Bid Submission Sheet be left blank? </w:t>
      </w:r>
      <w:r w:rsidRPr="00122AF0">
        <w:rPr>
          <w:rFonts w:ascii="Calibri" w:eastAsia="Times New Roman" w:hAnsi="Calibri" w:cs="Calibri"/>
          <w:color w:val="FF0000"/>
        </w:rPr>
        <w:t>Response: Yes</w:t>
      </w:r>
    </w:p>
    <w:p w14:paraId="45C0AB6A" w14:textId="77777777" w:rsidR="00ED4D5C" w:rsidRPr="004D3186" w:rsidRDefault="00ED4D5C" w:rsidP="00122AF0">
      <w:pPr>
        <w:pStyle w:val="ListParagraph"/>
        <w:numPr>
          <w:ilvl w:val="0"/>
          <w:numId w:val="2"/>
        </w:numPr>
        <w:spacing w:line="240" w:lineRule="auto"/>
        <w:contextualSpacing w:val="0"/>
        <w:rPr>
          <w:rFonts w:ascii="Calibri" w:eastAsia="Times New Roman" w:hAnsi="Calibri" w:cs="Calibri"/>
        </w:rPr>
      </w:pPr>
      <w:r w:rsidRPr="004D3186">
        <w:rPr>
          <w:rFonts w:ascii="Calibri" w:eastAsia="Times New Roman" w:hAnsi="Calibri" w:cs="Calibri"/>
        </w:rPr>
        <w:t xml:space="preserve">Are vendors permitted to attach additional pages to expand on the Exceptions and/or Advantages fields of the Bid Submission Sheet? </w:t>
      </w:r>
      <w:r w:rsidRPr="004D3186">
        <w:rPr>
          <w:rFonts w:ascii="Calibri" w:eastAsia="Times New Roman" w:hAnsi="Calibri" w:cs="Calibri"/>
          <w:color w:val="FF0000"/>
        </w:rPr>
        <w:t>Response: Yes.</w:t>
      </w:r>
    </w:p>
    <w:p w14:paraId="0B7CDC1A" w14:textId="77777777" w:rsidR="00ED4D5C" w:rsidRDefault="00ED4D5C" w:rsidP="00122AF0">
      <w:pPr>
        <w:pStyle w:val="ListParagraph"/>
        <w:numPr>
          <w:ilvl w:val="0"/>
          <w:numId w:val="2"/>
        </w:numPr>
        <w:spacing w:line="240" w:lineRule="auto"/>
        <w:contextualSpacing w:val="0"/>
        <w:rPr>
          <w:rFonts w:ascii="Calibri" w:eastAsia="Times New Roman" w:hAnsi="Calibri" w:cs="Calibri"/>
          <w:color w:val="FF0000"/>
        </w:rPr>
      </w:pPr>
      <w:r w:rsidRPr="004D3186">
        <w:rPr>
          <w:rFonts w:ascii="Calibri" w:eastAsia="Times New Roman" w:hAnsi="Calibri" w:cs="Calibri"/>
        </w:rPr>
        <w:t xml:space="preserve">Is ETCOG membership limited to the area outlined in the Regional Map, or can any eligible entity within the State of Texas apply for membership? </w:t>
      </w:r>
      <w:r w:rsidRPr="004D3186">
        <w:rPr>
          <w:rFonts w:ascii="Calibri" w:eastAsia="Times New Roman" w:hAnsi="Calibri" w:cs="Calibri"/>
          <w:color w:val="FF0000"/>
        </w:rPr>
        <w:t>Response: No, any eligible entity can apply for membership.</w:t>
      </w:r>
    </w:p>
    <w:p w14:paraId="354F6315" w14:textId="77777777" w:rsidR="00030D62" w:rsidRDefault="00030D62" w:rsidP="00030D62">
      <w:pPr>
        <w:pStyle w:val="NormalWeb"/>
        <w:numPr>
          <w:ilvl w:val="0"/>
          <w:numId w:val="2"/>
        </w:numPr>
        <w:rPr>
          <w:color w:val="FF0000"/>
        </w:rPr>
      </w:pPr>
      <w:r>
        <w:t xml:space="preserve">• Any bid pricing templates or example fee schedules. </w:t>
      </w:r>
      <w:r>
        <w:rPr>
          <w:color w:val="FF0000"/>
        </w:rPr>
        <w:t>Response: Page 2—of the RFP contains the bid sheet. Also, I have attached ‘Attachment A’ that was sent out after the initial posting.</w:t>
      </w:r>
    </w:p>
    <w:p w14:paraId="6C763E6F" w14:textId="77777777" w:rsidR="00470CDD" w:rsidRDefault="00030D62" w:rsidP="00030D62">
      <w:pPr>
        <w:pStyle w:val="NormalWeb"/>
        <w:numPr>
          <w:ilvl w:val="0"/>
          <w:numId w:val="2"/>
        </w:numPr>
        <w:rPr>
          <w:color w:val="FF0000"/>
        </w:rPr>
      </w:pPr>
      <w:r>
        <w:lastRenderedPageBreak/>
        <w:t xml:space="preserve"> A sample task order or scope of work from prior debris events. </w:t>
      </w:r>
      <w:r>
        <w:rPr>
          <w:color w:val="FF0000"/>
        </w:rPr>
        <w:t xml:space="preserve">Response: This is the first RFP we have released for this category type therefore we have no prior scopes of work. </w:t>
      </w:r>
    </w:p>
    <w:p w14:paraId="6AE56A95" w14:textId="7655436D" w:rsidR="00470CDD" w:rsidRDefault="00030D62" w:rsidP="00030D62">
      <w:pPr>
        <w:pStyle w:val="NormalWeb"/>
        <w:numPr>
          <w:ilvl w:val="0"/>
          <w:numId w:val="2"/>
        </w:numPr>
        <w:rPr>
          <w:color w:val="FF0000"/>
        </w:rPr>
      </w:pPr>
      <w:r>
        <w:t xml:space="preserve">Historical usage data (number of task orders, average volumes, or most active participating members). </w:t>
      </w:r>
      <w:r>
        <w:rPr>
          <w:color w:val="FF0000"/>
        </w:rPr>
        <w:t xml:space="preserve">Response: As noted above, this is the first RFP for this type category so we have </w:t>
      </w:r>
      <w:proofErr w:type="gramStart"/>
      <w:r>
        <w:rPr>
          <w:color w:val="FF0000"/>
        </w:rPr>
        <w:t>not</w:t>
      </w:r>
      <w:proofErr w:type="gramEnd"/>
      <w:r>
        <w:rPr>
          <w:color w:val="FF0000"/>
        </w:rPr>
        <w:t xml:space="preserve"> historical data. We have a 14-county region that can use the COGWORKS Coop and we working to engage more active participation within the Coop.</w:t>
      </w:r>
    </w:p>
    <w:p w14:paraId="05202542" w14:textId="77777777" w:rsidR="00470CDD" w:rsidRDefault="00030D62" w:rsidP="00030D62">
      <w:pPr>
        <w:pStyle w:val="NormalWeb"/>
        <w:numPr>
          <w:ilvl w:val="0"/>
          <w:numId w:val="2"/>
        </w:numPr>
        <w:rPr>
          <w:color w:val="FF0000"/>
        </w:rPr>
      </w:pPr>
      <w:r>
        <w:t xml:space="preserve">FEMA documentation or debris monitoring requirements typically enforced under this contract. </w:t>
      </w:r>
      <w:r>
        <w:rPr>
          <w:color w:val="FF0000"/>
        </w:rPr>
        <w:t xml:space="preserve">Response: On page 3 of the RFP, there is a notation </w:t>
      </w:r>
      <w:proofErr w:type="gramStart"/>
      <w:r>
        <w:rPr>
          <w:color w:val="FF0000"/>
        </w:rPr>
        <w:t>regrading</w:t>
      </w:r>
      <w:proofErr w:type="gramEnd"/>
      <w:r>
        <w:rPr>
          <w:color w:val="FF0000"/>
        </w:rPr>
        <w:t xml:space="preserve"> FEMA. COGWORKS participating members that utilize the contract will need to partner with the debris service company to ensure they are following FEMA compliance and regulations pertaining to the specific service needed. </w:t>
      </w:r>
    </w:p>
    <w:p w14:paraId="115A418E" w14:textId="2D59E55A" w:rsidR="00030D62" w:rsidRDefault="00030D62" w:rsidP="00030D62">
      <w:pPr>
        <w:pStyle w:val="NormalWeb"/>
        <w:numPr>
          <w:ilvl w:val="0"/>
          <w:numId w:val="2"/>
        </w:numPr>
        <w:rPr>
          <w:color w:val="FF0000"/>
        </w:rPr>
      </w:pPr>
      <w:r>
        <w:t xml:space="preserve">Clarification on insurance requirements and whether limits may vary by task order. </w:t>
      </w:r>
      <w:r>
        <w:rPr>
          <w:color w:val="FF0000"/>
        </w:rPr>
        <w:t xml:space="preserve">Response: The insurance requirements on page 4 of the RFP are the </w:t>
      </w:r>
      <w:r>
        <w:rPr>
          <w:color w:val="FF0000"/>
          <w:u w:val="single"/>
        </w:rPr>
        <w:t xml:space="preserve">initial </w:t>
      </w:r>
      <w:r>
        <w:rPr>
          <w:color w:val="FF0000"/>
        </w:rPr>
        <w:t xml:space="preserve">requirements that the debris service company needs to maintain during the contract period . Any additional coverage needed for any task </w:t>
      </w:r>
      <w:proofErr w:type="gramStart"/>
      <w:r>
        <w:rPr>
          <w:color w:val="FF0000"/>
        </w:rPr>
        <w:t>order,</w:t>
      </w:r>
      <w:proofErr w:type="gramEnd"/>
      <w:r>
        <w:rPr>
          <w:color w:val="FF0000"/>
        </w:rPr>
        <w:t xml:space="preserve"> will be stated between the COGWORKS member and the debris service company when contacted for the specific task cleanup. </w:t>
      </w:r>
    </w:p>
    <w:p w14:paraId="40F425D8" w14:textId="77777777" w:rsidR="00030D62" w:rsidRPr="004D3186" w:rsidRDefault="00030D62" w:rsidP="00E50623">
      <w:pPr>
        <w:pStyle w:val="ListParagraph"/>
        <w:spacing w:line="240" w:lineRule="auto"/>
        <w:contextualSpacing w:val="0"/>
        <w:rPr>
          <w:rFonts w:ascii="Calibri" w:eastAsia="Times New Roman" w:hAnsi="Calibri" w:cs="Calibri"/>
          <w:color w:val="FF0000"/>
        </w:rPr>
      </w:pPr>
    </w:p>
    <w:p w14:paraId="31667803" w14:textId="77777777" w:rsidR="00DC0384" w:rsidRDefault="00DC0384"/>
    <w:sectPr w:rsidR="00DC0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68F5"/>
    <w:multiLevelType w:val="multilevel"/>
    <w:tmpl w:val="9EBAF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D01CE5"/>
    <w:multiLevelType w:val="hybridMultilevel"/>
    <w:tmpl w:val="4B74E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1C756D"/>
    <w:multiLevelType w:val="hybridMultilevel"/>
    <w:tmpl w:val="043CB2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419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19590">
    <w:abstractNumId w:val="2"/>
  </w:num>
  <w:num w:numId="3" w16cid:durableId="1358778879">
    <w:abstractNumId w:val="1"/>
  </w:num>
  <w:num w:numId="4" w16cid:durableId="39789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23"/>
    <w:rsid w:val="00030D62"/>
    <w:rsid w:val="000A5371"/>
    <w:rsid w:val="000D3F77"/>
    <w:rsid w:val="00122AF0"/>
    <w:rsid w:val="002E5B7B"/>
    <w:rsid w:val="00470CDD"/>
    <w:rsid w:val="004D1CBC"/>
    <w:rsid w:val="004D3186"/>
    <w:rsid w:val="00613223"/>
    <w:rsid w:val="0072464A"/>
    <w:rsid w:val="007C70D1"/>
    <w:rsid w:val="009A350A"/>
    <w:rsid w:val="009F49C1"/>
    <w:rsid w:val="00A33308"/>
    <w:rsid w:val="00A7367A"/>
    <w:rsid w:val="00B4013B"/>
    <w:rsid w:val="00BC6EC3"/>
    <w:rsid w:val="00CA18B7"/>
    <w:rsid w:val="00DC0384"/>
    <w:rsid w:val="00DD0C5D"/>
    <w:rsid w:val="00E50623"/>
    <w:rsid w:val="00ED4D5C"/>
    <w:rsid w:val="00F9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FE4B"/>
  <w15:chartTrackingRefBased/>
  <w15:docId w15:val="{1754481D-F411-4B59-8739-C71E282C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223"/>
    <w:rPr>
      <w:rFonts w:eastAsiaTheme="majorEastAsia" w:cstheme="majorBidi"/>
      <w:color w:val="272727" w:themeColor="text1" w:themeTint="D8"/>
    </w:rPr>
  </w:style>
  <w:style w:type="paragraph" w:styleId="Title">
    <w:name w:val="Title"/>
    <w:basedOn w:val="Normal"/>
    <w:next w:val="Normal"/>
    <w:link w:val="TitleChar"/>
    <w:uiPriority w:val="10"/>
    <w:qFormat/>
    <w:rsid w:val="00613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223"/>
    <w:pPr>
      <w:spacing w:before="160"/>
      <w:jc w:val="center"/>
    </w:pPr>
    <w:rPr>
      <w:i/>
      <w:iCs/>
      <w:color w:val="404040" w:themeColor="text1" w:themeTint="BF"/>
    </w:rPr>
  </w:style>
  <w:style w:type="character" w:customStyle="1" w:styleId="QuoteChar">
    <w:name w:val="Quote Char"/>
    <w:basedOn w:val="DefaultParagraphFont"/>
    <w:link w:val="Quote"/>
    <w:uiPriority w:val="29"/>
    <w:rsid w:val="00613223"/>
    <w:rPr>
      <w:i/>
      <w:iCs/>
      <w:color w:val="404040" w:themeColor="text1" w:themeTint="BF"/>
    </w:rPr>
  </w:style>
  <w:style w:type="paragraph" w:styleId="ListParagraph">
    <w:name w:val="List Paragraph"/>
    <w:basedOn w:val="Normal"/>
    <w:uiPriority w:val="34"/>
    <w:qFormat/>
    <w:rsid w:val="00613223"/>
    <w:pPr>
      <w:ind w:left="720"/>
      <w:contextualSpacing/>
    </w:pPr>
  </w:style>
  <w:style w:type="character" w:styleId="IntenseEmphasis">
    <w:name w:val="Intense Emphasis"/>
    <w:basedOn w:val="DefaultParagraphFont"/>
    <w:uiPriority w:val="21"/>
    <w:qFormat/>
    <w:rsid w:val="00613223"/>
    <w:rPr>
      <w:i/>
      <w:iCs/>
      <w:color w:val="0F4761" w:themeColor="accent1" w:themeShade="BF"/>
    </w:rPr>
  </w:style>
  <w:style w:type="paragraph" w:styleId="IntenseQuote">
    <w:name w:val="Intense Quote"/>
    <w:basedOn w:val="Normal"/>
    <w:next w:val="Normal"/>
    <w:link w:val="IntenseQuoteChar"/>
    <w:uiPriority w:val="30"/>
    <w:qFormat/>
    <w:rsid w:val="00613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223"/>
    <w:rPr>
      <w:i/>
      <w:iCs/>
      <w:color w:val="0F4761" w:themeColor="accent1" w:themeShade="BF"/>
    </w:rPr>
  </w:style>
  <w:style w:type="character" w:styleId="IntenseReference">
    <w:name w:val="Intense Reference"/>
    <w:basedOn w:val="DefaultParagraphFont"/>
    <w:uiPriority w:val="32"/>
    <w:qFormat/>
    <w:rsid w:val="00613223"/>
    <w:rPr>
      <w:b/>
      <w:bCs/>
      <w:smallCaps/>
      <w:color w:val="0F4761" w:themeColor="accent1" w:themeShade="BF"/>
      <w:spacing w:val="5"/>
    </w:rPr>
  </w:style>
  <w:style w:type="paragraph" w:styleId="NormalWeb">
    <w:name w:val="Normal (Web)"/>
    <w:basedOn w:val="Normal"/>
    <w:uiPriority w:val="99"/>
    <w:semiHidden/>
    <w:unhideWhenUsed/>
    <w:rsid w:val="00030D62"/>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584</Words>
  <Characters>3071</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Weems</dc:creator>
  <cp:keywords/>
  <dc:description/>
  <cp:lastModifiedBy>Christine Weems</cp:lastModifiedBy>
  <cp:revision>12</cp:revision>
  <dcterms:created xsi:type="dcterms:W3CDTF">2026-01-09T16:50:00Z</dcterms:created>
  <dcterms:modified xsi:type="dcterms:W3CDTF">2026-01-13T15:14:00Z</dcterms:modified>
</cp:coreProperties>
</file>