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AGREEMENT made as of the __________ day of _____________________, ________, by and among THE GREENWICH MULTIPLE LISTING SERVICE, INC. (the “MLS”); _______________________________, a participant in the MLS (the “Participant”), and _______________________________________________, (the “Member”).</w:t>
      </w:r>
    </w:p>
    <w:p w:rsidR="00000000" w:rsidDel="00000000" w:rsidP="00000000" w:rsidRDefault="00000000" w:rsidRPr="00000000" w14:paraId="0000000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WHEREAS:</w:t>
      </w:r>
    </w:p>
    <w:p w:rsidR="00000000" w:rsidDel="00000000" w:rsidP="00000000" w:rsidRDefault="00000000" w:rsidRPr="00000000" w14:paraId="00000005">
      <w:pPr>
        <w:numPr>
          <w:ilvl w:val="0"/>
          <w:numId w:val="1"/>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Participant is a participant in the multiple listing service operated by the MLS; and the MLS has entered into a Master Contract with Supra Products, Inc. (“Supra”) for the acquisition of electronic key boxes and for the operation of an Advantage Express II Electronic Keybox System (the “System”); and</w:t>
      </w:r>
    </w:p>
    <w:p w:rsidR="00000000" w:rsidDel="00000000" w:rsidP="00000000" w:rsidRDefault="00000000" w:rsidRPr="00000000" w14:paraId="00000006">
      <w:pPr>
        <w:numPr>
          <w:ilvl w:val="0"/>
          <w:numId w:val="1"/>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the Member is affiliated with the Participant in an active effort to sell and lease real estate through the same business office or firm; and</w:t>
      </w:r>
    </w:p>
    <w:p w:rsidR="00000000" w:rsidDel="00000000" w:rsidP="00000000" w:rsidRDefault="00000000" w:rsidRPr="00000000" w14:paraId="00000007">
      <w:pPr>
        <w:numPr>
          <w:ilvl w:val="0"/>
          <w:numId w:val="1"/>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and the Participant have entered into a Cardholder Agreement with the MLS authorizing the Member to purchase and use an entry key card for the System; and </w:t>
      </w:r>
    </w:p>
    <w:p w:rsidR="00000000" w:rsidDel="00000000" w:rsidP="00000000" w:rsidRDefault="00000000" w:rsidRPr="00000000" w14:paraId="00000008">
      <w:pPr>
        <w:numPr>
          <w:ilvl w:val="0"/>
          <w:numId w:val="1"/>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desires to borrow one keybox  for each applicable listing for the Member’s use in connection with the System.</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 consideration of the mutual agreements herein contained, the parties hereto agree as follows:</w:t>
      </w:r>
    </w:p>
    <w:p w:rsidR="00000000" w:rsidDel="00000000" w:rsidP="00000000" w:rsidRDefault="00000000" w:rsidRPr="00000000" w14:paraId="0000000C">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D">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SYSTEM. The parties hereto acknowledge that the MLS has been authorized to operate the System acquired from Supra.</w:t>
      </w:r>
    </w:p>
    <w:p w:rsidR="00000000" w:rsidDel="00000000" w:rsidP="00000000" w:rsidRDefault="00000000" w:rsidRPr="00000000" w14:paraId="0000000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F">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KEYBOXES BORROWED:</w:t>
      </w:r>
    </w:p>
    <w:p w:rsidR="00000000" w:rsidDel="00000000" w:rsidP="00000000" w:rsidRDefault="00000000" w:rsidRPr="00000000" w14:paraId="00000010">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1">
      <w:pPr>
        <w:numPr>
          <w:ilvl w:val="0"/>
          <w:numId w:val="3"/>
        </w:numPr>
        <w:ind w:left="144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agrees to borrow from the MLS, on the terms and conditions contained herein, Electronic Keyboxes for the Member’s personal use in connection with the System.  The member shall not sell, transfer, lease, sublease, loan or allow any other person or firm to use any of the Keyboxes.</w:t>
      </w:r>
    </w:p>
    <w:p w:rsidR="00000000" w:rsidDel="00000000" w:rsidP="00000000" w:rsidRDefault="00000000" w:rsidRPr="00000000" w14:paraId="00000012">
      <w:pPr>
        <w:numPr>
          <w:ilvl w:val="0"/>
          <w:numId w:val="3"/>
        </w:numPr>
        <w:ind w:left="144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acknowledges that all Keyboxes borrowed are, and shall remain, the property of the MLS; that the Member shall only have the right to use the Keyboxes in accordance with the terms of this Agreement; and that the Member is responsible for all Keyboxes that are in the Member’s possession.</w:t>
      </w:r>
    </w:p>
    <w:p w:rsidR="00000000" w:rsidDel="00000000" w:rsidP="00000000" w:rsidRDefault="00000000" w:rsidRPr="00000000" w14:paraId="00000013">
      <w:pPr>
        <w:numPr>
          <w:ilvl w:val="0"/>
          <w:numId w:val="3"/>
        </w:numPr>
        <w:ind w:left="144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agrees to return to the MLS any Keyboxes which are not in use at listed properties.</w:t>
      </w:r>
    </w:p>
    <w:p w:rsidR="00000000" w:rsidDel="00000000" w:rsidP="00000000" w:rsidRDefault="00000000" w:rsidRPr="00000000" w14:paraId="00000014">
      <w:pPr>
        <w:numPr>
          <w:ilvl w:val="0"/>
          <w:numId w:val="3"/>
        </w:numPr>
        <w:ind w:left="144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The Member agrees to limit his or her use of the System to the geographic area served by the MLS.</w:t>
      </w:r>
    </w:p>
    <w:p w:rsidR="00000000" w:rsidDel="00000000" w:rsidP="00000000" w:rsidRDefault="00000000" w:rsidRPr="00000000" w14:paraId="00000015">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i w:val="0"/>
          <w:smallCaps w:val="0"/>
          <w:strike w:val="0"/>
          <w:color w:val="000000"/>
          <w:sz w:val="20"/>
          <w:szCs w:val="20"/>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TERM. Unless previously terminated as herein provided, the initial term of this Agreement shall be for one (1) year commencing on the date hereof and shall automatically be renewed for successive additional terms of one (1) year unless terminated by either party or unless terminated in accordance with the provisions of this Agreement.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Verdana" w:cs="Verdana" w:eastAsia="Verdana" w:hAnsi="Verdana"/>
          <w:i w:val="0"/>
          <w:smallCaps w:val="0"/>
          <w:strike w:val="0"/>
          <w:color w:val="000000"/>
          <w:sz w:val="20"/>
          <w:szCs w:val="20"/>
          <w:shd w:fill="auto" w:val="clear"/>
          <w:vertAlign w:val="baseline"/>
        </w:rPr>
      </w:pPr>
      <w:r w:rsidDel="00000000" w:rsidR="00000000" w:rsidRPr="00000000">
        <w:rPr>
          <w:rFonts w:ascii="Verdana" w:cs="Verdana" w:eastAsia="Verdana" w:hAnsi="Verdana"/>
          <w:i w:val="0"/>
          <w:smallCaps w:val="0"/>
          <w:strike w:val="0"/>
          <w:color w:val="000000"/>
          <w:sz w:val="20"/>
          <w:szCs w:val="20"/>
          <w:u w:val="none"/>
          <w:shd w:fill="auto" w:val="clear"/>
          <w:vertAlign w:val="baseline"/>
          <w:rtl w:val="0"/>
        </w:rPr>
        <w:t xml:space="preserve">MASTER CONTRACT.  The Member hereby agrees to comply with all of the terms and conditions of the Master Contract between the MLS and Supra, as the same may be amended from time to time (the “Master Contract”), a copy of which is available at the offices of the MLS, and the Master Contract, as so amended, is hereby expressly incorporated by reference in this agreement.</w:t>
      </w: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A">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TERMINATION AND RETURN OF KEYBOXES.  This Agreement shall automatically terminate and the Member agrees to return to the MLS all of the Keyboxes upon the occurrence of any of the following events:</w:t>
      </w:r>
    </w:p>
    <w:p w:rsidR="00000000" w:rsidDel="00000000" w:rsidP="00000000" w:rsidRDefault="00000000" w:rsidRPr="00000000" w14:paraId="0000001B">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C">
      <w:pPr>
        <w:numPr>
          <w:ilvl w:val="1"/>
          <w:numId w:val="2"/>
        </w:numPr>
        <w:ind w:left="180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Termination of the Master Contract between the MLS and Supra;</w:t>
      </w:r>
    </w:p>
    <w:p w:rsidR="00000000" w:rsidDel="00000000" w:rsidP="00000000" w:rsidRDefault="00000000" w:rsidRPr="00000000" w14:paraId="0000001D">
      <w:pPr>
        <w:numPr>
          <w:ilvl w:val="1"/>
          <w:numId w:val="2"/>
        </w:numPr>
        <w:ind w:left="180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Default by the Member in the observance or performance of any of the Member’s obligations under this Agreement;</w:t>
      </w:r>
    </w:p>
    <w:p w:rsidR="00000000" w:rsidDel="00000000" w:rsidP="00000000" w:rsidRDefault="00000000" w:rsidRPr="00000000" w14:paraId="0000001E">
      <w:pPr>
        <w:numPr>
          <w:ilvl w:val="1"/>
          <w:numId w:val="2"/>
        </w:numPr>
        <w:ind w:left="180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Default by the Member under the Member’s obligation to the MLS;</w:t>
      </w:r>
    </w:p>
    <w:p w:rsidR="00000000" w:rsidDel="00000000" w:rsidP="00000000" w:rsidRDefault="00000000" w:rsidRPr="00000000" w14:paraId="0000001F">
      <w:pPr>
        <w:numPr>
          <w:ilvl w:val="1"/>
          <w:numId w:val="2"/>
        </w:numPr>
        <w:ind w:left="180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Default by the Member under the Member’s Cardholder Agreement with the MLS; or</w:t>
      </w:r>
    </w:p>
    <w:p w:rsidR="00000000" w:rsidDel="00000000" w:rsidP="00000000" w:rsidRDefault="00000000" w:rsidRPr="00000000" w14:paraId="00000020">
      <w:pPr>
        <w:numPr>
          <w:ilvl w:val="1"/>
          <w:numId w:val="2"/>
        </w:numPr>
        <w:ind w:left="180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Suspension or termination of the Member or the Participant from participation in the MLS or of the right of the Member or the Participant to use the MLS multiple listing service.</w:t>
      </w:r>
    </w:p>
    <w:p w:rsidR="00000000" w:rsidDel="00000000" w:rsidP="00000000" w:rsidRDefault="00000000" w:rsidRPr="00000000" w14:paraId="00000021">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2">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USE OF KEYBOXES BY THE AUTHORIZATION OF OWNER OF REAL PROPERTY.  The Keyboxes shall be used only on properties for which listings are filed with the MLS by the Member.  The Member will secure written authorization from the owner or tenant in possession of any property listed for sale or lease prior to the installation and use of a Keybox on such property.  The Member agrees to disclose that the Keyboxes are not designed or intended as security devices.</w:t>
      </w:r>
    </w:p>
    <w:p w:rsidR="00000000" w:rsidDel="00000000" w:rsidP="00000000" w:rsidRDefault="00000000" w:rsidRPr="00000000" w14:paraId="00000023">
      <w:pPr>
        <w:ind w:left="720"/>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4">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PERSONAL PROPERTY TAXES.  The Member shall be responsible for the payment of all personal property taxes assessed against the Keyboxes during the term of this Agreement.</w:t>
      </w:r>
    </w:p>
    <w:p w:rsidR="00000000" w:rsidDel="00000000" w:rsidP="00000000" w:rsidRDefault="00000000" w:rsidRPr="00000000" w14:paraId="00000025">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6">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WARRANTY.  The MLS makes NO WARRANTY, either express or implied, with respect to the Keyboxes.  In the event that a Keybox is defective or fails to function for any reason, other than damage or misuse, the MLS agrees to repair the box or to supply a replacement Box only if repair or replacement is provided to the MLS by Supra under the terms of the Master Contract.</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Verdana" w:cs="Verdana" w:eastAsia="Verdana" w:hAnsi="Verdana"/>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RULES &amp; REGULATIONS.  Those portions of the MLS By-Laws and Regulations that pertain to Keyboxes and lockboxes and keys and keybox cards and their use, as they now exist or as they may be amended from time to time, are incorporated herein by reference.  The Member agrees to comply with all provision contained therein, as well as any and all rules and regulations promulgated by the MLS and contained within the MLS By-Laws and Regulations or any other regulations relating to the services of the MLS, and any violation thereof may result in the termination of this Agreement and/or suspension of the Member’s right to use the System.</w:t>
      </w:r>
    </w:p>
    <w:p w:rsidR="00000000" w:rsidDel="00000000" w:rsidP="00000000" w:rsidRDefault="00000000" w:rsidRPr="00000000" w14:paraId="00000029">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A">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INDEMNITY.  The Member shall indemnify and hold harmless the MLS, its members, officers, directors and employees, from any and all loss, damage, claims, demands, liabilities and costs, including attorney’s fees, arising from the Member’s use of the Keyboxes or the System, including without limitation all cost, liability, attorney’s fees and defense costs incurred by the MLS in connection with any suit or claim for injury or damage to person or property assisted by a client or customer of the Member, or any person working or cooperation with the Member in the listing of real property for sale or lease.  The Member, for himself or herself, his or her agents, employees and affiliates, specifically waives, releases and holds the MLS harmless from all damages, actual and consequential, including lost profits, arising from or in any way related to the Member’s use of the Keyboxes or the System out of the loss or improper use of the Electronic Keyboxes leased hereunder.</w:t>
      </w:r>
    </w:p>
    <w:p w:rsidR="00000000" w:rsidDel="00000000" w:rsidP="00000000" w:rsidRDefault="00000000" w:rsidRPr="00000000" w14:paraId="0000002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F">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STATUS OF THE MEMBER.  The Participant hereby confirms that the Member is a licensed real estate broker or salesman and is eligible to participate in the MLS and to use the Service.  The Participant further confirms that the Member is affiliated with the Participant and agrees that the Participant will notify the MLS in writing should the Member terminate such affiliation.</w:t>
      </w:r>
    </w:p>
    <w:p w:rsidR="00000000" w:rsidDel="00000000" w:rsidP="00000000" w:rsidRDefault="00000000" w:rsidRPr="00000000" w14:paraId="00000030">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1">
      <w:pPr>
        <w:numPr>
          <w:ilvl w:val="0"/>
          <w:numId w:val="2"/>
        </w:numPr>
        <w:ind w:left="1080" w:hanging="36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ENFORCEMENT.  This Agreement shall be governed by and construed in accordance with the laws of the State of Connecticut.  The Member shall be liable for all costs and reasonable attorney’s fees in any action brought by the MLS to enforce this Agreement against the Member.</w:t>
      </w:r>
    </w:p>
    <w:p w:rsidR="00000000" w:rsidDel="00000000" w:rsidP="00000000" w:rsidRDefault="00000000" w:rsidRPr="00000000" w14:paraId="00000032">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3">
      <w:pPr>
        <w:ind w:left="72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 WITNESS WHEREOF, the parties hereto have executed this Agreement as of the date first above written.</w:t>
      </w:r>
    </w:p>
    <w:p w:rsidR="00000000" w:rsidDel="00000000" w:rsidP="00000000" w:rsidRDefault="00000000" w:rsidRPr="00000000" w14:paraId="00000034">
      <w:pPr>
        <w:ind w:left="0" w:firstLine="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5">
      <w:pPr>
        <w:ind w:left="72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6">
      <w:pPr>
        <w:ind w:left="72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MEMBER:</w:t>
        <w:tab/>
        <w:tab/>
        <w:tab/>
        <w:tab/>
        <w:tab/>
        <w:tab/>
        <w:tab/>
      </w:r>
      <w:r w:rsidDel="00000000" w:rsidR="00000000" w:rsidRPr="00000000">
        <w:rPr>
          <w:rFonts w:ascii="Verdana" w:cs="Verdana" w:eastAsia="Verdana" w:hAnsi="Verdana"/>
          <w:sz w:val="22"/>
          <w:szCs w:val="22"/>
          <w:rtl w:val="0"/>
        </w:rPr>
        <w:t xml:space="preserve">Participant/Designated Realtor:</w:t>
      </w:r>
      <w:r w:rsidDel="00000000" w:rsidR="00000000" w:rsidRPr="00000000">
        <w:rPr>
          <w:rFonts w:ascii="Verdana" w:cs="Verdana" w:eastAsia="Verdana" w:hAnsi="Verdana"/>
          <w:sz w:val="22"/>
          <w:szCs w:val="22"/>
          <w:vertAlign w:val="baseline"/>
          <w:rtl w:val="0"/>
        </w:rPr>
        <w:tab/>
        <w:tab/>
        <w:tab/>
        <w:tab/>
        <w:tab/>
        <w:tab/>
      </w:r>
    </w:p>
    <w:p w:rsidR="00000000" w:rsidDel="00000000" w:rsidP="00000000" w:rsidRDefault="00000000" w:rsidRPr="00000000" w14:paraId="00000037">
      <w:pPr>
        <w:ind w:left="72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ab/>
        <w:tab/>
        <w:tab/>
        <w:tab/>
        <w:tab/>
        <w:tab/>
        <w:tab/>
        <w:tab/>
        <w:tab/>
      </w:r>
    </w:p>
    <w:p w:rsidR="00000000" w:rsidDel="00000000" w:rsidP="00000000" w:rsidRDefault="00000000" w:rsidRPr="00000000" w14:paraId="00000038">
      <w:pPr>
        <w:ind w:left="72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9">
      <w:pPr>
        <w:ind w:left="72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___________________________________</w:t>
        <w:tab/>
        <w:tab/>
      </w:r>
      <w:r w:rsidDel="00000000" w:rsidR="00000000" w:rsidRPr="00000000">
        <w:rPr>
          <w:rFonts w:ascii="Verdana" w:cs="Verdana" w:eastAsia="Verdana" w:hAnsi="Verdana"/>
          <w:sz w:val="22"/>
          <w:szCs w:val="22"/>
          <w:rtl w:val="0"/>
        </w:rPr>
        <w:t xml:space="preserve">___________________________________</w:t>
      </w:r>
      <w:r w:rsidDel="00000000" w:rsidR="00000000" w:rsidRPr="00000000">
        <w:rPr>
          <w:rFonts w:ascii="Verdana" w:cs="Verdana" w:eastAsia="Verdana" w:hAnsi="Verdana"/>
          <w:sz w:val="22"/>
          <w:szCs w:val="22"/>
          <w:vertAlign w:val="baseline"/>
          <w:rtl w:val="0"/>
        </w:rPr>
        <w:t xml:space="preserve">   Signature of Member</w:t>
      </w:r>
      <w:r w:rsidDel="00000000" w:rsidR="00000000" w:rsidRPr="00000000">
        <w:rPr>
          <w:rFonts w:ascii="Verdana" w:cs="Verdana" w:eastAsia="Verdana" w:hAnsi="Verdana"/>
          <w:sz w:val="22"/>
          <w:szCs w:val="22"/>
          <w:rtl w:val="0"/>
        </w:rPr>
        <w:t xml:space="preserve">/Applicant</w:t>
      </w:r>
      <w:r w:rsidDel="00000000" w:rsidR="00000000" w:rsidRPr="00000000">
        <w:rPr>
          <w:rFonts w:ascii="Verdana" w:cs="Verdana" w:eastAsia="Verdana" w:hAnsi="Verdana"/>
          <w:sz w:val="22"/>
          <w:szCs w:val="22"/>
          <w:vertAlign w:val="baseline"/>
          <w:rtl w:val="0"/>
        </w:rPr>
        <w:tab/>
        <w:tab/>
        <w:tab/>
        <w:tab/>
      </w:r>
      <w:r w:rsidDel="00000000" w:rsidR="00000000" w:rsidRPr="00000000">
        <w:rPr>
          <w:rFonts w:ascii="Verdana" w:cs="Verdana" w:eastAsia="Verdana" w:hAnsi="Verdana"/>
          <w:sz w:val="22"/>
          <w:szCs w:val="22"/>
          <w:rtl w:val="0"/>
        </w:rPr>
        <w:t xml:space="preserve">     Signature of MLS Participant</w:t>
      </w:r>
      <w:r w:rsidDel="00000000" w:rsidR="00000000" w:rsidRPr="00000000">
        <w:rPr>
          <w:rtl w:val="0"/>
        </w:rPr>
      </w:r>
    </w:p>
    <w:p w:rsidR="00000000" w:rsidDel="00000000" w:rsidP="00000000" w:rsidRDefault="00000000" w:rsidRPr="00000000" w14:paraId="0000003A">
      <w:pPr>
        <w:ind w:left="72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B">
      <w:pPr>
        <w:ind w:left="72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___________________________________</w:t>
        <w:tab/>
        <w:tab/>
      </w:r>
      <w:r w:rsidDel="00000000" w:rsidR="00000000" w:rsidRPr="00000000">
        <w:rPr>
          <w:rFonts w:ascii="Verdana" w:cs="Verdana" w:eastAsia="Verdana" w:hAnsi="Verdana"/>
          <w:sz w:val="22"/>
          <w:szCs w:val="22"/>
          <w:rtl w:val="0"/>
        </w:rPr>
        <w:t xml:space="preserve">___________________________________</w:t>
      </w:r>
      <w:r w:rsidDel="00000000" w:rsidR="00000000" w:rsidRPr="00000000">
        <w:rPr>
          <w:rtl w:val="0"/>
        </w:rPr>
      </w:r>
    </w:p>
    <w:p w:rsidR="00000000" w:rsidDel="00000000" w:rsidP="00000000" w:rsidRDefault="00000000" w:rsidRPr="00000000" w14:paraId="0000003C">
      <w:pPr>
        <w:ind w:left="1440" w:hanging="720"/>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Printed name of Member/Applicant</w:t>
        <w:tab/>
        <w:tab/>
        <w:tab/>
      </w:r>
      <w:r w:rsidDel="00000000" w:rsidR="00000000" w:rsidRPr="00000000">
        <w:rPr>
          <w:rFonts w:ascii="Verdana" w:cs="Verdana" w:eastAsia="Verdana" w:hAnsi="Verdana"/>
          <w:sz w:val="22"/>
          <w:szCs w:val="22"/>
          <w:rtl w:val="0"/>
        </w:rPr>
        <w:t xml:space="preserve">     Printed name of MLS Participant</w:t>
      </w:r>
      <w:r w:rsidDel="00000000" w:rsidR="00000000" w:rsidRPr="00000000">
        <w:rPr>
          <w:rtl w:val="0"/>
        </w:rPr>
      </w:r>
    </w:p>
    <w:p w:rsidR="00000000" w:rsidDel="00000000" w:rsidP="00000000" w:rsidRDefault="00000000" w:rsidRPr="00000000" w14:paraId="0000003D">
      <w:pPr>
        <w:ind w:left="0" w:firstLine="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E">
      <w:pPr>
        <w:ind w:left="720"/>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1">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43">
      <w:pPr>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If you already have a keypad from a</w:t>
      </w:r>
      <w:r w:rsidDel="00000000" w:rsidR="00000000" w:rsidRPr="00000000">
        <w:rPr>
          <w:rFonts w:ascii="Verdana" w:cs="Verdana" w:eastAsia="Verdana" w:hAnsi="Verdana"/>
          <w:sz w:val="22"/>
          <w:szCs w:val="22"/>
          <w:rtl w:val="0"/>
        </w:rPr>
        <w:t xml:space="preserve">nother local association/mls </w:t>
      </w:r>
      <w:r w:rsidDel="00000000" w:rsidR="00000000" w:rsidRPr="00000000">
        <w:rPr>
          <w:rFonts w:ascii="Verdana" w:cs="Verdana" w:eastAsia="Verdana" w:hAnsi="Verdana"/>
          <w:sz w:val="22"/>
          <w:szCs w:val="22"/>
          <w:vertAlign w:val="baseline"/>
          <w:rtl w:val="0"/>
        </w:rPr>
        <w:t xml:space="preserve">please provide the information below:</w:t>
      </w:r>
    </w:p>
    <w:p w:rsidR="00000000" w:rsidDel="00000000" w:rsidP="00000000" w:rsidRDefault="00000000" w:rsidRPr="00000000" w14:paraId="00000044">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5">
      <w:pPr>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 1402 - Smart MLS (Norwalk)</w:t>
        <w:tab/>
        <w:tab/>
        <w:tab/>
        <w:t xml:space="preserve">(  ) 1412 - New Canaan Board/MLS </w:t>
      </w:r>
    </w:p>
    <w:p w:rsidR="00000000" w:rsidDel="00000000" w:rsidP="00000000" w:rsidRDefault="00000000" w:rsidRPr="00000000" w14:paraId="00000046">
      <w:pPr>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 1413 - Darien Board/MLS</w:t>
        <w:tab/>
        <w:tab/>
        <w:tab/>
        <w:tab/>
        <w:t xml:space="preserve">(  ) 1536 - Hudson Gateway/MLS</w:t>
      </w:r>
    </w:p>
    <w:p w:rsidR="00000000" w:rsidDel="00000000" w:rsidP="00000000" w:rsidRDefault="00000000" w:rsidRPr="00000000" w14:paraId="00000047">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8">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Supra </w:t>
      </w:r>
      <w:r w:rsidDel="00000000" w:rsidR="00000000" w:rsidRPr="00000000">
        <w:rPr>
          <w:rFonts w:ascii="Verdana" w:cs="Verdana" w:eastAsia="Verdana" w:hAnsi="Verdana"/>
          <w:sz w:val="22"/>
          <w:szCs w:val="22"/>
          <w:vertAlign w:val="baseline"/>
          <w:rtl w:val="0"/>
        </w:rPr>
        <w:t xml:space="preserve">Ke</w:t>
      </w:r>
      <w:r w:rsidDel="00000000" w:rsidR="00000000" w:rsidRPr="00000000">
        <w:rPr>
          <w:rFonts w:ascii="Verdana" w:cs="Verdana" w:eastAsia="Verdana" w:hAnsi="Verdana"/>
          <w:sz w:val="22"/>
          <w:szCs w:val="22"/>
          <w:rtl w:val="0"/>
        </w:rPr>
        <w:t xml:space="preserve">y#</w:t>
      </w:r>
      <w:r w:rsidDel="00000000" w:rsidR="00000000" w:rsidRPr="00000000">
        <w:rPr>
          <w:rFonts w:ascii="Verdana" w:cs="Verdana" w:eastAsia="Verdana" w:hAnsi="Verdana"/>
          <w:sz w:val="22"/>
          <w:szCs w:val="22"/>
          <w:vertAlign w:val="baseline"/>
          <w:rtl w:val="0"/>
        </w:rPr>
        <w:t xml:space="preserve">: ___________________________   Pin: ________________________________</w:t>
      </w:r>
    </w:p>
    <w:p w:rsidR="00000000" w:rsidDel="00000000" w:rsidP="00000000" w:rsidRDefault="00000000" w:rsidRPr="00000000" w14:paraId="0000004B">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sz w:val="22"/>
          <w:szCs w:val="22"/>
        </w:rPr>
      </w:pPr>
      <w:r w:rsidDel="00000000" w:rsidR="00000000" w:rsidRPr="00000000">
        <w:rPr>
          <w:rtl w:val="0"/>
        </w:rPr>
      </w:r>
    </w:p>
    <w:sectPr>
      <w:head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rFonts w:ascii="Verdana" w:cs="Verdana" w:eastAsia="Verdana" w:hAnsi="Verdana"/>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290513</wp:posOffset>
          </wp:positionH>
          <wp:positionV relativeFrom="paragraph">
            <wp:posOffset>85759</wp:posOffset>
          </wp:positionV>
          <wp:extent cx="2519363" cy="61909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9363" cy="619092"/>
                  </a:xfrm>
                  <a:prstGeom prst="rect"/>
                  <a:ln/>
                </pic:spPr>
              </pic:pic>
            </a:graphicData>
          </a:graphic>
        </wp:anchor>
      </w:drawing>
    </w:r>
  </w:p>
  <w:p w:rsidR="00000000" w:rsidDel="00000000" w:rsidP="00000000" w:rsidRDefault="00000000" w:rsidRPr="00000000" w14:paraId="0000004E">
    <w:pPr>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4F">
    <w:pPr>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50">
    <w:pPr>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51">
    <w:pPr>
      <w:jc w:val="right"/>
      <w:rPr>
        <w:rFonts w:ascii="Verdana" w:cs="Verdana" w:eastAsia="Verdana" w:hAnsi="Verdana"/>
        <w:b w:val="1"/>
      </w:rPr>
    </w:pPr>
    <w:r w:rsidDel="00000000" w:rsidR="00000000" w:rsidRPr="00000000">
      <w:rPr>
        <w:rFonts w:ascii="Verdana" w:cs="Verdana" w:eastAsia="Verdana" w:hAnsi="Verdana"/>
        <w:b w:val="1"/>
        <w:rtl w:val="0"/>
      </w:rPr>
      <w:t xml:space="preserve">GMLS KEYBOX AGREEMENT</w:t>
    </w:r>
  </w:p>
  <w:p w:rsidR="00000000" w:rsidDel="00000000" w:rsidP="00000000" w:rsidRDefault="00000000" w:rsidRPr="00000000" w14:paraId="00000052">
    <w:pPr>
      <w:jc w:val="right"/>
      <w:rPr>
        <w:rFonts w:ascii="Verdana" w:cs="Verdana" w:eastAsia="Verdana" w:hAnsi="Verdana"/>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ambria" w:eastAsia="Cambria" w:hAnsi="Cambria"/>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eastAsia="Cambria" w:hAnsi="Cambria"/>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Cambria"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eastAsia="Cambria"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5bBA26vNegP6jCq7Bzbt+N635g==">AMUW2mXjAHNfn4ql8iPNqK7ZK3wT/EXAVVrkQGIloUfGcJuYwPuosrvP0ywO5S30sFH6eJ+NoGBHA75D1QxkI2cO6MIwvR/Q2TIdD89PG1ykVkhKNhuncN0=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2013-10-10T19:54:00Z</dcterms:created>
  <dc:creator>Queenie Sumampong</dc:creator>
</cp:coreProperties>
</file>