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6455" w14:textId="77777777" w:rsidR="00676479" w:rsidRPr="00676479" w:rsidRDefault="00676479" w:rsidP="00676479">
      <w:pPr>
        <w:jc w:val="center"/>
        <w:rPr>
          <w:b/>
          <w:bCs/>
        </w:rPr>
      </w:pPr>
      <w:r w:rsidRPr="00676479">
        <w:rPr>
          <w:b/>
          <w:bCs/>
        </w:rPr>
        <w:t xml:space="preserve">Yell </w:t>
      </w:r>
      <w:proofErr w:type="spellStart"/>
      <w:r w:rsidRPr="00676479">
        <w:rPr>
          <w:b/>
          <w:bCs/>
        </w:rPr>
        <w:t>Bondco</w:t>
      </w:r>
      <w:proofErr w:type="spellEnd"/>
      <w:r w:rsidRPr="00676479">
        <w:rPr>
          <w:b/>
          <w:bCs/>
        </w:rPr>
        <w:t xml:space="preserve"> plc</w:t>
      </w:r>
    </w:p>
    <w:p w14:paraId="301C0BEA" w14:textId="557F2480" w:rsidR="00676479" w:rsidRPr="00B732F6" w:rsidRDefault="00676479" w:rsidP="00676479">
      <w:pPr>
        <w:jc w:val="center"/>
        <w:rPr>
          <w:b/>
          <w:bCs/>
        </w:rPr>
      </w:pPr>
      <w:r w:rsidRPr="00676479">
        <w:rPr>
          <w:b/>
          <w:bCs/>
        </w:rPr>
        <w:t xml:space="preserve">£65,000,000 8 ¾ % Senior Secured Notes </w:t>
      </w:r>
      <w:r w:rsidRPr="00B732F6">
        <w:rPr>
          <w:b/>
          <w:bCs/>
        </w:rPr>
        <w:t>due 2027</w:t>
      </w:r>
    </w:p>
    <w:p w14:paraId="3F01CD60" w14:textId="593720DC" w:rsidR="00676479" w:rsidRPr="00676479" w:rsidRDefault="00676479" w:rsidP="00676479">
      <w:pPr>
        <w:jc w:val="center"/>
        <w:rPr>
          <w:b/>
          <w:bCs/>
        </w:rPr>
      </w:pPr>
      <w:r w:rsidRPr="00676479">
        <w:rPr>
          <w:b/>
          <w:bCs/>
        </w:rPr>
        <w:t>Regulation S Note</w:t>
      </w:r>
      <w:r w:rsidR="00D75308">
        <w:rPr>
          <w:b/>
          <w:bCs/>
        </w:rPr>
        <w:t>s</w:t>
      </w:r>
      <w:r w:rsidRPr="00676479">
        <w:rPr>
          <w:b/>
          <w:bCs/>
        </w:rPr>
        <w:t xml:space="preserve"> – Common Code: 181354925 / ISIN: XS1813549257</w:t>
      </w:r>
    </w:p>
    <w:p w14:paraId="4D4BD4BE" w14:textId="6A520E41" w:rsidR="004F233B" w:rsidRDefault="00D75308" w:rsidP="00676479">
      <w:pPr>
        <w:jc w:val="center"/>
        <w:rPr>
          <w:b/>
          <w:bCs/>
        </w:rPr>
      </w:pPr>
      <w:r>
        <w:rPr>
          <w:b/>
          <w:bCs/>
        </w:rPr>
        <w:t>Private Placement</w:t>
      </w:r>
      <w:r w:rsidR="00676479" w:rsidRPr="00676479">
        <w:rPr>
          <w:b/>
          <w:bCs/>
        </w:rPr>
        <w:t xml:space="preserve"> Note</w:t>
      </w:r>
      <w:r>
        <w:rPr>
          <w:b/>
          <w:bCs/>
        </w:rPr>
        <w:t>s</w:t>
      </w:r>
      <w:r w:rsidR="00676479" w:rsidRPr="00676479">
        <w:rPr>
          <w:b/>
          <w:bCs/>
        </w:rPr>
        <w:t xml:space="preserve"> – Common Code: 181354950 / ISIN: XS1813549505 (</w:t>
      </w:r>
      <w:r w:rsidR="0039773A">
        <w:rPr>
          <w:b/>
          <w:bCs/>
        </w:rPr>
        <w:t xml:space="preserve">together with all amounts of </w:t>
      </w:r>
      <w:r w:rsidR="000F18F7">
        <w:rPr>
          <w:b/>
          <w:bCs/>
        </w:rPr>
        <w:t>capitalised</w:t>
      </w:r>
      <w:r w:rsidR="0039773A">
        <w:rPr>
          <w:b/>
          <w:bCs/>
        </w:rPr>
        <w:t xml:space="preserve"> interest thereon, </w:t>
      </w:r>
      <w:r w:rsidR="00676479" w:rsidRPr="00676479">
        <w:rPr>
          <w:b/>
          <w:bCs/>
        </w:rPr>
        <w:t>the “Notes”)</w:t>
      </w:r>
      <w:r w:rsidR="00676479" w:rsidRPr="00676479">
        <w:rPr>
          <w:b/>
          <w:bCs/>
        </w:rPr>
        <w:cr/>
      </w:r>
    </w:p>
    <w:p w14:paraId="712D586F" w14:textId="524C76C3" w:rsidR="004F233B" w:rsidRDefault="00540CB7" w:rsidP="004F233B">
      <w:pPr>
        <w:rPr>
          <w:b/>
          <w:bCs/>
        </w:rPr>
      </w:pPr>
      <w:r>
        <w:rPr>
          <w:b/>
          <w:bCs/>
        </w:rPr>
        <w:t xml:space="preserve">Agreement to strengthen Owl Finance Limited’s (the </w:t>
      </w:r>
      <w:r w:rsidR="00840088">
        <w:rPr>
          <w:b/>
          <w:bCs/>
        </w:rPr>
        <w:t>“</w:t>
      </w:r>
      <w:r>
        <w:rPr>
          <w:b/>
          <w:bCs/>
        </w:rPr>
        <w:t>Company”) financial structure</w:t>
      </w:r>
    </w:p>
    <w:p w14:paraId="5738992C" w14:textId="1E4C5C20" w:rsidR="004F233B" w:rsidRDefault="00540CB7" w:rsidP="004F233B">
      <w:r>
        <w:t xml:space="preserve">The Company </w:t>
      </w:r>
      <w:r w:rsidR="00604F62">
        <w:t xml:space="preserve">can </w:t>
      </w:r>
      <w:r>
        <w:t xml:space="preserve">confirm that it has reached agreement with </w:t>
      </w:r>
      <w:proofErr w:type="gramStart"/>
      <w:r w:rsidR="004D2F3D">
        <w:t>the</w:t>
      </w:r>
      <w:r>
        <w:t xml:space="preserve"> majority of</w:t>
      </w:r>
      <w:proofErr w:type="gramEnd"/>
      <w:r>
        <w:t xml:space="preserve"> </w:t>
      </w:r>
      <w:r w:rsidR="00D75308">
        <w:t xml:space="preserve">holders of the Notes </w:t>
      </w:r>
      <w:r>
        <w:t>(represent</w:t>
      </w:r>
      <w:r w:rsidR="00F17911">
        <w:t>ing</w:t>
      </w:r>
      <w:r>
        <w:t xml:space="preserve"> approximately </w:t>
      </w:r>
      <w:r w:rsidRPr="005C0ED5">
        <w:t>9</w:t>
      </w:r>
      <w:r w:rsidR="00E939C5" w:rsidRPr="005C0ED5">
        <w:t>9</w:t>
      </w:r>
      <w:r w:rsidRPr="005C0ED5">
        <w:t>%</w:t>
      </w:r>
      <w:r>
        <w:t xml:space="preserve"> of the outstanding Notes) to strengthen its financial structure</w:t>
      </w:r>
      <w:r w:rsidR="00874A66">
        <w:t xml:space="preserve"> by extending </w:t>
      </w:r>
      <w:r w:rsidR="00284CA0">
        <w:t xml:space="preserve">the term of the existing </w:t>
      </w:r>
      <w:r w:rsidR="00F57529">
        <w:t>Notes</w:t>
      </w:r>
      <w:r w:rsidR="000C6418">
        <w:t xml:space="preserve"> (the “</w:t>
      </w:r>
      <w:r w:rsidR="000C6418">
        <w:rPr>
          <w:b/>
          <w:bCs/>
        </w:rPr>
        <w:t>Extension</w:t>
      </w:r>
      <w:r w:rsidR="000C6418">
        <w:t>”)</w:t>
      </w:r>
      <w:r>
        <w:t>.</w:t>
      </w:r>
      <w:r w:rsidR="00C17698">
        <w:t xml:space="preserve">  </w:t>
      </w:r>
      <w:r w:rsidR="00455836" w:rsidRPr="00455836">
        <w:t xml:space="preserve">The extended </w:t>
      </w:r>
      <w:r w:rsidR="00F57529">
        <w:t>N</w:t>
      </w:r>
      <w:r w:rsidR="00F57529" w:rsidRPr="00455836">
        <w:t xml:space="preserve">otes </w:t>
      </w:r>
      <w:r w:rsidR="00455836" w:rsidRPr="00455836">
        <w:t>will have a maturity date of 31 March 2031 and retain the existing coupon of 8.75%.</w:t>
      </w:r>
    </w:p>
    <w:p w14:paraId="340F3C5D" w14:textId="4CF19ADC" w:rsidR="00A97AD6" w:rsidRPr="00B732F6" w:rsidRDefault="00165AE4" w:rsidP="00540CB7">
      <w:r w:rsidRPr="00165AE4">
        <w:t xml:space="preserve">The </w:t>
      </w:r>
      <w:r w:rsidR="000C6418">
        <w:t>Extension</w:t>
      </w:r>
      <w:r w:rsidR="000C6418" w:rsidRPr="00165AE4">
        <w:t xml:space="preserve"> </w:t>
      </w:r>
      <w:r w:rsidRPr="00165AE4">
        <w:t xml:space="preserve">is subject to </w:t>
      </w:r>
      <w:r w:rsidR="009466B2">
        <w:t xml:space="preserve">certain conditions (including </w:t>
      </w:r>
      <w:r w:rsidRPr="00165AE4">
        <w:t xml:space="preserve">approval by the shareholders of Yell </w:t>
      </w:r>
      <w:r>
        <w:t>Holdco</w:t>
      </w:r>
      <w:r w:rsidRPr="00165AE4">
        <w:t xml:space="preserve"> Limited</w:t>
      </w:r>
      <w:r w:rsidR="00D75308">
        <w:t xml:space="preserve"> (“</w:t>
      </w:r>
      <w:r w:rsidR="00D75308">
        <w:rPr>
          <w:b/>
          <w:bCs/>
        </w:rPr>
        <w:t>Holdco</w:t>
      </w:r>
      <w:r w:rsidR="00D75308">
        <w:t>”)</w:t>
      </w:r>
      <w:r w:rsidR="009466B2">
        <w:t>)</w:t>
      </w:r>
      <w:r w:rsidRPr="00165AE4">
        <w:t xml:space="preserve"> and is expected to close on or around </w:t>
      </w:r>
      <w:r w:rsidR="009466B2" w:rsidRPr="005C0ED5">
        <w:t>9</w:t>
      </w:r>
      <w:r w:rsidRPr="00165AE4">
        <w:t xml:space="preserve"> March 202</w:t>
      </w:r>
      <w:r w:rsidR="00467D1E">
        <w:t>6</w:t>
      </w:r>
      <w:r w:rsidR="00F71B4C">
        <w:t>.</w:t>
      </w:r>
      <w:r>
        <w:t xml:space="preserve"> </w:t>
      </w:r>
      <w:r w:rsidR="00F71B4C">
        <w:t xml:space="preserve"> </w:t>
      </w:r>
      <w:r w:rsidR="00F71B4C" w:rsidRPr="00F71B4C">
        <w:t>A circular describing the terms</w:t>
      </w:r>
      <w:r w:rsidR="0029224D">
        <w:t>, and requesting approval,</w:t>
      </w:r>
      <w:r w:rsidR="00F71B4C" w:rsidRPr="00F71B4C">
        <w:t xml:space="preserve"> of the </w:t>
      </w:r>
      <w:r w:rsidR="000C6418">
        <w:t>E</w:t>
      </w:r>
      <w:r w:rsidR="00D75308">
        <w:t>xtension</w:t>
      </w:r>
      <w:r w:rsidR="00D75308" w:rsidRPr="00F71B4C">
        <w:t xml:space="preserve"> </w:t>
      </w:r>
      <w:r w:rsidR="00F71B4C" w:rsidRPr="00F71B4C">
        <w:t xml:space="preserve">has today been sent to shareholders of </w:t>
      </w:r>
      <w:r w:rsidR="00D75308">
        <w:t>Holdco</w:t>
      </w:r>
      <w:r w:rsidR="00F71B4C" w:rsidRPr="00F71B4C">
        <w:t xml:space="preserve">. </w:t>
      </w:r>
      <w:r w:rsidR="00682E93">
        <w:t xml:space="preserve"> </w:t>
      </w:r>
      <w:r w:rsidR="00F71B4C" w:rsidRPr="00F71B4C">
        <w:t xml:space="preserve">Shareholders of </w:t>
      </w:r>
      <w:r w:rsidR="00D75308">
        <w:t>Holdco</w:t>
      </w:r>
      <w:r w:rsidR="00F71B4C" w:rsidRPr="00F71B4C">
        <w:t xml:space="preserve"> </w:t>
      </w:r>
      <w:r w:rsidR="000C6418">
        <w:t>holding</w:t>
      </w:r>
      <w:r w:rsidR="000C6418" w:rsidRPr="00F71B4C">
        <w:t xml:space="preserve"> </w:t>
      </w:r>
      <w:r w:rsidR="00F71B4C" w:rsidRPr="00F71B4C">
        <w:t xml:space="preserve">approximately </w:t>
      </w:r>
      <w:r w:rsidR="00635A49" w:rsidRPr="005C0ED5">
        <w:t>9</w:t>
      </w:r>
      <w:r w:rsidR="00F71B4C" w:rsidRPr="005C0ED5">
        <w:t>3</w:t>
      </w:r>
      <w:r w:rsidR="003107A5" w:rsidRPr="005C0ED5">
        <w:t>.6</w:t>
      </w:r>
      <w:r w:rsidR="00F71B4C" w:rsidRPr="00F71B4C">
        <w:t xml:space="preserve">% of </w:t>
      </w:r>
      <w:r w:rsidR="00D75308">
        <w:t>Holdco’s issued share capital</w:t>
      </w:r>
      <w:r w:rsidR="00F71B4C" w:rsidRPr="00F71B4C">
        <w:t xml:space="preserve"> have undertaken to vote in favour of the </w:t>
      </w:r>
      <w:r w:rsidR="000C6418">
        <w:t>E</w:t>
      </w:r>
      <w:r w:rsidR="00D75308">
        <w:t>xtension</w:t>
      </w:r>
      <w:r w:rsidR="003107A5">
        <w:t xml:space="preserve">.  </w:t>
      </w:r>
      <w:r w:rsidR="003F5EA1">
        <w:t>A notice will be circulated to</w:t>
      </w:r>
      <w:r w:rsidR="00952C7C">
        <w:t xml:space="preserve"> noteholders</w:t>
      </w:r>
      <w:r w:rsidR="00682E93">
        <w:t xml:space="preserve"> </w:t>
      </w:r>
      <w:r w:rsidR="000C6418">
        <w:t xml:space="preserve">in due course </w:t>
      </w:r>
      <w:r w:rsidR="009466B2">
        <w:t xml:space="preserve">describing </w:t>
      </w:r>
      <w:r w:rsidR="00682E93">
        <w:t>the amendments</w:t>
      </w:r>
      <w:r w:rsidR="009466B2">
        <w:t xml:space="preserve"> </w:t>
      </w:r>
      <w:r w:rsidR="000C6418">
        <w:t>to be made to the Notes in connection with the Extension</w:t>
      </w:r>
      <w:r w:rsidR="00A92543">
        <w:t>.</w:t>
      </w:r>
    </w:p>
    <w:p w14:paraId="734E1F67" w14:textId="1717B34C" w:rsidR="008D5B20" w:rsidRPr="008D5B20" w:rsidRDefault="00540CB7" w:rsidP="008D5B20">
      <w:pPr>
        <w:jc w:val="right"/>
        <w:rPr>
          <w:b/>
        </w:rPr>
      </w:pPr>
      <w:r w:rsidRPr="008D5B20">
        <w:rPr>
          <w:b/>
        </w:rPr>
        <w:t xml:space="preserve">Yell </w:t>
      </w:r>
      <w:proofErr w:type="spellStart"/>
      <w:r w:rsidRPr="008D5B20">
        <w:rPr>
          <w:b/>
        </w:rPr>
        <w:t>Bondco</w:t>
      </w:r>
      <w:proofErr w:type="spellEnd"/>
      <w:r w:rsidRPr="008D5B20">
        <w:rPr>
          <w:b/>
        </w:rPr>
        <w:t xml:space="preserve"> plc</w:t>
      </w:r>
    </w:p>
    <w:p w14:paraId="24877903" w14:textId="5BC51DE9" w:rsidR="008D5B20" w:rsidRDefault="006C3265" w:rsidP="008D5B20">
      <w:pPr>
        <w:jc w:val="right"/>
      </w:pPr>
      <w:r w:rsidRPr="005C0ED5">
        <w:rPr>
          <w:rFonts w:cstheme="minorHAnsi"/>
        </w:rPr>
        <w:t>20</w:t>
      </w:r>
      <w:r w:rsidR="00B732F6">
        <w:t xml:space="preserve"> </w:t>
      </w:r>
      <w:r w:rsidR="00443647">
        <w:t>February</w:t>
      </w:r>
      <w:r w:rsidR="00540CB7">
        <w:t xml:space="preserve"> 202</w:t>
      </w:r>
      <w:r w:rsidR="00C12497">
        <w:t>6</w:t>
      </w:r>
    </w:p>
    <w:p w14:paraId="5D6BF7DD" w14:textId="2C0724D1" w:rsidR="008D5B20" w:rsidRDefault="008D5B20" w:rsidP="008D5B20"/>
    <w:p w14:paraId="28948331" w14:textId="2166D7CA" w:rsidR="008D5B20" w:rsidRPr="008D5B20" w:rsidRDefault="00540CB7" w:rsidP="008D5B20">
      <w:pPr>
        <w:rPr>
          <w:i/>
        </w:rPr>
      </w:pPr>
      <w:r w:rsidRPr="008D5B20">
        <w:rPr>
          <w:i/>
        </w:rPr>
        <w:t>This report is for information purposes only and does not constitute a prospectus or any offer to sell or the solicitation of an offer to buy any security in the United States of America, the United Kingdom or in any other jurisdiction. Securities may not be offered, sold or transferred within the United States except pursuant to an exemption from, or in a transaction not subject to, the registration requirements of the U.S. Securities Act of 1933, as amended.</w:t>
      </w:r>
    </w:p>
    <w:p w14:paraId="1887A81F" w14:textId="77777777" w:rsidR="008D5B20" w:rsidRPr="008D5B20" w:rsidRDefault="00540CB7" w:rsidP="008D5B20">
      <w:pPr>
        <w:rPr>
          <w:i/>
        </w:rPr>
      </w:pPr>
      <w:r w:rsidRPr="008D5B20">
        <w:rPr>
          <w:i/>
        </w:rPr>
        <w:t>This report may include forward-looking statements within the meaning of the securities laws of certain applicable jurisdictions. These forward-looking statements include, but are not limited to, all statements other than statements of historical facts, including, without limitation, those regarding our intentions, beliefs or current expectations concerning, among other things, our future financial conditions and performance, results of operations and liquidity, our strategy, plans, objectives, prospects, growth, goals and targets, future developments in the markets in which we participate or are seeking to participate, and anticipated regulatory changes in the industry in which we operate. These forward-looking statements can be identified by the use of forward-looking terminology, including, but not limited to, terms such as “aim”, “anticipate”, “assume”, “believe”, “continue”, “could”, “estimate”, “expect”, “forecast”, “guidance”, “intend”, “may”, “outlook”, “plan”, “predict”, “project”, “should”, “will” or “would” or, in each case, their negative, or other variations or comparable terminology.</w:t>
      </w:r>
    </w:p>
    <w:p w14:paraId="35EA113F" w14:textId="2C4BCEED" w:rsidR="008D5B20" w:rsidRPr="008D5B20" w:rsidRDefault="00540CB7" w:rsidP="008D5B20">
      <w:pPr>
        <w:rPr>
          <w:i/>
        </w:rPr>
      </w:pPr>
      <w:r w:rsidRPr="008D5B20">
        <w:rPr>
          <w:i/>
        </w:rPr>
        <w:t xml:space="preserve">By their nature, forward-looking statements involve known and unknown risks, uncertainties and other factors because they relate to events and depend on circumstances that may or may not occur in the future. We caution you that forward-looking statements are not guarantees of future performance and are based on numerous assumptions. Our actual financial condition, results of operations and cash flows, and the development of the industry in which we operate, may differ </w:t>
      </w:r>
      <w:r w:rsidRPr="008D5B20">
        <w:rPr>
          <w:i/>
        </w:rPr>
        <w:lastRenderedPageBreak/>
        <w:t>materially from (and be more negative than) those made in, or suggested by, the forward-looking statements contained in this report. In addition, even if our financial condition, results of operations and cash flows, and the development of the industry in which we operate, are consistent with the forward-looking statements contained in this report, those results or developments may not be indicative of results or developments in subsequent periods. We undertake no obligation publicly to update or revise any forward-looking statements, except as may be required by law.</w:t>
      </w:r>
    </w:p>
    <w:sectPr w:rsidR="008D5B20" w:rsidRPr="008D5B2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64DF" w14:textId="77777777" w:rsidR="005265C3" w:rsidRDefault="005265C3" w:rsidP="00F57529">
      <w:pPr>
        <w:spacing w:after="0" w:line="240" w:lineRule="auto"/>
      </w:pPr>
      <w:r>
        <w:separator/>
      </w:r>
    </w:p>
  </w:endnote>
  <w:endnote w:type="continuationSeparator" w:id="0">
    <w:p w14:paraId="1CEB503B" w14:textId="77777777" w:rsidR="005265C3" w:rsidRDefault="005265C3" w:rsidP="00F5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441" w14:textId="77777777" w:rsidR="00B92D92" w:rsidRDefault="00B92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A1D9" w14:textId="77777777" w:rsidR="00B92D92" w:rsidRDefault="00B92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F655" w14:textId="77777777" w:rsidR="00B92D92" w:rsidRDefault="00B9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63F9" w14:textId="77777777" w:rsidR="005265C3" w:rsidRDefault="005265C3" w:rsidP="00F57529">
      <w:pPr>
        <w:spacing w:after="0" w:line="240" w:lineRule="auto"/>
      </w:pPr>
      <w:r>
        <w:separator/>
      </w:r>
    </w:p>
  </w:footnote>
  <w:footnote w:type="continuationSeparator" w:id="0">
    <w:p w14:paraId="14A22F20" w14:textId="77777777" w:rsidR="005265C3" w:rsidRDefault="005265C3" w:rsidP="00F5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15AB" w14:textId="77777777" w:rsidR="00B92D92" w:rsidRDefault="00B9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C3FD" w14:textId="4FEE3002" w:rsidR="00F57529" w:rsidRDefault="00D75308">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73F1" w14:textId="77777777" w:rsidR="00B92D92" w:rsidRDefault="00B9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52F4F"/>
    <w:multiLevelType w:val="hybridMultilevel"/>
    <w:tmpl w:val="9A181130"/>
    <w:lvl w:ilvl="0" w:tplc="419A0CB2">
      <w:numFmt w:val="bullet"/>
      <w:lvlText w:val="-"/>
      <w:lvlJc w:val="left"/>
      <w:pPr>
        <w:ind w:left="720" w:hanging="360"/>
      </w:pPr>
      <w:rPr>
        <w:rFonts w:ascii="Calibri" w:eastAsiaTheme="minorHAnsi" w:hAnsi="Calibri" w:cs="Calibri" w:hint="default"/>
      </w:rPr>
    </w:lvl>
    <w:lvl w:ilvl="1" w:tplc="568EF5B2">
      <w:start w:val="1"/>
      <w:numFmt w:val="bullet"/>
      <w:lvlText w:val="o"/>
      <w:lvlJc w:val="left"/>
      <w:pPr>
        <w:ind w:left="1440" w:hanging="360"/>
      </w:pPr>
      <w:rPr>
        <w:rFonts w:ascii="Courier New" w:hAnsi="Courier New" w:cs="Courier New" w:hint="default"/>
      </w:rPr>
    </w:lvl>
    <w:lvl w:ilvl="2" w:tplc="58ECAF48">
      <w:start w:val="1"/>
      <w:numFmt w:val="bullet"/>
      <w:lvlText w:val=""/>
      <w:lvlJc w:val="left"/>
      <w:pPr>
        <w:ind w:left="2160" w:hanging="360"/>
      </w:pPr>
      <w:rPr>
        <w:rFonts w:ascii="Wingdings" w:hAnsi="Wingdings" w:hint="default"/>
      </w:rPr>
    </w:lvl>
    <w:lvl w:ilvl="3" w:tplc="FFD2DDC4">
      <w:start w:val="1"/>
      <w:numFmt w:val="bullet"/>
      <w:lvlText w:val=""/>
      <w:lvlJc w:val="left"/>
      <w:pPr>
        <w:ind w:left="2880" w:hanging="360"/>
      </w:pPr>
      <w:rPr>
        <w:rFonts w:ascii="Symbol" w:hAnsi="Symbol" w:hint="default"/>
      </w:rPr>
    </w:lvl>
    <w:lvl w:ilvl="4" w:tplc="36749204">
      <w:start w:val="1"/>
      <w:numFmt w:val="bullet"/>
      <w:lvlText w:val="o"/>
      <w:lvlJc w:val="left"/>
      <w:pPr>
        <w:ind w:left="3600" w:hanging="360"/>
      </w:pPr>
      <w:rPr>
        <w:rFonts w:ascii="Courier New" w:hAnsi="Courier New" w:cs="Courier New" w:hint="default"/>
      </w:rPr>
    </w:lvl>
    <w:lvl w:ilvl="5" w:tplc="1E1805AE">
      <w:start w:val="1"/>
      <w:numFmt w:val="bullet"/>
      <w:lvlText w:val=""/>
      <w:lvlJc w:val="left"/>
      <w:pPr>
        <w:ind w:left="4320" w:hanging="360"/>
      </w:pPr>
      <w:rPr>
        <w:rFonts w:ascii="Wingdings" w:hAnsi="Wingdings" w:hint="default"/>
      </w:rPr>
    </w:lvl>
    <w:lvl w:ilvl="6" w:tplc="41968196">
      <w:start w:val="1"/>
      <w:numFmt w:val="bullet"/>
      <w:lvlText w:val=""/>
      <w:lvlJc w:val="left"/>
      <w:pPr>
        <w:ind w:left="5040" w:hanging="360"/>
      </w:pPr>
      <w:rPr>
        <w:rFonts w:ascii="Symbol" w:hAnsi="Symbol" w:hint="default"/>
      </w:rPr>
    </w:lvl>
    <w:lvl w:ilvl="7" w:tplc="FFE0D492">
      <w:start w:val="1"/>
      <w:numFmt w:val="bullet"/>
      <w:lvlText w:val="o"/>
      <w:lvlJc w:val="left"/>
      <w:pPr>
        <w:ind w:left="5760" w:hanging="360"/>
      </w:pPr>
      <w:rPr>
        <w:rFonts w:ascii="Courier New" w:hAnsi="Courier New" w:cs="Courier New" w:hint="default"/>
      </w:rPr>
    </w:lvl>
    <w:lvl w:ilvl="8" w:tplc="83FCD2E2">
      <w:start w:val="1"/>
      <w:numFmt w:val="bullet"/>
      <w:lvlText w:val=""/>
      <w:lvlJc w:val="left"/>
      <w:pPr>
        <w:ind w:left="6480" w:hanging="360"/>
      </w:pPr>
      <w:rPr>
        <w:rFonts w:ascii="Wingdings" w:hAnsi="Wingdings" w:hint="default"/>
      </w:rPr>
    </w:lvl>
  </w:abstractNum>
  <w:num w:numId="1" w16cid:durableId="213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6F"/>
    <w:rsid w:val="00014523"/>
    <w:rsid w:val="000403AC"/>
    <w:rsid w:val="00045E37"/>
    <w:rsid w:val="000665A2"/>
    <w:rsid w:val="000866D1"/>
    <w:rsid w:val="000B45E0"/>
    <w:rsid w:val="000C6418"/>
    <w:rsid w:val="000F18F7"/>
    <w:rsid w:val="00106C11"/>
    <w:rsid w:val="00165AE4"/>
    <w:rsid w:val="00167A6F"/>
    <w:rsid w:val="001708B3"/>
    <w:rsid w:val="001E6E57"/>
    <w:rsid w:val="0026296B"/>
    <w:rsid w:val="00284CA0"/>
    <w:rsid w:val="00286180"/>
    <w:rsid w:val="00291BA8"/>
    <w:rsid w:val="0029224D"/>
    <w:rsid w:val="003058E4"/>
    <w:rsid w:val="003107A5"/>
    <w:rsid w:val="00311822"/>
    <w:rsid w:val="003310FE"/>
    <w:rsid w:val="003467DC"/>
    <w:rsid w:val="00376D72"/>
    <w:rsid w:val="00395451"/>
    <w:rsid w:val="0039773A"/>
    <w:rsid w:val="003E608E"/>
    <w:rsid w:val="003F5EA1"/>
    <w:rsid w:val="0043443F"/>
    <w:rsid w:val="00443647"/>
    <w:rsid w:val="00455836"/>
    <w:rsid w:val="00467D1E"/>
    <w:rsid w:val="00475209"/>
    <w:rsid w:val="004922DE"/>
    <w:rsid w:val="004D2F3D"/>
    <w:rsid w:val="004F233B"/>
    <w:rsid w:val="004F3A4F"/>
    <w:rsid w:val="005265C3"/>
    <w:rsid w:val="00534CC1"/>
    <w:rsid w:val="00540CB7"/>
    <w:rsid w:val="005637F4"/>
    <w:rsid w:val="005660F0"/>
    <w:rsid w:val="005A0E32"/>
    <w:rsid w:val="005C0ED5"/>
    <w:rsid w:val="00604F62"/>
    <w:rsid w:val="00612781"/>
    <w:rsid w:val="00635A49"/>
    <w:rsid w:val="006376CA"/>
    <w:rsid w:val="00676479"/>
    <w:rsid w:val="00682E93"/>
    <w:rsid w:val="006A28E1"/>
    <w:rsid w:val="006C3265"/>
    <w:rsid w:val="0070756F"/>
    <w:rsid w:val="007366A0"/>
    <w:rsid w:val="007D2768"/>
    <w:rsid w:val="007D7E6F"/>
    <w:rsid w:val="00840088"/>
    <w:rsid w:val="00874A66"/>
    <w:rsid w:val="00882F5B"/>
    <w:rsid w:val="008B499E"/>
    <w:rsid w:val="008B49DC"/>
    <w:rsid w:val="008B7F4B"/>
    <w:rsid w:val="008D5B20"/>
    <w:rsid w:val="00923638"/>
    <w:rsid w:val="009466B2"/>
    <w:rsid w:val="00952C7C"/>
    <w:rsid w:val="009D6531"/>
    <w:rsid w:val="009F13AB"/>
    <w:rsid w:val="00A1550E"/>
    <w:rsid w:val="00A3433A"/>
    <w:rsid w:val="00A64F54"/>
    <w:rsid w:val="00A7492F"/>
    <w:rsid w:val="00A92543"/>
    <w:rsid w:val="00A93483"/>
    <w:rsid w:val="00A97AD6"/>
    <w:rsid w:val="00B340F4"/>
    <w:rsid w:val="00B732F6"/>
    <w:rsid w:val="00B92D92"/>
    <w:rsid w:val="00BE604D"/>
    <w:rsid w:val="00C12497"/>
    <w:rsid w:val="00C17698"/>
    <w:rsid w:val="00C348BF"/>
    <w:rsid w:val="00CD389E"/>
    <w:rsid w:val="00CE2010"/>
    <w:rsid w:val="00CE6695"/>
    <w:rsid w:val="00D10746"/>
    <w:rsid w:val="00D7058D"/>
    <w:rsid w:val="00D75308"/>
    <w:rsid w:val="00DE083D"/>
    <w:rsid w:val="00E50F23"/>
    <w:rsid w:val="00E621B7"/>
    <w:rsid w:val="00E712C3"/>
    <w:rsid w:val="00E939C5"/>
    <w:rsid w:val="00EF2803"/>
    <w:rsid w:val="00F020FA"/>
    <w:rsid w:val="00F17911"/>
    <w:rsid w:val="00F44916"/>
    <w:rsid w:val="00F467CD"/>
    <w:rsid w:val="00F57529"/>
    <w:rsid w:val="00F71B4C"/>
    <w:rsid w:val="00F850A3"/>
    <w:rsid w:val="00F954FD"/>
    <w:rsid w:val="00FC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B6F3"/>
  <w15:chartTrackingRefBased/>
  <w15:docId w15:val="{4B25DB53-A345-4489-AAB7-DCCD29C8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3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33B"/>
    <w:pPr>
      <w:ind w:left="720"/>
      <w:contextualSpacing/>
    </w:pPr>
  </w:style>
  <w:style w:type="paragraph" w:styleId="Revision">
    <w:name w:val="Revision"/>
    <w:hidden/>
    <w:uiPriority w:val="99"/>
    <w:semiHidden/>
    <w:rsid w:val="00045E37"/>
    <w:pPr>
      <w:spacing w:after="0" w:line="240" w:lineRule="auto"/>
    </w:pPr>
  </w:style>
  <w:style w:type="paragraph" w:styleId="Header">
    <w:name w:val="header"/>
    <w:basedOn w:val="Normal"/>
    <w:link w:val="HeaderChar"/>
    <w:uiPriority w:val="99"/>
    <w:unhideWhenUsed/>
    <w:rsid w:val="00F57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529"/>
  </w:style>
  <w:style w:type="paragraph" w:styleId="Footer">
    <w:name w:val="footer"/>
    <w:basedOn w:val="Normal"/>
    <w:link w:val="FooterChar"/>
    <w:uiPriority w:val="99"/>
    <w:unhideWhenUsed/>
    <w:rsid w:val="00F57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b8e906-d488-48ba-8e92-286e54ab1b42" xsi:nil="true"/>
    <_ip_UnifiedCompliancePolicyProperties xmlns="http://schemas.microsoft.com/sharepoint/v3" xsi:nil="true"/>
    <lcf76f155ced4ddcb4097134ff3c332f xmlns="ae8f7a3c-f884-4a21-a644-90a75f650f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40EF47ED03849B6ECB39177CA47A0" ma:contentTypeVersion="17" ma:contentTypeDescription="Create a new document." ma:contentTypeScope="" ma:versionID="de82c2bb4006dc51e5a36f197153b27b">
  <xsd:schema xmlns:xsd="http://www.w3.org/2001/XMLSchema" xmlns:xs="http://www.w3.org/2001/XMLSchema" xmlns:p="http://schemas.microsoft.com/office/2006/metadata/properties" xmlns:ns1="http://schemas.microsoft.com/sharepoint/v3" xmlns:ns2="ae8f7a3c-f884-4a21-a644-90a75f650f06" xmlns:ns3="b1b8e906-d488-48ba-8e92-286e54ab1b42" targetNamespace="http://schemas.microsoft.com/office/2006/metadata/properties" ma:root="true" ma:fieldsID="f5942e6f0c8a3c818df367d65863f856" ns1:_="" ns2:_="" ns3:_="">
    <xsd:import namespace="http://schemas.microsoft.com/sharepoint/v3"/>
    <xsd:import namespace="ae8f7a3c-f884-4a21-a644-90a75f650f06"/>
    <xsd:import namespace="b1b8e906-d488-48ba-8e92-286e54ab1b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f7a3c-f884-4a21-a644-90a75f650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192323-d66c-4228-a337-b603d62848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8e906-d488-48ba-8e92-286e54ab1b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ea139f-037a-4929-97e1-dcbb4b758968}" ma:internalName="TaxCatchAll" ma:showField="CatchAllData" ma:web="b1b8e906-d488-48ba-8e92-286e54ab1b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FADBA-20EF-437E-B303-31111EFCA861}">
  <ds:schemaRefs>
    <ds:schemaRef ds:uri="http://schemas.microsoft.com/office/2006/metadata/properties"/>
    <ds:schemaRef ds:uri="http://schemas.microsoft.com/office/infopath/2007/PartnerControls"/>
    <ds:schemaRef ds:uri="http://schemas.microsoft.com/sharepoint/v3"/>
    <ds:schemaRef ds:uri="b1b8e906-d488-48ba-8e92-286e54ab1b42"/>
    <ds:schemaRef ds:uri="ae8f7a3c-f884-4a21-a644-90a75f650f06"/>
  </ds:schemaRefs>
</ds:datastoreItem>
</file>

<file path=customXml/itemProps2.xml><?xml version="1.0" encoding="utf-8"?>
<ds:datastoreItem xmlns:ds="http://schemas.openxmlformats.org/officeDocument/2006/customXml" ds:itemID="{C220A79E-B831-4DF0-91C7-9BE9089F0449}">
  <ds:schemaRefs>
    <ds:schemaRef ds:uri="http://schemas.microsoft.com/sharepoint/v3/contenttype/forms"/>
  </ds:schemaRefs>
</ds:datastoreItem>
</file>

<file path=customXml/itemProps3.xml><?xml version="1.0" encoding="utf-8"?>
<ds:datastoreItem xmlns:ds="http://schemas.openxmlformats.org/officeDocument/2006/customXml" ds:itemID="{A55EB5AF-104E-455C-975D-C7909E813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8f7a3c-f884-4a21-a644-90a75f650f06"/>
    <ds:schemaRef ds:uri="b1b8e906-d488-48ba-8e92-286e54ab1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5f0c8f-32eb-4739-9148-6e1cb60704ec}" enabled="1" method="Standard" siteId="{b081cf4d-c2bf-4158-8546-e19be373eb8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3355</Characters>
  <Application>Microsoft Office Word</Application>
  <DocSecurity>0</DocSecurity>
  <Lines>48</Lines>
  <Paragraphs>12</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Dorothy Cronshaw</cp:lastModifiedBy>
  <cp:revision>7</cp:revision>
  <dcterms:created xsi:type="dcterms:W3CDTF">1900-01-01T00:00:00Z</dcterms:created>
  <dcterms:modified xsi:type="dcterms:W3CDTF">2026-02-20T09:34:00Z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0x01010009D40EF47ED03849B6ECB39177CA47A0</vt:lpwstr>
  </property>
  <property fmtid="{D5CDD505-2E9C-101B-9397-08002B2CF9AE}" pid="3" name="MediaServiceImageTags">
    <vt:lpwstr/>
  </property>
</Properties>
</file>