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937F4" w14:textId="77777777" w:rsidR="007A0595" w:rsidRDefault="00000000">
      <w:pPr>
        <w:spacing w:before="77"/>
        <w:ind w:left="2724" w:right="2694"/>
        <w:jc w:val="center"/>
        <w:rPr>
          <w:b/>
          <w:sz w:val="20"/>
        </w:rPr>
      </w:pPr>
      <w:r>
        <w:rPr>
          <w:b/>
          <w:sz w:val="20"/>
        </w:rPr>
        <w:t>Pillar Properties Resident Screening Policy</w:t>
      </w:r>
    </w:p>
    <w:p w14:paraId="4FE450CC" w14:textId="77777777" w:rsidR="007A0595" w:rsidRDefault="007A0595">
      <w:pPr>
        <w:pStyle w:val="BodyText"/>
        <w:rPr>
          <w:b/>
          <w:sz w:val="22"/>
        </w:rPr>
      </w:pPr>
    </w:p>
    <w:p w14:paraId="04FC950E" w14:textId="77777777" w:rsidR="007A0595" w:rsidRDefault="007A0595">
      <w:pPr>
        <w:pStyle w:val="BodyText"/>
        <w:spacing w:before="1"/>
        <w:rPr>
          <w:b/>
          <w:sz w:val="18"/>
        </w:rPr>
      </w:pPr>
    </w:p>
    <w:p w14:paraId="68EEDF9F" w14:textId="77777777" w:rsidR="007A0595" w:rsidRDefault="00000000">
      <w:pPr>
        <w:pStyle w:val="BodyText"/>
        <w:ind w:left="120" w:right="148"/>
      </w:pPr>
      <w:r>
        <w:t>Pillar Properties operates in accordance with the Federal Fair Housing Act, as well as all state and local fair housing and civil rights laws. We do not discriminate against any person based on race, color, religion, gender, national origin, age, sex, familial status, handicap, disability, veteran status, or any other basis protected by applicable state or local laws. The Rental Criteria below outlines some of the policies for this community with regard to standards that may be required by each applicant in order to be approved for residency.</w:t>
      </w:r>
    </w:p>
    <w:p w14:paraId="2F05D70A" w14:textId="77777777" w:rsidR="007A0595" w:rsidRDefault="007A0595">
      <w:pPr>
        <w:pStyle w:val="BodyText"/>
        <w:spacing w:before="10"/>
        <w:rPr>
          <w:sz w:val="19"/>
        </w:rPr>
      </w:pPr>
    </w:p>
    <w:p w14:paraId="0E177347" w14:textId="77777777" w:rsidR="007A0595" w:rsidRDefault="00000000">
      <w:pPr>
        <w:pStyle w:val="BodyText"/>
        <w:ind w:left="119" w:right="146"/>
      </w:pPr>
      <w:r>
        <w:t xml:space="preserve">All applications are considered complete upon the submission of a completed application, payment of the application fee, and payment of the holding fee pursuant to 59.18.253 RCW, in addition to any information as set forth below. The application screening fee is $45 per applicant and $75 per corporate applicant, and the security deposit is $600, and is subject to the terms and conditions provided separately. The application fee is </w:t>
      </w:r>
      <w:r>
        <w:rPr>
          <w:u w:val="single"/>
        </w:rPr>
        <w:t>non-refundable</w:t>
      </w:r>
      <w:r>
        <w:t>, regardless of approval status.</w:t>
      </w:r>
    </w:p>
    <w:p w14:paraId="34AE19B3" w14:textId="77777777" w:rsidR="007A0595" w:rsidRDefault="007A0595">
      <w:pPr>
        <w:pStyle w:val="BodyText"/>
        <w:spacing w:before="2"/>
      </w:pPr>
    </w:p>
    <w:p w14:paraId="161CB6A1" w14:textId="77777777" w:rsidR="007A0595" w:rsidRDefault="00000000">
      <w:pPr>
        <w:pStyle w:val="BodyText"/>
        <w:ind w:left="120" w:right="215"/>
      </w:pPr>
      <w:r>
        <w:t>The Holding Deposit will be retained by Owner as liquidated damages; in which all further obligations to rent the Leased Premises shall be terminated if: (1) the rental application is withdrawn by Residents, for any reason after twenty-four (24) hours; (2) the rental application is approved, with or without conditions, such as a guarantor or additional security deposit, but Residents do not execute the Residential Lease Contract as and when required by Owner (within 72 hours of approval); or (3) Residents have provided false or misleading information within the rental application.</w:t>
      </w:r>
    </w:p>
    <w:p w14:paraId="669706B8" w14:textId="77777777" w:rsidR="007A0595" w:rsidRDefault="007A0595">
      <w:pPr>
        <w:pStyle w:val="BodyText"/>
        <w:spacing w:before="1"/>
      </w:pPr>
    </w:p>
    <w:p w14:paraId="4AE99E94" w14:textId="77777777" w:rsidR="007A0595" w:rsidRDefault="00000000">
      <w:pPr>
        <w:pStyle w:val="BodyText"/>
        <w:ind w:left="119" w:right="148"/>
      </w:pPr>
      <w:r>
        <w:t>Applicant has 24 hours from date of deposit to cancel this reservation and receive a full refund of the holding deposit. The deposit shall only be refunded if the owner rejects the applicant after a credit and reference check.</w:t>
      </w:r>
    </w:p>
    <w:p w14:paraId="7F757684" w14:textId="77777777" w:rsidR="007A0595" w:rsidRDefault="007A0595">
      <w:pPr>
        <w:pStyle w:val="BodyText"/>
      </w:pPr>
    </w:p>
    <w:p w14:paraId="5850B597" w14:textId="77777777" w:rsidR="007A0595" w:rsidRDefault="00000000">
      <w:pPr>
        <w:pStyle w:val="BodyText"/>
        <w:ind w:left="119" w:right="182"/>
      </w:pPr>
      <w:r>
        <w:t>An applicant can switch to an apartment home in the same building within 24 hours of approval without a fee. A cancellation fee of $150 is applied should an applicant switch apartment home after the initial approval. Rates and terms will vary.</w:t>
      </w:r>
    </w:p>
    <w:p w14:paraId="2B5343A3" w14:textId="77777777" w:rsidR="007A0595" w:rsidRDefault="007A0595">
      <w:pPr>
        <w:pStyle w:val="BodyText"/>
        <w:spacing w:before="10"/>
        <w:rPr>
          <w:sz w:val="19"/>
        </w:rPr>
      </w:pPr>
    </w:p>
    <w:p w14:paraId="34569FA1" w14:textId="77777777" w:rsidR="007A0595" w:rsidRDefault="00000000">
      <w:pPr>
        <w:pStyle w:val="BodyText"/>
        <w:ind w:left="120" w:right="148"/>
      </w:pPr>
      <w:r>
        <w:t>All applicants must be of legal age. All parties 18 years of age or older are required to complete an application and pay any and all applicable fees. Applications are to be completed in full; applications containing untrue, incorrect, or misleading information will be denied. The application fee is non- refundable unless otherwise provided by state or local law.</w:t>
      </w:r>
    </w:p>
    <w:p w14:paraId="7A36AE0A" w14:textId="77777777" w:rsidR="007A0595" w:rsidRDefault="007A0595">
      <w:pPr>
        <w:pStyle w:val="BodyText"/>
      </w:pPr>
    </w:p>
    <w:p w14:paraId="1EBFAB93" w14:textId="77777777" w:rsidR="007A0595" w:rsidRDefault="00000000">
      <w:pPr>
        <w:pStyle w:val="BodyText"/>
        <w:ind w:left="119"/>
      </w:pPr>
      <w:r>
        <w:t xml:space="preserve">As part of your rental application process, </w:t>
      </w:r>
      <w:proofErr w:type="spellStart"/>
      <w:r>
        <w:t>RentGrow</w:t>
      </w:r>
      <w:proofErr w:type="spellEnd"/>
      <w:r>
        <w:t xml:space="preserve"> Resident Screening will create a rental report that accesses up to three types of information about you: 1) credit/financial records; 2) court records; and 3) personal references. Any negative, misleading, or unverifiable information may result in the denial of your application.</w:t>
      </w:r>
    </w:p>
    <w:p w14:paraId="3A25D648" w14:textId="77777777" w:rsidR="007A0595" w:rsidRDefault="007A0595">
      <w:pPr>
        <w:pStyle w:val="BodyText"/>
        <w:spacing w:before="2"/>
      </w:pPr>
    </w:p>
    <w:p w14:paraId="589A649E" w14:textId="77777777" w:rsidR="007A0595" w:rsidRDefault="00000000">
      <w:pPr>
        <w:spacing w:before="1"/>
        <w:ind w:left="119" w:right="171"/>
        <w:rPr>
          <w:i/>
          <w:sz w:val="20"/>
        </w:rPr>
      </w:pPr>
      <w:r>
        <w:rPr>
          <w:i/>
          <w:sz w:val="20"/>
        </w:rPr>
        <w:t>Pillar Properties does not accept reusable screening reports, however reserves the right to run additional screening for new residents using the criteria and screening company noted below.</w:t>
      </w:r>
    </w:p>
    <w:p w14:paraId="3612E0C8" w14:textId="77777777" w:rsidR="007A0595" w:rsidRDefault="007A0595">
      <w:pPr>
        <w:pStyle w:val="BodyText"/>
        <w:spacing w:before="9"/>
        <w:rPr>
          <w:i/>
          <w:sz w:val="19"/>
        </w:rPr>
      </w:pPr>
    </w:p>
    <w:p w14:paraId="0D463B44" w14:textId="77777777" w:rsidR="007A0595" w:rsidRDefault="00000000">
      <w:pPr>
        <w:pStyle w:val="BodyText"/>
        <w:ind w:left="119" w:right="148"/>
      </w:pPr>
      <w:r>
        <w:t xml:space="preserve">Every applicant is treated objectively because each application is scored statistically in exactly the same manner. The rental report provides a recommendation using real time statistical data by evaluating those statistics with the below described rental criteria. Based on the information provided by you, </w:t>
      </w:r>
      <w:proofErr w:type="spellStart"/>
      <w:r>
        <w:t>RentGrow</w:t>
      </w:r>
      <w:proofErr w:type="spellEnd"/>
      <w:r>
        <w:t xml:space="preserve"> Resident Screening will provide one of the following recommendations to Pillar Properties:</w:t>
      </w:r>
    </w:p>
    <w:p w14:paraId="5A5C54AD" w14:textId="77777777" w:rsidR="007A0595" w:rsidRDefault="007A0595">
      <w:pPr>
        <w:pStyle w:val="BodyText"/>
        <w:spacing w:before="7"/>
      </w:pPr>
    </w:p>
    <w:p w14:paraId="6E977A5E" w14:textId="77777777" w:rsidR="003E7C41" w:rsidRPr="00DE01CA" w:rsidRDefault="003E7C41" w:rsidP="003E7C41">
      <w:pPr>
        <w:pStyle w:val="BodyText"/>
        <w:numPr>
          <w:ilvl w:val="0"/>
          <w:numId w:val="5"/>
        </w:numPr>
        <w:rPr>
          <w:bCs/>
          <w:szCs w:val="22"/>
        </w:rPr>
      </w:pPr>
      <w:r w:rsidRPr="00DE01CA">
        <w:rPr>
          <w:b/>
          <w:szCs w:val="22"/>
        </w:rPr>
        <w:t xml:space="preserve">Accepted: </w:t>
      </w:r>
      <w:r w:rsidRPr="00DE01CA">
        <w:rPr>
          <w:bCs/>
          <w:szCs w:val="22"/>
        </w:rPr>
        <w:t>The applicant is accepted with standard deposit and fees. Currently Pillar’s standard is $600.</w:t>
      </w:r>
    </w:p>
    <w:p w14:paraId="443E53AC" w14:textId="77777777" w:rsidR="003E7C41" w:rsidRPr="00DE01CA" w:rsidRDefault="003E7C41" w:rsidP="003E7C41">
      <w:pPr>
        <w:pStyle w:val="BodyText"/>
        <w:numPr>
          <w:ilvl w:val="0"/>
          <w:numId w:val="5"/>
        </w:numPr>
        <w:rPr>
          <w:b/>
          <w:szCs w:val="22"/>
        </w:rPr>
      </w:pPr>
      <w:r w:rsidRPr="00DE01CA">
        <w:rPr>
          <w:b/>
          <w:szCs w:val="22"/>
        </w:rPr>
        <w:t xml:space="preserve">Accepted with Conditions: </w:t>
      </w:r>
      <w:r w:rsidRPr="00DE01CA">
        <w:rPr>
          <w:bCs/>
          <w:szCs w:val="22"/>
        </w:rPr>
        <w:t>The applicant may be given the option to pay an additional security deposit</w:t>
      </w:r>
      <w:r>
        <w:rPr>
          <w:bCs/>
          <w:szCs w:val="22"/>
        </w:rPr>
        <w:t>.</w:t>
      </w:r>
    </w:p>
    <w:p w14:paraId="261CBA23" w14:textId="77777777" w:rsidR="003E7C41" w:rsidRPr="00DE01CA" w:rsidRDefault="003E7C41" w:rsidP="003E7C41">
      <w:pPr>
        <w:pStyle w:val="BodyText"/>
        <w:numPr>
          <w:ilvl w:val="0"/>
          <w:numId w:val="5"/>
        </w:numPr>
        <w:rPr>
          <w:bCs/>
          <w:szCs w:val="22"/>
        </w:rPr>
      </w:pPr>
      <w:r w:rsidRPr="00DE01CA">
        <w:rPr>
          <w:b/>
          <w:szCs w:val="22"/>
        </w:rPr>
        <w:t xml:space="preserve">Denied: </w:t>
      </w:r>
      <w:r w:rsidRPr="00DE01CA">
        <w:rPr>
          <w:bCs/>
          <w:szCs w:val="22"/>
        </w:rPr>
        <w:t xml:space="preserve">The application will not be accepted, unless they are approved via The Guarantors. </w:t>
      </w:r>
    </w:p>
    <w:p w14:paraId="00416854" w14:textId="77777777" w:rsidR="003E7C41" w:rsidRDefault="003E7C41">
      <w:pPr>
        <w:pStyle w:val="BodyText"/>
        <w:spacing w:before="78"/>
        <w:ind w:left="120"/>
      </w:pPr>
    </w:p>
    <w:p w14:paraId="312BF8B8" w14:textId="21F64853" w:rsidR="007A0595" w:rsidRDefault="00000000">
      <w:pPr>
        <w:pStyle w:val="BodyText"/>
        <w:spacing w:before="78"/>
        <w:ind w:left="120"/>
      </w:pPr>
      <w:r>
        <w:t xml:space="preserve">In the event of a denial or other adverse action, you have a right to obtain a free copy of your rental report from </w:t>
      </w:r>
      <w:proofErr w:type="spellStart"/>
      <w:r>
        <w:t>RentGrow</w:t>
      </w:r>
      <w:proofErr w:type="spellEnd"/>
      <w:r>
        <w:t xml:space="preserve"> and to dispute the accuracy of any information appearing in it. You may contact</w:t>
      </w:r>
    </w:p>
    <w:p w14:paraId="7EF18AD3" w14:textId="77777777" w:rsidR="007A0595" w:rsidRDefault="00000000">
      <w:pPr>
        <w:pStyle w:val="BodyText"/>
        <w:spacing w:before="80"/>
        <w:ind w:left="120" w:right="282"/>
      </w:pPr>
      <w:proofErr w:type="spellStart"/>
      <w:r>
        <w:lastRenderedPageBreak/>
        <w:t>RentGrow</w:t>
      </w:r>
      <w:proofErr w:type="spellEnd"/>
      <w:r>
        <w:t xml:space="preserve"> electronically at </w:t>
      </w:r>
      <w:r>
        <w:rPr>
          <w:color w:val="0000FF"/>
          <w:u w:val="single" w:color="0000FF"/>
        </w:rPr>
        <w:t>https</w:t>
      </w:r>
      <w:hyperlink r:id="rId7">
        <w:r>
          <w:rPr>
            <w:color w:val="0000FF"/>
            <w:u w:val="single" w:color="0000FF"/>
          </w:rPr>
          <w:t>://www.rentgrow.com/</w:t>
        </w:r>
      </w:hyperlink>
      <w:r>
        <w:rPr>
          <w:color w:val="0000FF"/>
          <w:u w:val="single" w:color="0000FF"/>
        </w:rPr>
        <w:t>r</w:t>
      </w:r>
      <w:hyperlink r:id="rId8">
        <w:r>
          <w:rPr>
            <w:color w:val="0000FF"/>
            <w:u w:val="single" w:color="0000FF"/>
          </w:rPr>
          <w:t>equest</w:t>
        </w:r>
      </w:hyperlink>
      <w:r>
        <w:rPr>
          <w:color w:val="0000FF"/>
          <w:u w:val="single" w:color="0000FF"/>
        </w:rPr>
        <w:t>-</w:t>
      </w:r>
      <w:hyperlink r:id="rId9">
        <w:r>
          <w:rPr>
            <w:color w:val="0000FF"/>
            <w:u w:val="single" w:color="0000FF"/>
          </w:rPr>
          <w:t>now/</w:t>
        </w:r>
        <w:r>
          <w:t xml:space="preserve">, </w:t>
        </w:r>
      </w:hyperlink>
      <w:r>
        <w:t xml:space="preserve">by phone (800) 898-1351 or mail at </w:t>
      </w:r>
      <w:proofErr w:type="spellStart"/>
      <w:r>
        <w:t>RentGrow</w:t>
      </w:r>
      <w:proofErr w:type="spellEnd"/>
      <w:r>
        <w:t xml:space="preserve"> Consumer Relations, 177 Huntington Avenue, Suite 1703, #74213, Boston, MA 02115.</w:t>
      </w:r>
    </w:p>
    <w:p w14:paraId="1367B4A5" w14:textId="77777777" w:rsidR="007A0595" w:rsidRDefault="007A0595">
      <w:pPr>
        <w:pStyle w:val="BodyText"/>
        <w:spacing w:before="1"/>
      </w:pPr>
    </w:p>
    <w:p w14:paraId="0C89D850" w14:textId="77777777" w:rsidR="007A0595" w:rsidRDefault="00000000">
      <w:pPr>
        <w:pStyle w:val="ListParagraph"/>
        <w:numPr>
          <w:ilvl w:val="0"/>
          <w:numId w:val="3"/>
        </w:numPr>
        <w:tabs>
          <w:tab w:val="left" w:pos="344"/>
        </w:tabs>
        <w:ind w:right="303" w:firstLine="0"/>
        <w:rPr>
          <w:sz w:val="20"/>
        </w:rPr>
      </w:pPr>
      <w:r>
        <w:rPr>
          <w:sz w:val="20"/>
        </w:rPr>
        <w:t>OCCUPANCY GUIDELINES – The following occupancy standards apply: the maximum number of residents</w:t>
      </w:r>
      <w:r>
        <w:rPr>
          <w:spacing w:val="-2"/>
          <w:sz w:val="20"/>
        </w:rPr>
        <w:t xml:space="preserve"> </w:t>
      </w:r>
      <w:r>
        <w:rPr>
          <w:sz w:val="20"/>
        </w:rPr>
        <w:t>of</w:t>
      </w:r>
      <w:r>
        <w:rPr>
          <w:spacing w:val="-5"/>
          <w:sz w:val="20"/>
        </w:rPr>
        <w:t xml:space="preserve"> </w:t>
      </w:r>
      <w:r>
        <w:rPr>
          <w:sz w:val="20"/>
        </w:rPr>
        <w:t>each</w:t>
      </w:r>
      <w:r>
        <w:rPr>
          <w:spacing w:val="-8"/>
          <w:sz w:val="20"/>
        </w:rPr>
        <w:t xml:space="preserve"> </w:t>
      </w:r>
      <w:r>
        <w:rPr>
          <w:sz w:val="20"/>
        </w:rPr>
        <w:t>dwelling</w:t>
      </w:r>
      <w:r>
        <w:rPr>
          <w:spacing w:val="-4"/>
          <w:sz w:val="20"/>
        </w:rPr>
        <w:t xml:space="preserve"> </w:t>
      </w:r>
      <w:r>
        <w:rPr>
          <w:sz w:val="20"/>
        </w:rPr>
        <w:t>shall</w:t>
      </w:r>
      <w:r>
        <w:rPr>
          <w:spacing w:val="-6"/>
          <w:sz w:val="20"/>
        </w:rPr>
        <w:t xml:space="preserve"> </w:t>
      </w:r>
      <w:r>
        <w:rPr>
          <w:sz w:val="20"/>
        </w:rPr>
        <w:t>not</w:t>
      </w:r>
      <w:r>
        <w:rPr>
          <w:spacing w:val="-3"/>
          <w:sz w:val="20"/>
        </w:rPr>
        <w:t xml:space="preserve"> </w:t>
      </w:r>
      <w:r>
        <w:rPr>
          <w:sz w:val="20"/>
        </w:rPr>
        <w:t>exceed</w:t>
      </w:r>
      <w:r>
        <w:rPr>
          <w:spacing w:val="-7"/>
          <w:sz w:val="20"/>
        </w:rPr>
        <w:t xml:space="preserve"> </w:t>
      </w:r>
      <w:r>
        <w:rPr>
          <w:sz w:val="20"/>
        </w:rPr>
        <w:t>the</w:t>
      </w:r>
      <w:r>
        <w:rPr>
          <w:spacing w:val="-6"/>
          <w:sz w:val="20"/>
        </w:rPr>
        <w:t xml:space="preserve"> </w:t>
      </w:r>
      <w:r>
        <w:rPr>
          <w:sz w:val="20"/>
        </w:rPr>
        <w:t>gross</w:t>
      </w:r>
      <w:r>
        <w:rPr>
          <w:spacing w:val="-4"/>
          <w:sz w:val="20"/>
        </w:rPr>
        <w:t xml:space="preserve"> </w:t>
      </w:r>
      <w:r>
        <w:rPr>
          <w:sz w:val="20"/>
        </w:rPr>
        <w:t>area</w:t>
      </w:r>
      <w:r>
        <w:rPr>
          <w:spacing w:val="-6"/>
          <w:sz w:val="20"/>
        </w:rPr>
        <w:t xml:space="preserve"> </w:t>
      </w:r>
      <w:r>
        <w:rPr>
          <w:sz w:val="20"/>
        </w:rPr>
        <w:t>divided</w:t>
      </w:r>
      <w:r>
        <w:rPr>
          <w:spacing w:val="-4"/>
          <w:sz w:val="20"/>
        </w:rPr>
        <w:t xml:space="preserve"> </w:t>
      </w:r>
      <w:r>
        <w:rPr>
          <w:sz w:val="20"/>
        </w:rPr>
        <w:t>by</w:t>
      </w:r>
      <w:r>
        <w:rPr>
          <w:spacing w:val="-4"/>
          <w:sz w:val="20"/>
        </w:rPr>
        <w:t xml:space="preserve"> </w:t>
      </w:r>
      <w:r>
        <w:rPr>
          <w:sz w:val="20"/>
        </w:rPr>
        <w:t>200,</w:t>
      </w:r>
      <w:r>
        <w:rPr>
          <w:spacing w:val="-8"/>
          <w:sz w:val="20"/>
        </w:rPr>
        <w:t xml:space="preserve"> </w:t>
      </w:r>
      <w:r>
        <w:rPr>
          <w:sz w:val="20"/>
        </w:rPr>
        <w:t>rounded</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nearest</w:t>
      </w:r>
      <w:r>
        <w:rPr>
          <w:spacing w:val="-6"/>
          <w:sz w:val="20"/>
        </w:rPr>
        <w:t xml:space="preserve"> </w:t>
      </w:r>
      <w:r>
        <w:rPr>
          <w:sz w:val="20"/>
        </w:rPr>
        <w:t>whole number. Bedrooms will accommodate two persons with a minimum size of 70 square feet, with no dimension being less than seven feet. An additional 50 square feet shall be provided for each person in excess of two. Children less than one year of age shall not be considered in applying the above provisions. TMC</w:t>
      </w:r>
      <w:r>
        <w:rPr>
          <w:spacing w:val="-7"/>
          <w:sz w:val="20"/>
        </w:rPr>
        <w:t xml:space="preserve"> </w:t>
      </w:r>
      <w:r>
        <w:rPr>
          <w:sz w:val="20"/>
        </w:rPr>
        <w:t>2.01.060(V)</w:t>
      </w:r>
    </w:p>
    <w:p w14:paraId="1F3C3BA6" w14:textId="77777777" w:rsidR="007A0595" w:rsidRDefault="007A0595">
      <w:pPr>
        <w:pStyle w:val="BodyText"/>
        <w:spacing w:before="9"/>
        <w:rPr>
          <w:sz w:val="19"/>
        </w:rPr>
      </w:pPr>
    </w:p>
    <w:p w14:paraId="64C906D3" w14:textId="77777777" w:rsidR="007A0595" w:rsidRDefault="00000000">
      <w:pPr>
        <w:pStyle w:val="BodyText"/>
        <w:spacing w:before="1"/>
        <w:ind w:left="120" w:right="148"/>
      </w:pPr>
      <w:r>
        <w:t>Residents who exceed these occupancy standards during the lease term, will be required, upon the end of the current lease term to either:</w:t>
      </w:r>
    </w:p>
    <w:p w14:paraId="0F17BD59" w14:textId="77777777" w:rsidR="007A0595" w:rsidRDefault="007A0595">
      <w:pPr>
        <w:pStyle w:val="BodyText"/>
        <w:spacing w:before="1"/>
      </w:pPr>
    </w:p>
    <w:p w14:paraId="1CC7BA01" w14:textId="77777777" w:rsidR="007A0595" w:rsidRDefault="00000000">
      <w:pPr>
        <w:pStyle w:val="ListParagraph"/>
        <w:numPr>
          <w:ilvl w:val="1"/>
          <w:numId w:val="3"/>
        </w:numPr>
        <w:tabs>
          <w:tab w:val="left" w:pos="840"/>
        </w:tabs>
        <w:ind w:right="424"/>
        <w:rPr>
          <w:sz w:val="20"/>
        </w:rPr>
      </w:pPr>
      <w:r>
        <w:rPr>
          <w:sz w:val="20"/>
        </w:rPr>
        <w:t>Transfer</w:t>
      </w:r>
      <w:r>
        <w:rPr>
          <w:spacing w:val="-9"/>
          <w:sz w:val="20"/>
        </w:rPr>
        <w:t xml:space="preserve"> </w:t>
      </w:r>
      <w:r>
        <w:rPr>
          <w:sz w:val="20"/>
        </w:rPr>
        <w:t>into</w:t>
      </w:r>
      <w:r>
        <w:rPr>
          <w:spacing w:val="-6"/>
          <w:sz w:val="20"/>
        </w:rPr>
        <w:t xml:space="preserve"> </w:t>
      </w:r>
      <w:r>
        <w:rPr>
          <w:sz w:val="20"/>
        </w:rPr>
        <w:t>another</w:t>
      </w:r>
      <w:r>
        <w:rPr>
          <w:spacing w:val="-6"/>
          <w:sz w:val="20"/>
        </w:rPr>
        <w:t xml:space="preserve"> </w:t>
      </w:r>
      <w:r>
        <w:rPr>
          <w:sz w:val="20"/>
        </w:rPr>
        <w:t>available</w:t>
      </w:r>
      <w:r>
        <w:rPr>
          <w:spacing w:val="-7"/>
          <w:sz w:val="20"/>
        </w:rPr>
        <w:t xml:space="preserve"> </w:t>
      </w:r>
      <w:r>
        <w:rPr>
          <w:sz w:val="20"/>
        </w:rPr>
        <w:t>apartment</w:t>
      </w:r>
      <w:r>
        <w:rPr>
          <w:spacing w:val="-6"/>
          <w:sz w:val="20"/>
        </w:rPr>
        <w:t xml:space="preserve"> </w:t>
      </w:r>
      <w:r>
        <w:rPr>
          <w:sz w:val="20"/>
        </w:rPr>
        <w:t>which</w:t>
      </w:r>
      <w:r>
        <w:rPr>
          <w:spacing w:val="-8"/>
          <w:sz w:val="20"/>
        </w:rPr>
        <w:t xml:space="preserve"> </w:t>
      </w:r>
      <w:r>
        <w:rPr>
          <w:sz w:val="20"/>
        </w:rPr>
        <w:t>has</w:t>
      </w:r>
      <w:r>
        <w:rPr>
          <w:spacing w:val="-5"/>
          <w:sz w:val="20"/>
        </w:rPr>
        <w:t xml:space="preserve"> </w:t>
      </w:r>
      <w:r>
        <w:rPr>
          <w:sz w:val="20"/>
        </w:rPr>
        <w:t>more</w:t>
      </w:r>
      <w:r>
        <w:rPr>
          <w:spacing w:val="-10"/>
          <w:sz w:val="20"/>
        </w:rPr>
        <w:t xml:space="preserve"> </w:t>
      </w:r>
      <w:r>
        <w:rPr>
          <w:sz w:val="20"/>
        </w:rPr>
        <w:t>bedrooms</w:t>
      </w:r>
      <w:r>
        <w:rPr>
          <w:spacing w:val="-5"/>
          <w:sz w:val="20"/>
        </w:rPr>
        <w:t xml:space="preserve"> </w:t>
      </w:r>
      <w:r>
        <w:rPr>
          <w:sz w:val="20"/>
        </w:rPr>
        <w:t>at</w:t>
      </w:r>
      <w:r>
        <w:rPr>
          <w:spacing w:val="-7"/>
          <w:sz w:val="20"/>
        </w:rPr>
        <w:t xml:space="preserve"> </w:t>
      </w:r>
      <w:r>
        <w:rPr>
          <w:sz w:val="20"/>
        </w:rPr>
        <w:t>the</w:t>
      </w:r>
      <w:r>
        <w:rPr>
          <w:spacing w:val="-5"/>
          <w:sz w:val="20"/>
        </w:rPr>
        <w:t xml:space="preserve"> </w:t>
      </w:r>
      <w:r>
        <w:rPr>
          <w:sz w:val="20"/>
        </w:rPr>
        <w:t>larger</w:t>
      </w:r>
      <w:r>
        <w:rPr>
          <w:spacing w:val="-3"/>
          <w:sz w:val="20"/>
        </w:rPr>
        <w:t xml:space="preserve"> </w:t>
      </w:r>
      <w:r>
        <w:rPr>
          <w:sz w:val="20"/>
        </w:rPr>
        <w:t>units</w:t>
      </w:r>
      <w:r>
        <w:rPr>
          <w:spacing w:val="-6"/>
          <w:sz w:val="20"/>
        </w:rPr>
        <w:t xml:space="preserve"> </w:t>
      </w:r>
      <w:r>
        <w:rPr>
          <w:sz w:val="20"/>
        </w:rPr>
        <w:t>current rental rate;</w:t>
      </w:r>
      <w:r>
        <w:rPr>
          <w:spacing w:val="-2"/>
          <w:sz w:val="20"/>
        </w:rPr>
        <w:t xml:space="preserve"> </w:t>
      </w:r>
      <w:r>
        <w:rPr>
          <w:sz w:val="20"/>
        </w:rPr>
        <w:t>or</w:t>
      </w:r>
    </w:p>
    <w:p w14:paraId="35377475" w14:textId="77777777" w:rsidR="007A0595" w:rsidRDefault="00000000">
      <w:pPr>
        <w:pStyle w:val="ListParagraph"/>
        <w:numPr>
          <w:ilvl w:val="1"/>
          <w:numId w:val="3"/>
        </w:numPr>
        <w:tabs>
          <w:tab w:val="left" w:pos="840"/>
        </w:tabs>
        <w:spacing w:line="224" w:lineRule="exact"/>
        <w:ind w:hanging="363"/>
        <w:rPr>
          <w:sz w:val="20"/>
        </w:rPr>
      </w:pPr>
      <w:r>
        <w:rPr>
          <w:sz w:val="20"/>
        </w:rPr>
        <w:t>Vacate the</w:t>
      </w:r>
      <w:r>
        <w:rPr>
          <w:spacing w:val="1"/>
          <w:sz w:val="20"/>
        </w:rPr>
        <w:t xml:space="preserve"> </w:t>
      </w:r>
      <w:r>
        <w:rPr>
          <w:sz w:val="20"/>
        </w:rPr>
        <w:t>unit.</w:t>
      </w:r>
    </w:p>
    <w:p w14:paraId="2B7B79E8" w14:textId="77777777" w:rsidR="007A0595" w:rsidRDefault="007A0595">
      <w:pPr>
        <w:pStyle w:val="BodyText"/>
        <w:spacing w:before="5"/>
      </w:pPr>
    </w:p>
    <w:p w14:paraId="3B00851C" w14:textId="77777777" w:rsidR="007A0595" w:rsidRDefault="00000000">
      <w:pPr>
        <w:pStyle w:val="ListParagraph"/>
        <w:numPr>
          <w:ilvl w:val="0"/>
          <w:numId w:val="3"/>
        </w:numPr>
        <w:tabs>
          <w:tab w:val="left" w:pos="399"/>
        </w:tabs>
        <w:spacing w:before="1"/>
        <w:ind w:left="120" w:right="528" w:hanging="1"/>
        <w:rPr>
          <w:sz w:val="20"/>
        </w:rPr>
      </w:pPr>
      <w:r>
        <w:rPr>
          <w:sz w:val="20"/>
        </w:rPr>
        <w:t>IDENTIFICATION</w:t>
      </w:r>
      <w:r>
        <w:rPr>
          <w:spacing w:val="-14"/>
          <w:sz w:val="20"/>
        </w:rPr>
        <w:t xml:space="preserve"> </w:t>
      </w:r>
      <w:r>
        <w:rPr>
          <w:sz w:val="20"/>
        </w:rPr>
        <w:t>–</w:t>
      </w:r>
      <w:r>
        <w:rPr>
          <w:spacing w:val="-9"/>
          <w:sz w:val="20"/>
        </w:rPr>
        <w:t xml:space="preserve"> </w:t>
      </w:r>
      <w:r>
        <w:rPr>
          <w:sz w:val="20"/>
        </w:rPr>
        <w:t>All</w:t>
      </w:r>
      <w:r>
        <w:rPr>
          <w:spacing w:val="-15"/>
          <w:sz w:val="20"/>
        </w:rPr>
        <w:t xml:space="preserve"> </w:t>
      </w:r>
      <w:r>
        <w:rPr>
          <w:sz w:val="20"/>
        </w:rPr>
        <w:t>applicants</w:t>
      </w:r>
      <w:r>
        <w:rPr>
          <w:spacing w:val="-10"/>
          <w:sz w:val="20"/>
        </w:rPr>
        <w:t xml:space="preserve"> </w:t>
      </w:r>
      <w:r>
        <w:rPr>
          <w:sz w:val="20"/>
        </w:rPr>
        <w:t>are</w:t>
      </w:r>
      <w:r>
        <w:rPr>
          <w:spacing w:val="-15"/>
          <w:sz w:val="20"/>
        </w:rPr>
        <w:t xml:space="preserve"> </w:t>
      </w:r>
      <w:r>
        <w:rPr>
          <w:sz w:val="20"/>
        </w:rPr>
        <w:t>required</w:t>
      </w:r>
      <w:r>
        <w:rPr>
          <w:spacing w:val="-14"/>
          <w:sz w:val="20"/>
        </w:rPr>
        <w:t xml:space="preserve"> </w:t>
      </w:r>
      <w:r>
        <w:rPr>
          <w:sz w:val="20"/>
        </w:rPr>
        <w:t>to</w:t>
      </w:r>
      <w:r>
        <w:rPr>
          <w:spacing w:val="-11"/>
          <w:sz w:val="20"/>
        </w:rPr>
        <w:t xml:space="preserve"> </w:t>
      </w:r>
      <w:r>
        <w:rPr>
          <w:sz w:val="20"/>
        </w:rPr>
        <w:t>provide</w:t>
      </w:r>
      <w:r>
        <w:rPr>
          <w:spacing w:val="-14"/>
          <w:sz w:val="20"/>
        </w:rPr>
        <w:t xml:space="preserve"> </w:t>
      </w:r>
      <w:r>
        <w:rPr>
          <w:sz w:val="20"/>
        </w:rPr>
        <w:t>positive</w:t>
      </w:r>
      <w:r>
        <w:rPr>
          <w:spacing w:val="-9"/>
          <w:sz w:val="20"/>
        </w:rPr>
        <w:t xml:space="preserve"> </w:t>
      </w:r>
      <w:r>
        <w:rPr>
          <w:sz w:val="20"/>
        </w:rPr>
        <w:t>identification</w:t>
      </w:r>
      <w:r>
        <w:rPr>
          <w:spacing w:val="-10"/>
          <w:sz w:val="20"/>
        </w:rPr>
        <w:t xml:space="preserve"> </w:t>
      </w:r>
      <w:r>
        <w:rPr>
          <w:sz w:val="20"/>
        </w:rPr>
        <w:t>including</w:t>
      </w:r>
      <w:r>
        <w:rPr>
          <w:spacing w:val="-14"/>
          <w:sz w:val="20"/>
        </w:rPr>
        <w:t xml:space="preserve"> </w:t>
      </w:r>
      <w:r>
        <w:rPr>
          <w:sz w:val="20"/>
        </w:rPr>
        <w:t>one</w:t>
      </w:r>
      <w:r>
        <w:rPr>
          <w:spacing w:val="-11"/>
          <w:sz w:val="20"/>
        </w:rPr>
        <w:t xml:space="preserve"> </w:t>
      </w:r>
      <w:r>
        <w:rPr>
          <w:sz w:val="20"/>
        </w:rPr>
        <w:t>of</w:t>
      </w:r>
      <w:r>
        <w:rPr>
          <w:spacing w:val="-14"/>
          <w:sz w:val="20"/>
        </w:rPr>
        <w:t xml:space="preserve"> </w:t>
      </w:r>
      <w:r>
        <w:rPr>
          <w:sz w:val="20"/>
        </w:rPr>
        <w:t>the following: government issued identification (military identification, driver’s license or passport), birth certificate, social security card, or other verifiable</w:t>
      </w:r>
      <w:r>
        <w:rPr>
          <w:spacing w:val="-27"/>
          <w:sz w:val="20"/>
        </w:rPr>
        <w:t xml:space="preserve"> </w:t>
      </w:r>
      <w:r>
        <w:rPr>
          <w:sz w:val="20"/>
        </w:rPr>
        <w:t>identification.</w:t>
      </w:r>
    </w:p>
    <w:p w14:paraId="1DFF561F" w14:textId="77777777" w:rsidR="007A0595" w:rsidRDefault="007A0595">
      <w:pPr>
        <w:pStyle w:val="BodyText"/>
        <w:spacing w:before="10"/>
        <w:rPr>
          <w:sz w:val="19"/>
        </w:rPr>
      </w:pPr>
    </w:p>
    <w:p w14:paraId="679799A8" w14:textId="77777777" w:rsidR="007A0595" w:rsidRDefault="00000000">
      <w:pPr>
        <w:pStyle w:val="ListParagraph"/>
        <w:numPr>
          <w:ilvl w:val="0"/>
          <w:numId w:val="3"/>
        </w:numPr>
        <w:tabs>
          <w:tab w:val="left" w:pos="399"/>
        </w:tabs>
        <w:ind w:right="510" w:firstLine="0"/>
        <w:rPr>
          <w:sz w:val="20"/>
        </w:rPr>
      </w:pPr>
      <w:r>
        <w:rPr>
          <w:sz w:val="20"/>
        </w:rPr>
        <w:t xml:space="preserve">INCOME – Applicant must provide at least 6 months of stable, verifiable income as to amount and receipt. Failure to provide at least 6 months verifiable income may require an additional deposit or guarantor. If applicant is </w:t>
      </w:r>
      <w:proofErr w:type="spellStart"/>
      <w:r>
        <w:rPr>
          <w:sz w:val="20"/>
        </w:rPr>
        <w:t>self employed</w:t>
      </w:r>
      <w:proofErr w:type="spellEnd"/>
      <w:r>
        <w:rPr>
          <w:sz w:val="20"/>
        </w:rPr>
        <w:t xml:space="preserve"> applicant must provide the most recent year of personal tax returns and 1 year of business tax returns with</w:t>
      </w:r>
      <w:r>
        <w:rPr>
          <w:spacing w:val="-17"/>
          <w:sz w:val="20"/>
        </w:rPr>
        <w:t xml:space="preserve"> </w:t>
      </w:r>
      <w:r>
        <w:rPr>
          <w:sz w:val="20"/>
        </w:rPr>
        <w:t>application.</w:t>
      </w:r>
    </w:p>
    <w:p w14:paraId="3DEEBD4A" w14:textId="77777777" w:rsidR="007A0595" w:rsidRDefault="007A0595">
      <w:pPr>
        <w:pStyle w:val="BodyText"/>
        <w:spacing w:before="3"/>
      </w:pPr>
    </w:p>
    <w:p w14:paraId="0AE09202" w14:textId="647AF1A2" w:rsidR="007A0595" w:rsidRDefault="00000000">
      <w:pPr>
        <w:pStyle w:val="BodyText"/>
        <w:ind w:left="119" w:right="148"/>
      </w:pPr>
      <w:r>
        <w:t xml:space="preserve">Income </w:t>
      </w:r>
      <w:r w:rsidR="003E7C41">
        <w:t>can</w:t>
      </w:r>
      <w:r>
        <w:t xml:space="preserve"> be verified in writing as to its amount or receipt by applicant, please read Pillar Properties’ supporting income documents listed below:</w:t>
      </w:r>
    </w:p>
    <w:p w14:paraId="644E0D33" w14:textId="77777777" w:rsidR="007A0595" w:rsidRDefault="007A0595">
      <w:pPr>
        <w:pStyle w:val="BodyText"/>
        <w:spacing w:before="3"/>
        <w:rPr>
          <w:sz w:val="19"/>
        </w:rPr>
      </w:pPr>
    </w:p>
    <w:p w14:paraId="215D3964" w14:textId="77777777" w:rsidR="007A0595" w:rsidRDefault="00000000">
      <w:pPr>
        <w:pStyle w:val="ListParagraph"/>
        <w:numPr>
          <w:ilvl w:val="0"/>
          <w:numId w:val="2"/>
        </w:numPr>
        <w:tabs>
          <w:tab w:val="left" w:pos="839"/>
          <w:tab w:val="left" w:pos="840"/>
        </w:tabs>
        <w:spacing w:line="244" w:lineRule="exact"/>
        <w:ind w:left="840"/>
        <w:rPr>
          <w:sz w:val="20"/>
        </w:rPr>
      </w:pPr>
      <w:r>
        <w:rPr>
          <w:sz w:val="20"/>
        </w:rPr>
        <w:t>3 Most Recent</w:t>
      </w:r>
      <w:r>
        <w:rPr>
          <w:spacing w:val="-6"/>
          <w:sz w:val="20"/>
        </w:rPr>
        <w:t xml:space="preserve"> </w:t>
      </w:r>
      <w:r>
        <w:rPr>
          <w:sz w:val="20"/>
        </w:rPr>
        <w:t>Paystubs</w:t>
      </w:r>
    </w:p>
    <w:p w14:paraId="106F7F55" w14:textId="77777777" w:rsidR="007A0595" w:rsidRDefault="00000000">
      <w:pPr>
        <w:pStyle w:val="ListParagraph"/>
        <w:numPr>
          <w:ilvl w:val="0"/>
          <w:numId w:val="2"/>
        </w:numPr>
        <w:tabs>
          <w:tab w:val="left" w:pos="839"/>
          <w:tab w:val="left" w:pos="840"/>
        </w:tabs>
        <w:spacing w:line="242" w:lineRule="exact"/>
        <w:ind w:left="840"/>
        <w:rPr>
          <w:sz w:val="20"/>
        </w:rPr>
      </w:pPr>
      <w:r>
        <w:rPr>
          <w:sz w:val="20"/>
        </w:rPr>
        <w:t>Tax Return From the Most Current</w:t>
      </w:r>
      <w:r>
        <w:rPr>
          <w:spacing w:val="-10"/>
          <w:sz w:val="20"/>
        </w:rPr>
        <w:t xml:space="preserve"> </w:t>
      </w:r>
      <w:r>
        <w:rPr>
          <w:sz w:val="20"/>
        </w:rPr>
        <w:t>Year</w:t>
      </w:r>
    </w:p>
    <w:p w14:paraId="207496BB" w14:textId="77777777" w:rsidR="007A0595" w:rsidRDefault="00000000">
      <w:pPr>
        <w:pStyle w:val="ListParagraph"/>
        <w:numPr>
          <w:ilvl w:val="0"/>
          <w:numId w:val="2"/>
        </w:numPr>
        <w:tabs>
          <w:tab w:val="left" w:pos="839"/>
          <w:tab w:val="left" w:pos="840"/>
        </w:tabs>
        <w:spacing w:line="244" w:lineRule="exact"/>
        <w:ind w:left="840" w:hanging="363"/>
        <w:rPr>
          <w:sz w:val="20"/>
        </w:rPr>
      </w:pPr>
      <w:r>
        <w:rPr>
          <w:sz w:val="20"/>
        </w:rPr>
        <w:t>Bank Statements that Total Three Times the Monthly Rent for the Term of the</w:t>
      </w:r>
      <w:r>
        <w:rPr>
          <w:spacing w:val="-44"/>
          <w:sz w:val="20"/>
        </w:rPr>
        <w:t xml:space="preserve"> </w:t>
      </w:r>
      <w:r>
        <w:rPr>
          <w:sz w:val="20"/>
        </w:rPr>
        <w:t>Lease</w:t>
      </w:r>
    </w:p>
    <w:p w14:paraId="33C735E9" w14:textId="77777777" w:rsidR="007A0595" w:rsidRDefault="00000000">
      <w:pPr>
        <w:pStyle w:val="ListParagraph"/>
        <w:numPr>
          <w:ilvl w:val="0"/>
          <w:numId w:val="2"/>
        </w:numPr>
        <w:tabs>
          <w:tab w:val="left" w:pos="839"/>
          <w:tab w:val="left" w:pos="840"/>
        </w:tabs>
        <w:ind w:left="840" w:hanging="365"/>
        <w:rPr>
          <w:sz w:val="20"/>
        </w:rPr>
      </w:pPr>
      <w:r>
        <w:rPr>
          <w:sz w:val="20"/>
        </w:rPr>
        <w:t>Offer</w:t>
      </w:r>
      <w:r>
        <w:rPr>
          <w:spacing w:val="-3"/>
          <w:sz w:val="20"/>
        </w:rPr>
        <w:t xml:space="preserve"> </w:t>
      </w:r>
      <w:r>
        <w:rPr>
          <w:sz w:val="20"/>
        </w:rPr>
        <w:t>Letter</w:t>
      </w:r>
    </w:p>
    <w:p w14:paraId="7C6C0B66" w14:textId="77777777" w:rsidR="007A0595" w:rsidRDefault="00000000">
      <w:pPr>
        <w:pStyle w:val="ListParagraph"/>
        <w:numPr>
          <w:ilvl w:val="0"/>
          <w:numId w:val="2"/>
        </w:numPr>
        <w:tabs>
          <w:tab w:val="left" w:pos="839"/>
          <w:tab w:val="left" w:pos="840"/>
        </w:tabs>
        <w:spacing w:before="16" w:line="232" w:lineRule="auto"/>
        <w:ind w:right="173"/>
        <w:rPr>
          <w:sz w:val="20"/>
        </w:rPr>
      </w:pPr>
      <w:r>
        <w:rPr>
          <w:sz w:val="20"/>
        </w:rPr>
        <w:t>Employer,</w:t>
      </w:r>
      <w:r>
        <w:rPr>
          <w:spacing w:val="-5"/>
          <w:sz w:val="20"/>
        </w:rPr>
        <w:t xml:space="preserve"> </w:t>
      </w:r>
      <w:r>
        <w:rPr>
          <w:sz w:val="20"/>
        </w:rPr>
        <w:t>State</w:t>
      </w:r>
      <w:r>
        <w:rPr>
          <w:spacing w:val="-9"/>
          <w:sz w:val="20"/>
        </w:rPr>
        <w:t xml:space="preserve"> </w:t>
      </w:r>
      <w:r>
        <w:rPr>
          <w:sz w:val="20"/>
        </w:rPr>
        <w:t>Institution,</w:t>
      </w:r>
      <w:r>
        <w:rPr>
          <w:spacing w:val="-6"/>
          <w:sz w:val="20"/>
        </w:rPr>
        <w:t xml:space="preserve"> </w:t>
      </w:r>
      <w:r>
        <w:rPr>
          <w:sz w:val="20"/>
        </w:rPr>
        <w:t>Government</w:t>
      </w:r>
      <w:r>
        <w:rPr>
          <w:spacing w:val="-8"/>
          <w:sz w:val="20"/>
        </w:rPr>
        <w:t xml:space="preserve"> </w:t>
      </w:r>
      <w:r>
        <w:rPr>
          <w:sz w:val="20"/>
        </w:rPr>
        <w:t>Institution</w:t>
      </w:r>
      <w:r>
        <w:rPr>
          <w:spacing w:val="-7"/>
          <w:sz w:val="20"/>
        </w:rPr>
        <w:t xml:space="preserve"> </w:t>
      </w:r>
      <w:r>
        <w:rPr>
          <w:sz w:val="20"/>
        </w:rPr>
        <w:t>or</w:t>
      </w:r>
      <w:r>
        <w:rPr>
          <w:spacing w:val="-6"/>
          <w:sz w:val="20"/>
        </w:rPr>
        <w:t xml:space="preserve"> </w:t>
      </w:r>
      <w:r>
        <w:rPr>
          <w:sz w:val="20"/>
        </w:rPr>
        <w:t>Loan</w:t>
      </w:r>
      <w:r>
        <w:rPr>
          <w:spacing w:val="-9"/>
          <w:sz w:val="20"/>
        </w:rPr>
        <w:t xml:space="preserve"> </w:t>
      </w:r>
      <w:r>
        <w:rPr>
          <w:sz w:val="20"/>
        </w:rPr>
        <w:t>Documents</w:t>
      </w:r>
      <w:r>
        <w:rPr>
          <w:spacing w:val="-7"/>
          <w:sz w:val="20"/>
        </w:rPr>
        <w:t xml:space="preserve"> </w:t>
      </w:r>
      <w:r>
        <w:rPr>
          <w:sz w:val="20"/>
        </w:rPr>
        <w:t>that</w:t>
      </w:r>
      <w:r>
        <w:rPr>
          <w:spacing w:val="-4"/>
          <w:sz w:val="20"/>
        </w:rPr>
        <w:t xml:space="preserve"> </w:t>
      </w:r>
      <w:r>
        <w:rPr>
          <w:sz w:val="20"/>
        </w:rPr>
        <w:t>Support</w:t>
      </w:r>
      <w:r>
        <w:rPr>
          <w:spacing w:val="-9"/>
          <w:sz w:val="20"/>
        </w:rPr>
        <w:t xml:space="preserve"> </w:t>
      </w:r>
      <w:r>
        <w:rPr>
          <w:sz w:val="20"/>
        </w:rPr>
        <w:t>a</w:t>
      </w:r>
      <w:r>
        <w:rPr>
          <w:spacing w:val="-9"/>
          <w:sz w:val="20"/>
        </w:rPr>
        <w:t xml:space="preserve"> </w:t>
      </w:r>
      <w:r>
        <w:rPr>
          <w:sz w:val="20"/>
        </w:rPr>
        <w:t>Housing</w:t>
      </w:r>
      <w:r>
        <w:rPr>
          <w:spacing w:val="-5"/>
          <w:sz w:val="20"/>
        </w:rPr>
        <w:t xml:space="preserve"> </w:t>
      </w:r>
      <w:r>
        <w:rPr>
          <w:sz w:val="20"/>
        </w:rPr>
        <w:t>or Living</w:t>
      </w:r>
      <w:r>
        <w:rPr>
          <w:spacing w:val="-2"/>
          <w:sz w:val="20"/>
        </w:rPr>
        <w:t xml:space="preserve"> </w:t>
      </w:r>
      <w:r>
        <w:rPr>
          <w:sz w:val="20"/>
        </w:rPr>
        <w:t>Stipend</w:t>
      </w:r>
    </w:p>
    <w:p w14:paraId="57FE4D80" w14:textId="77777777" w:rsidR="007A0595" w:rsidRDefault="007A0595">
      <w:pPr>
        <w:pStyle w:val="BodyText"/>
        <w:spacing w:before="9"/>
        <w:rPr>
          <w:sz w:val="19"/>
        </w:rPr>
      </w:pPr>
    </w:p>
    <w:p w14:paraId="51F014AB" w14:textId="77777777" w:rsidR="007A0595" w:rsidRDefault="00000000">
      <w:pPr>
        <w:spacing w:before="1"/>
        <w:ind w:left="120" w:right="148"/>
        <w:rPr>
          <w:i/>
          <w:sz w:val="20"/>
        </w:rPr>
      </w:pPr>
      <w:r>
        <w:rPr>
          <w:i/>
          <w:sz w:val="20"/>
        </w:rPr>
        <w:t>Pillar Properties will not accept any screen shots or deposit confirmation activity. All items and deposit amounts listed above are subject to change. Paperwork must be valid and current.</w:t>
      </w:r>
    </w:p>
    <w:p w14:paraId="0255D6EA" w14:textId="77777777" w:rsidR="007A0595" w:rsidRDefault="007A0595">
      <w:pPr>
        <w:pStyle w:val="BodyText"/>
        <w:spacing w:before="1"/>
        <w:rPr>
          <w:i/>
        </w:rPr>
      </w:pPr>
    </w:p>
    <w:p w14:paraId="32228CFA" w14:textId="77777777" w:rsidR="007A0595" w:rsidRDefault="00000000">
      <w:pPr>
        <w:pStyle w:val="ListParagraph"/>
        <w:numPr>
          <w:ilvl w:val="0"/>
          <w:numId w:val="3"/>
        </w:numPr>
        <w:tabs>
          <w:tab w:val="left" w:pos="399"/>
        </w:tabs>
        <w:ind w:right="662" w:firstLine="1"/>
        <w:rPr>
          <w:sz w:val="20"/>
        </w:rPr>
      </w:pPr>
      <w:r>
        <w:rPr>
          <w:sz w:val="20"/>
        </w:rPr>
        <w:t>RENT</w:t>
      </w:r>
      <w:r>
        <w:rPr>
          <w:spacing w:val="-8"/>
          <w:sz w:val="20"/>
        </w:rPr>
        <w:t xml:space="preserve"> </w:t>
      </w:r>
      <w:r>
        <w:rPr>
          <w:sz w:val="20"/>
        </w:rPr>
        <w:t>TO</w:t>
      </w:r>
      <w:r>
        <w:rPr>
          <w:spacing w:val="-6"/>
          <w:sz w:val="20"/>
        </w:rPr>
        <w:t xml:space="preserve"> </w:t>
      </w:r>
      <w:r>
        <w:rPr>
          <w:sz w:val="20"/>
        </w:rPr>
        <w:t>INCOME</w:t>
      </w:r>
      <w:r>
        <w:rPr>
          <w:spacing w:val="-7"/>
          <w:sz w:val="20"/>
        </w:rPr>
        <w:t xml:space="preserve"> </w:t>
      </w:r>
      <w:r>
        <w:rPr>
          <w:sz w:val="20"/>
        </w:rPr>
        <w:t>RATIO –</w:t>
      </w:r>
      <w:r>
        <w:rPr>
          <w:spacing w:val="-10"/>
          <w:sz w:val="20"/>
        </w:rPr>
        <w:t xml:space="preserve"> </w:t>
      </w:r>
      <w:r>
        <w:rPr>
          <w:sz w:val="20"/>
        </w:rPr>
        <w:t>Written</w:t>
      </w:r>
      <w:r>
        <w:rPr>
          <w:spacing w:val="-6"/>
          <w:sz w:val="20"/>
        </w:rPr>
        <w:t xml:space="preserve"> </w:t>
      </w:r>
      <w:r>
        <w:rPr>
          <w:sz w:val="20"/>
        </w:rPr>
        <w:t>verification</w:t>
      </w:r>
      <w:r>
        <w:rPr>
          <w:spacing w:val="-8"/>
          <w:sz w:val="20"/>
        </w:rPr>
        <w:t xml:space="preserve"> </w:t>
      </w:r>
      <w:r>
        <w:rPr>
          <w:sz w:val="20"/>
        </w:rPr>
        <w:t>of</w:t>
      </w:r>
      <w:r>
        <w:rPr>
          <w:spacing w:val="-9"/>
          <w:sz w:val="20"/>
        </w:rPr>
        <w:t xml:space="preserve"> </w:t>
      </w:r>
      <w:r>
        <w:rPr>
          <w:sz w:val="20"/>
        </w:rPr>
        <w:t>income</w:t>
      </w:r>
      <w:r>
        <w:rPr>
          <w:spacing w:val="-8"/>
          <w:sz w:val="20"/>
        </w:rPr>
        <w:t xml:space="preserve"> </w:t>
      </w:r>
      <w:r>
        <w:rPr>
          <w:sz w:val="20"/>
        </w:rPr>
        <w:t>equal</w:t>
      </w:r>
      <w:r>
        <w:rPr>
          <w:spacing w:val="-8"/>
          <w:sz w:val="20"/>
        </w:rPr>
        <w:t xml:space="preserve"> </w:t>
      </w:r>
      <w:r>
        <w:rPr>
          <w:sz w:val="20"/>
        </w:rPr>
        <w:t>to</w:t>
      </w:r>
      <w:r>
        <w:rPr>
          <w:spacing w:val="-9"/>
          <w:sz w:val="20"/>
        </w:rPr>
        <w:t xml:space="preserve"> </w:t>
      </w:r>
      <w:r>
        <w:rPr>
          <w:sz w:val="20"/>
        </w:rPr>
        <w:t>two</w:t>
      </w:r>
      <w:r>
        <w:rPr>
          <w:spacing w:val="-10"/>
          <w:sz w:val="20"/>
        </w:rPr>
        <w:t xml:space="preserve"> </w:t>
      </w:r>
      <w:r>
        <w:rPr>
          <w:sz w:val="20"/>
        </w:rPr>
        <w:t>and</w:t>
      </w:r>
      <w:r>
        <w:rPr>
          <w:spacing w:val="-10"/>
          <w:sz w:val="20"/>
        </w:rPr>
        <w:t xml:space="preserve"> </w:t>
      </w:r>
      <w:r>
        <w:rPr>
          <w:sz w:val="20"/>
        </w:rPr>
        <w:t>a</w:t>
      </w:r>
      <w:r>
        <w:rPr>
          <w:spacing w:val="-10"/>
          <w:sz w:val="20"/>
        </w:rPr>
        <w:t xml:space="preserve"> </w:t>
      </w:r>
      <w:r>
        <w:rPr>
          <w:sz w:val="20"/>
        </w:rPr>
        <w:t>half</w:t>
      </w:r>
      <w:r>
        <w:rPr>
          <w:spacing w:val="-10"/>
          <w:sz w:val="20"/>
        </w:rPr>
        <w:t xml:space="preserve"> </w:t>
      </w:r>
      <w:r>
        <w:rPr>
          <w:sz w:val="20"/>
        </w:rPr>
        <w:t>(2.5)</w:t>
      </w:r>
      <w:r>
        <w:rPr>
          <w:spacing w:val="-5"/>
          <w:sz w:val="20"/>
        </w:rPr>
        <w:t xml:space="preserve"> </w:t>
      </w:r>
      <w:r>
        <w:rPr>
          <w:sz w:val="20"/>
        </w:rPr>
        <w:t>times</w:t>
      </w:r>
      <w:r>
        <w:rPr>
          <w:spacing w:val="-4"/>
          <w:sz w:val="20"/>
        </w:rPr>
        <w:t xml:space="preserve"> </w:t>
      </w:r>
      <w:r>
        <w:rPr>
          <w:sz w:val="20"/>
        </w:rPr>
        <w:t>the monthly rent per household is required along with necessary supporting</w:t>
      </w:r>
      <w:r>
        <w:rPr>
          <w:spacing w:val="-38"/>
          <w:sz w:val="20"/>
        </w:rPr>
        <w:t xml:space="preserve"> </w:t>
      </w:r>
      <w:r>
        <w:rPr>
          <w:sz w:val="20"/>
        </w:rPr>
        <w:t>documents.</w:t>
      </w:r>
    </w:p>
    <w:p w14:paraId="72870E9D" w14:textId="77777777" w:rsidR="007A0595" w:rsidRDefault="007A0595">
      <w:pPr>
        <w:pStyle w:val="BodyText"/>
        <w:spacing w:before="10"/>
        <w:rPr>
          <w:sz w:val="19"/>
        </w:rPr>
      </w:pPr>
    </w:p>
    <w:p w14:paraId="42488BEE" w14:textId="77777777" w:rsidR="007A0595" w:rsidRDefault="00000000">
      <w:pPr>
        <w:pStyle w:val="ListParagraph"/>
        <w:numPr>
          <w:ilvl w:val="0"/>
          <w:numId w:val="3"/>
        </w:numPr>
        <w:tabs>
          <w:tab w:val="left" w:pos="399"/>
        </w:tabs>
        <w:ind w:right="379" w:firstLine="1"/>
        <w:rPr>
          <w:sz w:val="20"/>
        </w:rPr>
      </w:pPr>
      <w:r>
        <w:rPr>
          <w:sz w:val="20"/>
        </w:rPr>
        <w:t>CREDIT</w:t>
      </w:r>
      <w:r>
        <w:rPr>
          <w:spacing w:val="-6"/>
          <w:sz w:val="20"/>
        </w:rPr>
        <w:t xml:space="preserve"> </w:t>
      </w:r>
      <w:r>
        <w:rPr>
          <w:sz w:val="20"/>
        </w:rPr>
        <w:t>–</w:t>
      </w:r>
      <w:r>
        <w:rPr>
          <w:spacing w:val="-7"/>
          <w:sz w:val="20"/>
        </w:rPr>
        <w:t xml:space="preserve"> </w:t>
      </w:r>
      <w:r>
        <w:rPr>
          <w:sz w:val="20"/>
        </w:rPr>
        <w:t>RENTGROW</w:t>
      </w:r>
      <w:r>
        <w:rPr>
          <w:spacing w:val="-6"/>
          <w:sz w:val="20"/>
        </w:rPr>
        <w:t xml:space="preserve"> </w:t>
      </w:r>
      <w:r>
        <w:rPr>
          <w:sz w:val="20"/>
        </w:rPr>
        <w:t>evaluates</w:t>
      </w:r>
      <w:r>
        <w:rPr>
          <w:spacing w:val="-7"/>
          <w:sz w:val="20"/>
        </w:rPr>
        <w:t xml:space="preserve"> </w:t>
      </w:r>
      <w:r>
        <w:rPr>
          <w:sz w:val="20"/>
        </w:rPr>
        <w:t>credit</w:t>
      </w:r>
      <w:r>
        <w:rPr>
          <w:spacing w:val="-8"/>
          <w:sz w:val="20"/>
        </w:rPr>
        <w:t xml:space="preserve"> </w:t>
      </w:r>
      <w:r>
        <w:rPr>
          <w:sz w:val="20"/>
        </w:rPr>
        <w:t>and</w:t>
      </w:r>
      <w:r>
        <w:rPr>
          <w:spacing w:val="-8"/>
          <w:sz w:val="20"/>
        </w:rPr>
        <w:t xml:space="preserve"> </w:t>
      </w:r>
      <w:r>
        <w:rPr>
          <w:sz w:val="20"/>
        </w:rPr>
        <w:t>rental</w:t>
      </w:r>
      <w:r>
        <w:rPr>
          <w:spacing w:val="-9"/>
          <w:sz w:val="20"/>
        </w:rPr>
        <w:t xml:space="preserve"> </w:t>
      </w:r>
      <w:r>
        <w:rPr>
          <w:sz w:val="20"/>
        </w:rPr>
        <w:t>history</w:t>
      </w:r>
      <w:r>
        <w:rPr>
          <w:spacing w:val="-6"/>
          <w:sz w:val="20"/>
        </w:rPr>
        <w:t xml:space="preserve"> </w:t>
      </w:r>
      <w:r>
        <w:rPr>
          <w:sz w:val="20"/>
        </w:rPr>
        <w:t>against</w:t>
      </w:r>
      <w:r>
        <w:rPr>
          <w:spacing w:val="-8"/>
          <w:sz w:val="20"/>
        </w:rPr>
        <w:t xml:space="preserve"> </w:t>
      </w:r>
      <w:r>
        <w:rPr>
          <w:sz w:val="20"/>
        </w:rPr>
        <w:t>indicators</w:t>
      </w:r>
      <w:r>
        <w:rPr>
          <w:spacing w:val="-7"/>
          <w:sz w:val="20"/>
        </w:rPr>
        <w:t xml:space="preserve"> </w:t>
      </w:r>
      <w:r>
        <w:rPr>
          <w:sz w:val="20"/>
        </w:rPr>
        <w:t>of</w:t>
      </w:r>
      <w:r>
        <w:rPr>
          <w:spacing w:val="-6"/>
          <w:sz w:val="20"/>
        </w:rPr>
        <w:t xml:space="preserve"> </w:t>
      </w:r>
      <w:r>
        <w:rPr>
          <w:sz w:val="20"/>
        </w:rPr>
        <w:t>future</w:t>
      </w:r>
      <w:r>
        <w:rPr>
          <w:spacing w:val="-8"/>
          <w:sz w:val="20"/>
        </w:rPr>
        <w:t xml:space="preserve"> </w:t>
      </w:r>
      <w:r>
        <w:rPr>
          <w:sz w:val="20"/>
        </w:rPr>
        <w:t>rent</w:t>
      </w:r>
      <w:r>
        <w:rPr>
          <w:spacing w:val="-6"/>
          <w:sz w:val="20"/>
        </w:rPr>
        <w:t xml:space="preserve"> </w:t>
      </w:r>
      <w:r>
        <w:rPr>
          <w:sz w:val="20"/>
        </w:rPr>
        <w:t>payment performance.</w:t>
      </w:r>
      <w:r>
        <w:rPr>
          <w:spacing w:val="-11"/>
          <w:sz w:val="20"/>
        </w:rPr>
        <w:t xml:space="preserve"> </w:t>
      </w:r>
      <w:r>
        <w:rPr>
          <w:sz w:val="20"/>
        </w:rPr>
        <w:t>All</w:t>
      </w:r>
      <w:r>
        <w:rPr>
          <w:spacing w:val="-13"/>
          <w:sz w:val="20"/>
        </w:rPr>
        <w:t xml:space="preserve"> </w:t>
      </w:r>
      <w:r>
        <w:rPr>
          <w:sz w:val="20"/>
        </w:rPr>
        <w:t>applications</w:t>
      </w:r>
      <w:r>
        <w:rPr>
          <w:spacing w:val="-9"/>
          <w:sz w:val="20"/>
        </w:rPr>
        <w:t xml:space="preserve"> </w:t>
      </w:r>
      <w:r>
        <w:rPr>
          <w:sz w:val="20"/>
        </w:rPr>
        <w:t>are</w:t>
      </w:r>
      <w:r>
        <w:rPr>
          <w:spacing w:val="-13"/>
          <w:sz w:val="20"/>
        </w:rPr>
        <w:t xml:space="preserve"> </w:t>
      </w:r>
      <w:r>
        <w:rPr>
          <w:sz w:val="20"/>
        </w:rPr>
        <w:t>evaluated</w:t>
      </w:r>
      <w:r>
        <w:rPr>
          <w:spacing w:val="-9"/>
          <w:sz w:val="20"/>
        </w:rPr>
        <w:t xml:space="preserve"> </w:t>
      </w:r>
      <w:r>
        <w:rPr>
          <w:sz w:val="20"/>
        </w:rPr>
        <w:t>based</w:t>
      </w:r>
      <w:r>
        <w:rPr>
          <w:spacing w:val="-8"/>
          <w:sz w:val="20"/>
        </w:rPr>
        <w:t xml:space="preserve"> </w:t>
      </w:r>
      <w:r>
        <w:rPr>
          <w:sz w:val="20"/>
        </w:rPr>
        <w:t>on</w:t>
      </w:r>
      <w:r>
        <w:rPr>
          <w:spacing w:val="-8"/>
          <w:sz w:val="20"/>
        </w:rPr>
        <w:t xml:space="preserve"> </w:t>
      </w:r>
      <w:r>
        <w:rPr>
          <w:sz w:val="20"/>
        </w:rPr>
        <w:t>statistical</w:t>
      </w:r>
      <w:r>
        <w:rPr>
          <w:spacing w:val="-14"/>
          <w:sz w:val="20"/>
        </w:rPr>
        <w:t xml:space="preserve"> </w:t>
      </w:r>
      <w:r>
        <w:rPr>
          <w:sz w:val="20"/>
        </w:rPr>
        <w:t>data</w:t>
      </w:r>
      <w:r>
        <w:rPr>
          <w:spacing w:val="-8"/>
          <w:sz w:val="20"/>
        </w:rPr>
        <w:t xml:space="preserve"> </w:t>
      </w:r>
      <w:r>
        <w:rPr>
          <w:sz w:val="20"/>
        </w:rPr>
        <w:t>available</w:t>
      </w:r>
      <w:r>
        <w:rPr>
          <w:spacing w:val="-13"/>
          <w:sz w:val="20"/>
        </w:rPr>
        <w:t xml:space="preserve"> </w:t>
      </w:r>
      <w:r>
        <w:rPr>
          <w:sz w:val="20"/>
        </w:rPr>
        <w:t>such</w:t>
      </w:r>
      <w:r>
        <w:rPr>
          <w:spacing w:val="-13"/>
          <w:sz w:val="20"/>
        </w:rPr>
        <w:t xml:space="preserve"> </w:t>
      </w:r>
      <w:r>
        <w:rPr>
          <w:sz w:val="20"/>
        </w:rPr>
        <w:t>as</w:t>
      </w:r>
      <w:r>
        <w:rPr>
          <w:spacing w:val="-9"/>
          <w:sz w:val="20"/>
        </w:rPr>
        <w:t xml:space="preserve"> </w:t>
      </w:r>
      <w:r>
        <w:rPr>
          <w:sz w:val="20"/>
        </w:rPr>
        <w:t>payment</w:t>
      </w:r>
      <w:r>
        <w:rPr>
          <w:spacing w:val="-10"/>
          <w:sz w:val="20"/>
        </w:rPr>
        <w:t xml:space="preserve"> </w:t>
      </w:r>
      <w:r>
        <w:rPr>
          <w:sz w:val="20"/>
        </w:rPr>
        <w:t>history, quantity and type of accounts, outstanding debt, and age of accounts. The rental scoring system will compare</w:t>
      </w:r>
      <w:r>
        <w:rPr>
          <w:spacing w:val="-12"/>
          <w:sz w:val="20"/>
        </w:rPr>
        <w:t xml:space="preserve"> </w:t>
      </w:r>
      <w:r>
        <w:rPr>
          <w:sz w:val="20"/>
        </w:rPr>
        <w:t>your</w:t>
      </w:r>
      <w:r>
        <w:rPr>
          <w:spacing w:val="-9"/>
          <w:sz w:val="20"/>
        </w:rPr>
        <w:t xml:space="preserve"> </w:t>
      </w:r>
      <w:r>
        <w:rPr>
          <w:sz w:val="20"/>
        </w:rPr>
        <w:t>application</w:t>
      </w:r>
      <w:r>
        <w:rPr>
          <w:spacing w:val="-12"/>
          <w:sz w:val="20"/>
        </w:rPr>
        <w:t xml:space="preserve"> </w:t>
      </w:r>
      <w:r>
        <w:rPr>
          <w:sz w:val="20"/>
        </w:rPr>
        <w:t>to</w:t>
      </w:r>
      <w:r>
        <w:rPr>
          <w:spacing w:val="-10"/>
          <w:sz w:val="20"/>
        </w:rPr>
        <w:t xml:space="preserve"> </w:t>
      </w:r>
      <w:r>
        <w:rPr>
          <w:sz w:val="20"/>
        </w:rPr>
        <w:t>RENTGROW’s</w:t>
      </w:r>
      <w:r>
        <w:rPr>
          <w:spacing w:val="-4"/>
          <w:sz w:val="20"/>
        </w:rPr>
        <w:t xml:space="preserve"> </w:t>
      </w:r>
      <w:r>
        <w:rPr>
          <w:sz w:val="20"/>
        </w:rPr>
        <w:t>database</w:t>
      </w:r>
      <w:r>
        <w:rPr>
          <w:spacing w:val="-8"/>
          <w:sz w:val="20"/>
        </w:rPr>
        <w:t xml:space="preserve"> </w:t>
      </w:r>
      <w:r>
        <w:rPr>
          <w:sz w:val="20"/>
        </w:rPr>
        <w:t>and</w:t>
      </w:r>
      <w:r>
        <w:rPr>
          <w:spacing w:val="-10"/>
          <w:sz w:val="20"/>
        </w:rPr>
        <w:t xml:space="preserve"> </w:t>
      </w:r>
      <w:r>
        <w:rPr>
          <w:sz w:val="20"/>
        </w:rPr>
        <w:t>by</w:t>
      </w:r>
      <w:r>
        <w:rPr>
          <w:spacing w:val="-8"/>
          <w:sz w:val="20"/>
        </w:rPr>
        <w:t xml:space="preserve"> </w:t>
      </w:r>
      <w:r>
        <w:rPr>
          <w:sz w:val="20"/>
        </w:rPr>
        <w:t>evaluating</w:t>
      </w:r>
      <w:r>
        <w:rPr>
          <w:spacing w:val="-11"/>
          <w:sz w:val="20"/>
        </w:rPr>
        <w:t xml:space="preserve"> </w:t>
      </w:r>
      <w:r>
        <w:rPr>
          <w:sz w:val="20"/>
        </w:rPr>
        <w:t>those</w:t>
      </w:r>
      <w:r>
        <w:rPr>
          <w:spacing w:val="-9"/>
          <w:sz w:val="20"/>
        </w:rPr>
        <w:t xml:space="preserve"> </w:t>
      </w:r>
      <w:r>
        <w:rPr>
          <w:sz w:val="20"/>
        </w:rPr>
        <w:t>statistics</w:t>
      </w:r>
      <w:r>
        <w:rPr>
          <w:spacing w:val="-11"/>
          <w:sz w:val="20"/>
        </w:rPr>
        <w:t xml:space="preserve"> </w:t>
      </w:r>
      <w:r>
        <w:rPr>
          <w:sz w:val="20"/>
        </w:rPr>
        <w:t>and</w:t>
      </w:r>
      <w:r>
        <w:rPr>
          <w:spacing w:val="-10"/>
          <w:sz w:val="20"/>
        </w:rPr>
        <w:t xml:space="preserve"> </w:t>
      </w:r>
      <w:r>
        <w:rPr>
          <w:sz w:val="20"/>
        </w:rPr>
        <w:t>real</w:t>
      </w:r>
      <w:r>
        <w:rPr>
          <w:spacing w:val="-13"/>
          <w:sz w:val="20"/>
        </w:rPr>
        <w:t xml:space="preserve"> </w:t>
      </w:r>
      <w:r>
        <w:rPr>
          <w:sz w:val="20"/>
        </w:rPr>
        <w:t>data</w:t>
      </w:r>
      <w:r>
        <w:rPr>
          <w:spacing w:val="-8"/>
          <w:sz w:val="20"/>
        </w:rPr>
        <w:t xml:space="preserve"> </w:t>
      </w:r>
      <w:r>
        <w:rPr>
          <w:sz w:val="20"/>
        </w:rPr>
        <w:t>in accordance with this criteria, RENTGROW will provide management with</w:t>
      </w:r>
      <w:r>
        <w:rPr>
          <w:spacing w:val="-34"/>
          <w:sz w:val="20"/>
        </w:rPr>
        <w:t xml:space="preserve"> </w:t>
      </w:r>
      <w:proofErr w:type="spellStart"/>
      <w:r>
        <w:rPr>
          <w:sz w:val="20"/>
        </w:rPr>
        <w:t>arecommendation</w:t>
      </w:r>
      <w:proofErr w:type="spellEnd"/>
      <w:r>
        <w:rPr>
          <w:sz w:val="20"/>
        </w:rPr>
        <w:t>.</w:t>
      </w:r>
    </w:p>
    <w:p w14:paraId="742CFCB4" w14:textId="77777777" w:rsidR="007A0595" w:rsidRDefault="007A0595">
      <w:pPr>
        <w:pStyle w:val="BodyText"/>
        <w:spacing w:before="1"/>
      </w:pPr>
    </w:p>
    <w:p w14:paraId="7CE77E06" w14:textId="77777777" w:rsidR="007A0595" w:rsidRDefault="00000000">
      <w:pPr>
        <w:pStyle w:val="BodyText"/>
        <w:ind w:left="119"/>
      </w:pPr>
      <w:r>
        <w:t>Minimum grounds for denial include:</w:t>
      </w:r>
    </w:p>
    <w:p w14:paraId="57DA971A" w14:textId="77777777" w:rsidR="007A0595" w:rsidRDefault="007A0595">
      <w:pPr>
        <w:pStyle w:val="BodyText"/>
        <w:spacing w:before="10"/>
        <w:rPr>
          <w:sz w:val="19"/>
        </w:rPr>
      </w:pPr>
    </w:p>
    <w:p w14:paraId="77E3A213" w14:textId="77777777" w:rsidR="007A0595" w:rsidRDefault="00000000">
      <w:pPr>
        <w:pStyle w:val="ListParagraph"/>
        <w:numPr>
          <w:ilvl w:val="0"/>
          <w:numId w:val="1"/>
        </w:numPr>
        <w:tabs>
          <w:tab w:val="left" w:pos="839"/>
          <w:tab w:val="left" w:pos="840"/>
        </w:tabs>
        <w:rPr>
          <w:sz w:val="20"/>
        </w:rPr>
      </w:pPr>
      <w:r>
        <w:rPr>
          <w:sz w:val="20"/>
        </w:rPr>
        <w:t>Excessive collection accounts, including utility accounts (regardless of</w:t>
      </w:r>
      <w:r>
        <w:rPr>
          <w:spacing w:val="-32"/>
          <w:sz w:val="20"/>
        </w:rPr>
        <w:t xml:space="preserve"> </w:t>
      </w:r>
      <w:r>
        <w:rPr>
          <w:sz w:val="20"/>
        </w:rPr>
        <w:t>status).</w:t>
      </w:r>
    </w:p>
    <w:p w14:paraId="72CDA6BD" w14:textId="77777777" w:rsidR="007A0595" w:rsidRDefault="00000000">
      <w:pPr>
        <w:pStyle w:val="ListParagraph"/>
        <w:numPr>
          <w:ilvl w:val="0"/>
          <w:numId w:val="1"/>
        </w:numPr>
        <w:tabs>
          <w:tab w:val="left" w:pos="839"/>
          <w:tab w:val="left" w:pos="840"/>
        </w:tabs>
        <w:spacing w:before="4" w:line="237" w:lineRule="auto"/>
        <w:ind w:right="328" w:hanging="361"/>
        <w:rPr>
          <w:sz w:val="20"/>
        </w:rPr>
      </w:pPr>
      <w:r>
        <w:rPr>
          <w:sz w:val="20"/>
        </w:rPr>
        <w:t>Rental</w:t>
      </w:r>
      <w:r>
        <w:rPr>
          <w:spacing w:val="-9"/>
          <w:sz w:val="20"/>
        </w:rPr>
        <w:t xml:space="preserve"> </w:t>
      </w:r>
      <w:r>
        <w:rPr>
          <w:sz w:val="20"/>
        </w:rPr>
        <w:t>housing</w:t>
      </w:r>
      <w:r>
        <w:rPr>
          <w:spacing w:val="-7"/>
          <w:sz w:val="20"/>
        </w:rPr>
        <w:t xml:space="preserve"> </w:t>
      </w:r>
      <w:r>
        <w:rPr>
          <w:sz w:val="20"/>
        </w:rPr>
        <w:t>debt,</w:t>
      </w:r>
      <w:r>
        <w:rPr>
          <w:spacing w:val="-5"/>
          <w:sz w:val="20"/>
        </w:rPr>
        <w:t xml:space="preserve"> </w:t>
      </w:r>
      <w:r>
        <w:rPr>
          <w:sz w:val="20"/>
        </w:rPr>
        <w:t>evictions,</w:t>
      </w:r>
      <w:r>
        <w:rPr>
          <w:spacing w:val="-9"/>
          <w:sz w:val="20"/>
        </w:rPr>
        <w:t xml:space="preserve"> </w:t>
      </w:r>
      <w:r>
        <w:rPr>
          <w:sz w:val="20"/>
        </w:rPr>
        <w:t>or</w:t>
      </w:r>
      <w:r>
        <w:rPr>
          <w:spacing w:val="-5"/>
          <w:sz w:val="20"/>
        </w:rPr>
        <w:t xml:space="preserve"> </w:t>
      </w:r>
      <w:r>
        <w:rPr>
          <w:sz w:val="20"/>
        </w:rPr>
        <w:t>collections</w:t>
      </w:r>
      <w:r>
        <w:rPr>
          <w:spacing w:val="-4"/>
          <w:sz w:val="20"/>
        </w:rPr>
        <w:t xml:space="preserve"> </w:t>
      </w:r>
      <w:r>
        <w:rPr>
          <w:sz w:val="20"/>
        </w:rPr>
        <w:t>within</w:t>
      </w:r>
      <w:r>
        <w:rPr>
          <w:spacing w:val="-4"/>
          <w:sz w:val="20"/>
        </w:rPr>
        <w:t xml:space="preserve"> </w:t>
      </w:r>
      <w:r>
        <w:rPr>
          <w:sz w:val="20"/>
        </w:rPr>
        <w:t>the</w:t>
      </w:r>
      <w:r>
        <w:rPr>
          <w:spacing w:val="-4"/>
          <w:sz w:val="20"/>
        </w:rPr>
        <w:t xml:space="preserve"> </w:t>
      </w:r>
      <w:r>
        <w:rPr>
          <w:sz w:val="20"/>
        </w:rPr>
        <w:t>last</w:t>
      </w:r>
      <w:r>
        <w:rPr>
          <w:spacing w:val="-6"/>
          <w:sz w:val="20"/>
        </w:rPr>
        <w:t xml:space="preserve"> </w:t>
      </w:r>
      <w:r>
        <w:rPr>
          <w:sz w:val="20"/>
        </w:rPr>
        <w:t>five</w:t>
      </w:r>
      <w:r>
        <w:rPr>
          <w:spacing w:val="-8"/>
          <w:sz w:val="20"/>
        </w:rPr>
        <w:t xml:space="preserve"> </w:t>
      </w:r>
      <w:r>
        <w:rPr>
          <w:sz w:val="20"/>
        </w:rPr>
        <w:t>(5)</w:t>
      </w:r>
      <w:r>
        <w:rPr>
          <w:spacing w:val="-5"/>
          <w:sz w:val="20"/>
        </w:rPr>
        <w:t xml:space="preserve"> </w:t>
      </w:r>
      <w:r>
        <w:rPr>
          <w:sz w:val="20"/>
        </w:rPr>
        <w:t>years</w:t>
      </w:r>
      <w:r>
        <w:rPr>
          <w:spacing w:val="-5"/>
          <w:sz w:val="20"/>
        </w:rPr>
        <w:t xml:space="preserve"> </w:t>
      </w:r>
      <w:r>
        <w:rPr>
          <w:sz w:val="20"/>
        </w:rPr>
        <w:t>will</w:t>
      </w:r>
      <w:r>
        <w:rPr>
          <w:spacing w:val="-9"/>
          <w:sz w:val="20"/>
        </w:rPr>
        <w:t xml:space="preserve"> </w:t>
      </w:r>
      <w:r>
        <w:rPr>
          <w:sz w:val="20"/>
        </w:rPr>
        <w:t>result</w:t>
      </w:r>
      <w:r>
        <w:rPr>
          <w:spacing w:val="-4"/>
          <w:sz w:val="20"/>
        </w:rPr>
        <w:t xml:space="preserve"> </w:t>
      </w:r>
      <w:r>
        <w:rPr>
          <w:sz w:val="20"/>
        </w:rPr>
        <w:t>in</w:t>
      </w:r>
      <w:r>
        <w:rPr>
          <w:spacing w:val="-4"/>
          <w:sz w:val="20"/>
        </w:rPr>
        <w:t xml:space="preserve"> </w:t>
      </w:r>
      <w:r>
        <w:rPr>
          <w:sz w:val="20"/>
        </w:rPr>
        <w:t>automatic denial of the</w:t>
      </w:r>
      <w:r>
        <w:rPr>
          <w:spacing w:val="-5"/>
          <w:sz w:val="20"/>
        </w:rPr>
        <w:t xml:space="preserve"> </w:t>
      </w:r>
      <w:r>
        <w:rPr>
          <w:sz w:val="20"/>
        </w:rPr>
        <w:t>application.</w:t>
      </w:r>
    </w:p>
    <w:p w14:paraId="568299F8" w14:textId="77777777" w:rsidR="007A0595" w:rsidRDefault="00000000">
      <w:pPr>
        <w:pStyle w:val="ListParagraph"/>
        <w:numPr>
          <w:ilvl w:val="0"/>
          <w:numId w:val="1"/>
        </w:numPr>
        <w:tabs>
          <w:tab w:val="left" w:pos="839"/>
          <w:tab w:val="left" w:pos="840"/>
        </w:tabs>
        <w:spacing w:line="234" w:lineRule="exact"/>
        <w:rPr>
          <w:sz w:val="20"/>
        </w:rPr>
      </w:pPr>
      <w:r>
        <w:rPr>
          <w:sz w:val="20"/>
        </w:rPr>
        <w:t>More</w:t>
      </w:r>
      <w:r>
        <w:rPr>
          <w:spacing w:val="-6"/>
          <w:sz w:val="20"/>
        </w:rPr>
        <w:t xml:space="preserve"> </w:t>
      </w:r>
      <w:r>
        <w:rPr>
          <w:sz w:val="20"/>
        </w:rPr>
        <w:t>negative</w:t>
      </w:r>
      <w:r>
        <w:rPr>
          <w:spacing w:val="-5"/>
          <w:sz w:val="20"/>
        </w:rPr>
        <w:t xml:space="preserve"> </w:t>
      </w:r>
      <w:r>
        <w:rPr>
          <w:sz w:val="20"/>
        </w:rPr>
        <w:t>than</w:t>
      </w:r>
      <w:r>
        <w:rPr>
          <w:spacing w:val="-3"/>
          <w:sz w:val="20"/>
        </w:rPr>
        <w:t xml:space="preserve"> </w:t>
      </w:r>
      <w:r>
        <w:rPr>
          <w:sz w:val="20"/>
        </w:rPr>
        <w:t>positive</w:t>
      </w:r>
      <w:r>
        <w:rPr>
          <w:spacing w:val="-1"/>
          <w:sz w:val="20"/>
        </w:rPr>
        <w:t xml:space="preserve"> </w:t>
      </w:r>
      <w:r>
        <w:rPr>
          <w:sz w:val="20"/>
        </w:rPr>
        <w:t>account</w:t>
      </w:r>
      <w:r>
        <w:rPr>
          <w:spacing w:val="-3"/>
          <w:sz w:val="20"/>
        </w:rPr>
        <w:t xml:space="preserve"> </w:t>
      </w:r>
      <w:r>
        <w:rPr>
          <w:sz w:val="20"/>
        </w:rPr>
        <w:t>history</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approved</w:t>
      </w:r>
      <w:r>
        <w:rPr>
          <w:spacing w:val="-5"/>
          <w:sz w:val="20"/>
        </w:rPr>
        <w:t xml:space="preserve"> </w:t>
      </w:r>
      <w:r>
        <w:rPr>
          <w:sz w:val="20"/>
        </w:rPr>
        <w:t>subject</w:t>
      </w:r>
      <w:r>
        <w:rPr>
          <w:spacing w:val="-5"/>
          <w:sz w:val="20"/>
        </w:rPr>
        <w:t xml:space="preserve"> </w:t>
      </w:r>
      <w:r>
        <w:rPr>
          <w:sz w:val="20"/>
        </w:rPr>
        <w:t>to</w:t>
      </w:r>
      <w:r>
        <w:rPr>
          <w:spacing w:val="-6"/>
          <w:sz w:val="20"/>
        </w:rPr>
        <w:t xml:space="preserve"> </w:t>
      </w:r>
      <w:r>
        <w:rPr>
          <w:sz w:val="20"/>
        </w:rPr>
        <w:t>an</w:t>
      </w:r>
      <w:r>
        <w:rPr>
          <w:spacing w:val="-6"/>
          <w:sz w:val="20"/>
        </w:rPr>
        <w:t xml:space="preserve"> </w:t>
      </w:r>
      <w:r>
        <w:rPr>
          <w:sz w:val="20"/>
        </w:rPr>
        <w:t>additional</w:t>
      </w:r>
      <w:r>
        <w:rPr>
          <w:spacing w:val="-33"/>
          <w:sz w:val="20"/>
        </w:rPr>
        <w:t xml:space="preserve"> </w:t>
      </w:r>
      <w:r>
        <w:rPr>
          <w:sz w:val="20"/>
        </w:rPr>
        <w:t>deposit.</w:t>
      </w:r>
    </w:p>
    <w:p w14:paraId="6B599BED" w14:textId="77777777" w:rsidR="007A0595" w:rsidRDefault="007A0595">
      <w:pPr>
        <w:spacing w:line="234" w:lineRule="exact"/>
        <w:rPr>
          <w:sz w:val="20"/>
        </w:rPr>
        <w:sectPr w:rsidR="007A0595">
          <w:footerReference w:type="default" r:id="rId10"/>
          <w:pgSz w:w="12240" w:h="15840"/>
          <w:pgMar w:top="1280" w:right="1360" w:bottom="1160" w:left="1320" w:header="0" w:footer="974" w:gutter="0"/>
          <w:cols w:space="720"/>
        </w:sectPr>
      </w:pPr>
    </w:p>
    <w:p w14:paraId="67BFD552" w14:textId="77777777" w:rsidR="007A0595" w:rsidRDefault="00000000">
      <w:pPr>
        <w:pStyle w:val="BodyText"/>
        <w:spacing w:before="77"/>
        <w:ind w:left="120" w:right="148"/>
      </w:pPr>
      <w:r>
        <w:lastRenderedPageBreak/>
        <w:t>Bankruptcy (regardless of discharge) or repossession within the last two (2) years may be grounds for denial of the application or may require an additional deposit for approval.</w:t>
      </w:r>
    </w:p>
    <w:p w14:paraId="45679F4D" w14:textId="77777777" w:rsidR="007A0595" w:rsidRDefault="007A0595">
      <w:pPr>
        <w:pStyle w:val="BodyText"/>
        <w:spacing w:before="1"/>
      </w:pPr>
    </w:p>
    <w:p w14:paraId="3357381F" w14:textId="77777777" w:rsidR="007A0595" w:rsidRDefault="00000000">
      <w:pPr>
        <w:pStyle w:val="ListParagraph"/>
        <w:numPr>
          <w:ilvl w:val="0"/>
          <w:numId w:val="3"/>
        </w:numPr>
        <w:tabs>
          <w:tab w:val="left" w:pos="399"/>
        </w:tabs>
        <w:ind w:left="120" w:right="200" w:hanging="1"/>
        <w:rPr>
          <w:sz w:val="20"/>
        </w:rPr>
      </w:pPr>
      <w:r>
        <w:rPr>
          <w:sz w:val="20"/>
        </w:rPr>
        <w:t>RESIDENT HISTORY – All occupants must have at least 12 months of verifiable and positive residency history immediately preceding application. Verification must be provided by a third-party entity. Verification by an individual will not be accepted unless proof of timely payments is provided. Resident history</w:t>
      </w:r>
      <w:r>
        <w:rPr>
          <w:spacing w:val="-8"/>
          <w:sz w:val="20"/>
        </w:rPr>
        <w:t xml:space="preserve"> </w:t>
      </w:r>
      <w:r>
        <w:rPr>
          <w:sz w:val="20"/>
        </w:rPr>
        <w:t>that</w:t>
      </w:r>
      <w:r>
        <w:rPr>
          <w:spacing w:val="-7"/>
          <w:sz w:val="20"/>
        </w:rPr>
        <w:t xml:space="preserve"> </w:t>
      </w:r>
      <w:r>
        <w:rPr>
          <w:sz w:val="20"/>
        </w:rPr>
        <w:t>indicates</w:t>
      </w:r>
      <w:r>
        <w:rPr>
          <w:spacing w:val="-6"/>
          <w:sz w:val="20"/>
        </w:rPr>
        <w:t xml:space="preserve"> </w:t>
      </w:r>
      <w:r>
        <w:rPr>
          <w:sz w:val="20"/>
        </w:rPr>
        <w:t>multiple</w:t>
      </w:r>
      <w:r>
        <w:rPr>
          <w:spacing w:val="-8"/>
          <w:sz w:val="20"/>
        </w:rPr>
        <w:t xml:space="preserve"> </w:t>
      </w:r>
      <w:r>
        <w:rPr>
          <w:sz w:val="20"/>
        </w:rPr>
        <w:t>late</w:t>
      </w:r>
      <w:r>
        <w:rPr>
          <w:spacing w:val="-8"/>
          <w:sz w:val="20"/>
        </w:rPr>
        <w:t xml:space="preserve"> </w:t>
      </w:r>
      <w:r>
        <w:rPr>
          <w:sz w:val="20"/>
        </w:rPr>
        <w:t>payments,</w:t>
      </w:r>
      <w:r>
        <w:rPr>
          <w:spacing w:val="-9"/>
          <w:sz w:val="20"/>
        </w:rPr>
        <w:t xml:space="preserve"> </w:t>
      </w:r>
      <w:r>
        <w:rPr>
          <w:sz w:val="20"/>
        </w:rPr>
        <w:t>returned</w:t>
      </w:r>
      <w:r>
        <w:rPr>
          <w:spacing w:val="-7"/>
          <w:sz w:val="20"/>
        </w:rPr>
        <w:t xml:space="preserve"> </w:t>
      </w:r>
      <w:r>
        <w:rPr>
          <w:sz w:val="20"/>
        </w:rPr>
        <w:t>checks,</w:t>
      </w:r>
      <w:r>
        <w:rPr>
          <w:spacing w:val="-9"/>
          <w:sz w:val="20"/>
        </w:rPr>
        <w:t xml:space="preserve"> </w:t>
      </w:r>
      <w:r>
        <w:rPr>
          <w:sz w:val="20"/>
        </w:rPr>
        <w:t>poor</w:t>
      </w:r>
      <w:r>
        <w:rPr>
          <w:spacing w:val="-6"/>
          <w:sz w:val="20"/>
        </w:rPr>
        <w:t xml:space="preserve"> </w:t>
      </w:r>
      <w:r>
        <w:rPr>
          <w:sz w:val="20"/>
        </w:rPr>
        <w:t>housekeeping,</w:t>
      </w:r>
      <w:r>
        <w:rPr>
          <w:spacing w:val="-7"/>
          <w:sz w:val="20"/>
        </w:rPr>
        <w:t xml:space="preserve"> </w:t>
      </w:r>
      <w:r>
        <w:rPr>
          <w:sz w:val="20"/>
        </w:rPr>
        <w:t>conduct</w:t>
      </w:r>
      <w:r>
        <w:rPr>
          <w:spacing w:val="-5"/>
          <w:sz w:val="20"/>
        </w:rPr>
        <w:t xml:space="preserve"> </w:t>
      </w:r>
      <w:r>
        <w:rPr>
          <w:sz w:val="20"/>
        </w:rPr>
        <w:t>disturbing</w:t>
      </w:r>
      <w:r>
        <w:rPr>
          <w:spacing w:val="-10"/>
          <w:sz w:val="20"/>
        </w:rPr>
        <w:t xml:space="preserve"> </w:t>
      </w:r>
      <w:r>
        <w:rPr>
          <w:sz w:val="20"/>
        </w:rPr>
        <w:t>the rights and comforts of other residents, unauthorized occupants, property damage or failure to adhere to policies and regulations of a prior rental agreement will result in</w:t>
      </w:r>
      <w:r>
        <w:rPr>
          <w:spacing w:val="-20"/>
          <w:sz w:val="20"/>
        </w:rPr>
        <w:t xml:space="preserve"> </w:t>
      </w:r>
      <w:r>
        <w:rPr>
          <w:sz w:val="20"/>
        </w:rPr>
        <w:t>denial.</w:t>
      </w:r>
    </w:p>
    <w:p w14:paraId="3410CD5C" w14:textId="77777777" w:rsidR="007A0595" w:rsidRDefault="007A0595">
      <w:pPr>
        <w:pStyle w:val="BodyText"/>
        <w:spacing w:before="10"/>
        <w:rPr>
          <w:sz w:val="19"/>
        </w:rPr>
      </w:pPr>
    </w:p>
    <w:p w14:paraId="03A322EF" w14:textId="77777777" w:rsidR="007A0595" w:rsidRDefault="00000000">
      <w:pPr>
        <w:pStyle w:val="ListParagraph"/>
        <w:numPr>
          <w:ilvl w:val="0"/>
          <w:numId w:val="3"/>
        </w:numPr>
        <w:tabs>
          <w:tab w:val="left" w:pos="399"/>
        </w:tabs>
        <w:ind w:right="253" w:firstLine="0"/>
        <w:rPr>
          <w:sz w:val="20"/>
        </w:rPr>
      </w:pPr>
      <w:r>
        <w:rPr>
          <w:sz w:val="20"/>
        </w:rPr>
        <w:t>CRIMINAL</w:t>
      </w:r>
      <w:r>
        <w:rPr>
          <w:spacing w:val="-3"/>
          <w:sz w:val="20"/>
        </w:rPr>
        <w:t xml:space="preserve"> </w:t>
      </w:r>
      <w:r>
        <w:rPr>
          <w:sz w:val="20"/>
        </w:rPr>
        <w:t>HISTORY</w:t>
      </w:r>
      <w:r>
        <w:rPr>
          <w:spacing w:val="-5"/>
          <w:sz w:val="20"/>
        </w:rPr>
        <w:t xml:space="preserve"> </w:t>
      </w:r>
      <w:r>
        <w:rPr>
          <w:sz w:val="20"/>
        </w:rPr>
        <w:t>–</w:t>
      </w:r>
      <w:r>
        <w:rPr>
          <w:spacing w:val="-4"/>
          <w:sz w:val="20"/>
        </w:rPr>
        <w:t xml:space="preserve"> </w:t>
      </w:r>
      <w:r>
        <w:rPr>
          <w:sz w:val="20"/>
        </w:rPr>
        <w:t>The</w:t>
      </w:r>
      <w:r>
        <w:rPr>
          <w:spacing w:val="-5"/>
          <w:sz w:val="20"/>
        </w:rPr>
        <w:t xml:space="preserve"> </w:t>
      </w:r>
      <w:r>
        <w:rPr>
          <w:sz w:val="20"/>
        </w:rPr>
        <w:t>tenant</w:t>
      </w:r>
      <w:r>
        <w:rPr>
          <w:spacing w:val="-4"/>
          <w:sz w:val="20"/>
        </w:rPr>
        <w:t xml:space="preserve"> </w:t>
      </w:r>
      <w:r>
        <w:rPr>
          <w:sz w:val="20"/>
        </w:rPr>
        <w:t>screening</w:t>
      </w:r>
      <w:r>
        <w:rPr>
          <w:spacing w:val="-4"/>
          <w:sz w:val="20"/>
        </w:rPr>
        <w:t xml:space="preserve"> </w:t>
      </w:r>
      <w:r>
        <w:rPr>
          <w:sz w:val="20"/>
        </w:rPr>
        <w:t>investigation</w:t>
      </w:r>
      <w:r>
        <w:rPr>
          <w:spacing w:val="-4"/>
          <w:sz w:val="20"/>
        </w:rPr>
        <w:t xml:space="preserve"> </w:t>
      </w:r>
      <w:r>
        <w:rPr>
          <w:sz w:val="20"/>
        </w:rPr>
        <w:t>includes</w:t>
      </w:r>
      <w:r>
        <w:rPr>
          <w:spacing w:val="-4"/>
          <w:sz w:val="20"/>
        </w:rPr>
        <w:t xml:space="preserve"> </w:t>
      </w:r>
      <w:r>
        <w:rPr>
          <w:sz w:val="20"/>
        </w:rPr>
        <w:t>a</w:t>
      </w:r>
      <w:r>
        <w:rPr>
          <w:spacing w:val="-4"/>
          <w:sz w:val="20"/>
        </w:rPr>
        <w:t xml:space="preserve"> </w:t>
      </w:r>
      <w:r>
        <w:rPr>
          <w:sz w:val="20"/>
        </w:rPr>
        <w:t>criminal</w:t>
      </w:r>
      <w:r>
        <w:rPr>
          <w:spacing w:val="-3"/>
          <w:sz w:val="20"/>
        </w:rPr>
        <w:t xml:space="preserve"> </w:t>
      </w:r>
      <w:r>
        <w:rPr>
          <w:sz w:val="20"/>
        </w:rPr>
        <w:t>background</w:t>
      </w:r>
      <w:r>
        <w:rPr>
          <w:spacing w:val="-39"/>
          <w:sz w:val="20"/>
        </w:rPr>
        <w:t xml:space="preserve"> </w:t>
      </w:r>
      <w:r>
        <w:rPr>
          <w:sz w:val="20"/>
        </w:rPr>
        <w:t>screening. All applicants will be screened for criminal history. Pillar Properties considers the entire application and considers prior convictions reportable under the Fair Credit Report Act and rules of Washington. Convictions involving sexual misconduct, drug manufacture and delivery crimes, theft by check or a physical crime against a person or another person’s property may result in</w:t>
      </w:r>
      <w:r>
        <w:rPr>
          <w:spacing w:val="-25"/>
          <w:sz w:val="20"/>
        </w:rPr>
        <w:t xml:space="preserve"> </w:t>
      </w:r>
      <w:r>
        <w:rPr>
          <w:sz w:val="20"/>
        </w:rPr>
        <w:t>denial.</w:t>
      </w:r>
    </w:p>
    <w:p w14:paraId="247FDC81" w14:textId="77777777" w:rsidR="007A0595" w:rsidRDefault="007A0595">
      <w:pPr>
        <w:pStyle w:val="BodyText"/>
        <w:spacing w:before="3"/>
      </w:pPr>
    </w:p>
    <w:p w14:paraId="583B04BF" w14:textId="77777777" w:rsidR="007A0595" w:rsidRDefault="00000000">
      <w:pPr>
        <w:pStyle w:val="BodyText"/>
        <w:ind w:left="119" w:right="192"/>
      </w:pPr>
      <w:r>
        <w:t>Any individual denied on the basis of their criminal history may request review, which will be done on a case-by-case basis depending on the felony or misdemeanor offenses. Upon review, applicant may be approved upon payment of an additional deposit. Consideration will be given to the nature and date of the crime, circumstances of conviction, efforts at rehabilitation, and prior rental history since release from confinement.</w:t>
      </w:r>
    </w:p>
    <w:p w14:paraId="6B3202F4" w14:textId="77777777" w:rsidR="007A0595" w:rsidRDefault="007A0595">
      <w:pPr>
        <w:pStyle w:val="BodyText"/>
      </w:pPr>
    </w:p>
    <w:p w14:paraId="78A8363C" w14:textId="77777777" w:rsidR="007A0595" w:rsidRDefault="00000000">
      <w:pPr>
        <w:pStyle w:val="BodyText"/>
        <w:ind w:left="119"/>
      </w:pPr>
      <w:r>
        <w:t>Individuals requesting review based upon a denial of their rental application for a prior criminal conviction must provide the following: (1) documentation on the nature and date of the crime, (2) circumstances of underlying crime and conviction, (3) efforts at rehabilitation, and (4) prior rental history references since release from confinement must be provided at the time the application is submitted.</w:t>
      </w:r>
    </w:p>
    <w:p w14:paraId="683595B4" w14:textId="77777777" w:rsidR="007A0595" w:rsidRDefault="007A0595">
      <w:pPr>
        <w:pStyle w:val="BodyText"/>
        <w:spacing w:before="8"/>
        <w:rPr>
          <w:sz w:val="19"/>
        </w:rPr>
      </w:pPr>
    </w:p>
    <w:p w14:paraId="6ABD089C" w14:textId="77777777" w:rsidR="007A0595" w:rsidRDefault="00000000">
      <w:pPr>
        <w:pStyle w:val="ListParagraph"/>
        <w:numPr>
          <w:ilvl w:val="0"/>
          <w:numId w:val="3"/>
        </w:numPr>
        <w:tabs>
          <w:tab w:val="left" w:pos="399"/>
        </w:tabs>
        <w:ind w:left="398" w:hanging="279"/>
        <w:rPr>
          <w:sz w:val="20"/>
        </w:rPr>
      </w:pPr>
      <w:r>
        <w:rPr>
          <w:sz w:val="20"/>
        </w:rPr>
        <w:t>EVICTION HISTORY – Five (5) years of eviction free history is required for</w:t>
      </w:r>
      <w:r>
        <w:rPr>
          <w:spacing w:val="-40"/>
          <w:sz w:val="20"/>
        </w:rPr>
        <w:t xml:space="preserve"> </w:t>
      </w:r>
      <w:r>
        <w:rPr>
          <w:sz w:val="20"/>
        </w:rPr>
        <w:t>approval.</w:t>
      </w:r>
    </w:p>
    <w:p w14:paraId="710029ED" w14:textId="77777777" w:rsidR="007A0595" w:rsidRDefault="007A0595">
      <w:pPr>
        <w:pStyle w:val="BodyText"/>
        <w:spacing w:before="3"/>
      </w:pPr>
    </w:p>
    <w:p w14:paraId="2E556076" w14:textId="77777777" w:rsidR="007A0595" w:rsidRDefault="00000000">
      <w:pPr>
        <w:pStyle w:val="ListParagraph"/>
        <w:numPr>
          <w:ilvl w:val="0"/>
          <w:numId w:val="3"/>
        </w:numPr>
        <w:tabs>
          <w:tab w:val="left" w:pos="399"/>
        </w:tabs>
        <w:ind w:right="169" w:firstLine="0"/>
        <w:rPr>
          <w:sz w:val="20"/>
        </w:rPr>
      </w:pPr>
      <w:r>
        <w:rPr>
          <w:sz w:val="20"/>
        </w:rPr>
        <w:t>GUARANTOR/CO-SIGNOR – Guarantors will be accepted for applicants at the discretion of Pillar Properties</w:t>
      </w:r>
      <w:r>
        <w:rPr>
          <w:spacing w:val="-5"/>
          <w:sz w:val="20"/>
        </w:rPr>
        <w:t xml:space="preserve"> </w:t>
      </w:r>
      <w:r>
        <w:rPr>
          <w:sz w:val="20"/>
        </w:rPr>
        <w:t>when</w:t>
      </w:r>
      <w:r>
        <w:rPr>
          <w:spacing w:val="-7"/>
          <w:sz w:val="20"/>
        </w:rPr>
        <w:t xml:space="preserve"> </w:t>
      </w:r>
      <w:r>
        <w:rPr>
          <w:sz w:val="20"/>
        </w:rPr>
        <w:t>the</w:t>
      </w:r>
      <w:r>
        <w:rPr>
          <w:spacing w:val="-4"/>
          <w:sz w:val="20"/>
        </w:rPr>
        <w:t xml:space="preserve"> </w:t>
      </w:r>
      <w:r>
        <w:rPr>
          <w:sz w:val="20"/>
        </w:rPr>
        <w:t>applicant</w:t>
      </w:r>
      <w:r>
        <w:rPr>
          <w:spacing w:val="-6"/>
          <w:sz w:val="20"/>
        </w:rPr>
        <w:t xml:space="preserve"> </w:t>
      </w:r>
      <w:r>
        <w:rPr>
          <w:sz w:val="20"/>
        </w:rPr>
        <w:t>does</w:t>
      </w:r>
      <w:r>
        <w:rPr>
          <w:spacing w:val="-1"/>
          <w:sz w:val="20"/>
        </w:rPr>
        <w:t xml:space="preserve"> </w:t>
      </w:r>
      <w:r>
        <w:rPr>
          <w:sz w:val="20"/>
        </w:rPr>
        <w:t>not</w:t>
      </w:r>
      <w:r>
        <w:rPr>
          <w:spacing w:val="-6"/>
          <w:sz w:val="20"/>
        </w:rPr>
        <w:t xml:space="preserve"> </w:t>
      </w:r>
      <w:r>
        <w:rPr>
          <w:sz w:val="20"/>
        </w:rPr>
        <w:t>meet</w:t>
      </w:r>
      <w:r>
        <w:rPr>
          <w:spacing w:val="-6"/>
          <w:sz w:val="20"/>
        </w:rPr>
        <w:t xml:space="preserve"> </w:t>
      </w:r>
      <w:r>
        <w:rPr>
          <w:sz w:val="20"/>
        </w:rPr>
        <w:t>the</w:t>
      </w:r>
      <w:r>
        <w:rPr>
          <w:spacing w:val="-9"/>
          <w:sz w:val="20"/>
        </w:rPr>
        <w:t xml:space="preserve"> </w:t>
      </w:r>
      <w:r>
        <w:rPr>
          <w:sz w:val="20"/>
        </w:rPr>
        <w:t>required</w:t>
      </w:r>
      <w:r>
        <w:rPr>
          <w:spacing w:val="-6"/>
          <w:sz w:val="20"/>
        </w:rPr>
        <w:t xml:space="preserve"> </w:t>
      </w:r>
      <w:r>
        <w:rPr>
          <w:sz w:val="20"/>
        </w:rPr>
        <w:t>rent-to-income</w:t>
      </w:r>
      <w:r>
        <w:rPr>
          <w:spacing w:val="-9"/>
          <w:sz w:val="20"/>
        </w:rPr>
        <w:t xml:space="preserve"> </w:t>
      </w:r>
      <w:r>
        <w:rPr>
          <w:sz w:val="20"/>
        </w:rPr>
        <w:t>ratio</w:t>
      </w:r>
      <w:r>
        <w:rPr>
          <w:spacing w:val="-4"/>
          <w:sz w:val="20"/>
        </w:rPr>
        <w:t xml:space="preserve"> </w:t>
      </w:r>
      <w:r>
        <w:rPr>
          <w:sz w:val="20"/>
        </w:rPr>
        <w:t>or</w:t>
      </w:r>
      <w:r>
        <w:rPr>
          <w:spacing w:val="-3"/>
          <w:sz w:val="20"/>
        </w:rPr>
        <w:t xml:space="preserve"> </w:t>
      </w:r>
      <w:r>
        <w:rPr>
          <w:sz w:val="20"/>
        </w:rPr>
        <w:t>is</w:t>
      </w:r>
      <w:r>
        <w:rPr>
          <w:spacing w:val="-4"/>
          <w:sz w:val="20"/>
        </w:rPr>
        <w:t xml:space="preserve"> </w:t>
      </w:r>
      <w:r>
        <w:rPr>
          <w:sz w:val="20"/>
        </w:rPr>
        <w:t>denied</w:t>
      </w:r>
      <w:r>
        <w:rPr>
          <w:spacing w:val="-4"/>
          <w:sz w:val="20"/>
        </w:rPr>
        <w:t xml:space="preserve"> </w:t>
      </w:r>
      <w:r>
        <w:rPr>
          <w:sz w:val="20"/>
        </w:rPr>
        <w:t>on</w:t>
      </w:r>
      <w:r>
        <w:rPr>
          <w:spacing w:val="-7"/>
          <w:sz w:val="20"/>
        </w:rPr>
        <w:t xml:space="preserve"> </w:t>
      </w:r>
      <w:r>
        <w:rPr>
          <w:sz w:val="20"/>
        </w:rPr>
        <w:t>the</w:t>
      </w:r>
      <w:r>
        <w:rPr>
          <w:spacing w:val="-7"/>
          <w:sz w:val="20"/>
        </w:rPr>
        <w:t xml:space="preserve"> </w:t>
      </w:r>
      <w:r>
        <w:rPr>
          <w:sz w:val="20"/>
        </w:rPr>
        <w:t>basis</w:t>
      </w:r>
      <w:r>
        <w:rPr>
          <w:spacing w:val="-4"/>
          <w:sz w:val="20"/>
        </w:rPr>
        <w:t xml:space="preserve"> </w:t>
      </w:r>
      <w:r>
        <w:rPr>
          <w:sz w:val="20"/>
        </w:rPr>
        <w:t>of poor financial history. Only one guarantor per home is permissible. Guarantors must reside in the United States. Guarantors must meet the above established criteria and have gross monthly income equal to or greater than four (4) times the monthly</w:t>
      </w:r>
      <w:r>
        <w:rPr>
          <w:spacing w:val="-8"/>
          <w:sz w:val="20"/>
        </w:rPr>
        <w:t xml:space="preserve"> </w:t>
      </w:r>
      <w:r>
        <w:rPr>
          <w:sz w:val="20"/>
        </w:rPr>
        <w:t>rent.</w:t>
      </w:r>
    </w:p>
    <w:p w14:paraId="1C624FFB" w14:textId="77777777" w:rsidR="007A0595" w:rsidRDefault="007A0595">
      <w:pPr>
        <w:pStyle w:val="BodyText"/>
      </w:pPr>
    </w:p>
    <w:p w14:paraId="02A3241B" w14:textId="77777777" w:rsidR="007A0595" w:rsidRDefault="00000000">
      <w:pPr>
        <w:pStyle w:val="ListParagraph"/>
        <w:numPr>
          <w:ilvl w:val="0"/>
          <w:numId w:val="3"/>
        </w:numPr>
        <w:tabs>
          <w:tab w:val="left" w:pos="454"/>
        </w:tabs>
        <w:spacing w:before="1"/>
        <w:ind w:left="453" w:hanging="334"/>
        <w:rPr>
          <w:sz w:val="20"/>
        </w:rPr>
      </w:pPr>
      <w:r>
        <w:rPr>
          <w:sz w:val="20"/>
        </w:rPr>
        <w:t>ADDITIONAL INFORMATION</w:t>
      </w:r>
      <w:r>
        <w:rPr>
          <w:spacing w:val="-8"/>
          <w:sz w:val="20"/>
        </w:rPr>
        <w:t xml:space="preserve"> </w:t>
      </w:r>
      <w:r>
        <w:rPr>
          <w:sz w:val="20"/>
        </w:rPr>
        <w:t>–</w:t>
      </w:r>
    </w:p>
    <w:p w14:paraId="47ACE411" w14:textId="77777777" w:rsidR="007A0595" w:rsidRDefault="007A0595">
      <w:pPr>
        <w:pStyle w:val="BodyText"/>
        <w:spacing w:before="9"/>
        <w:rPr>
          <w:sz w:val="19"/>
        </w:rPr>
      </w:pPr>
    </w:p>
    <w:p w14:paraId="4EB64C39" w14:textId="77777777" w:rsidR="007A0595" w:rsidRDefault="00000000">
      <w:pPr>
        <w:pStyle w:val="BodyText"/>
        <w:spacing w:before="1"/>
        <w:ind w:left="120" w:right="148"/>
      </w:pPr>
      <w:r>
        <w:t>Credit Reporting: Resident shall be enrolled in a credit reporting service that reports the timeliness and completeness of Resident’s rent payments due under the Rental Agreement. Each non-corporate leaseholder will be charged a financial service fee of $2.00 per month for this service.</w:t>
      </w:r>
    </w:p>
    <w:p w14:paraId="429714B4" w14:textId="77777777" w:rsidR="007A0595" w:rsidRDefault="007A0595">
      <w:pPr>
        <w:pStyle w:val="BodyText"/>
        <w:spacing w:before="10"/>
        <w:rPr>
          <w:sz w:val="19"/>
        </w:rPr>
      </w:pPr>
    </w:p>
    <w:p w14:paraId="390209BE" w14:textId="77777777" w:rsidR="007A0595" w:rsidRDefault="00000000">
      <w:pPr>
        <w:pStyle w:val="BodyText"/>
        <w:spacing w:before="1"/>
        <w:ind w:left="119"/>
      </w:pPr>
      <w:r>
        <w:t>Animals: Pet restrictions vary at each community. A pet fee of $350 is due for each pet.</w:t>
      </w:r>
    </w:p>
    <w:p w14:paraId="1E3C9B63" w14:textId="77777777" w:rsidR="007A0595" w:rsidRDefault="007A0595">
      <w:pPr>
        <w:pStyle w:val="BodyText"/>
      </w:pPr>
    </w:p>
    <w:p w14:paraId="1621E4E2" w14:textId="77777777" w:rsidR="007A0595" w:rsidRDefault="00000000">
      <w:pPr>
        <w:pStyle w:val="BodyText"/>
        <w:spacing w:before="1"/>
        <w:ind w:left="119" w:right="148"/>
      </w:pPr>
      <w:r>
        <w:t>An additional pet deposit is required equal to $300. All pets must register with the property. In addition, Pillar Properties charges pet rent of $35 for each pet occupying each household.</w:t>
      </w:r>
    </w:p>
    <w:p w14:paraId="662A9472" w14:textId="77777777" w:rsidR="007A0595" w:rsidRDefault="007A0595">
      <w:pPr>
        <w:pStyle w:val="BodyText"/>
        <w:spacing w:before="1"/>
        <w:rPr>
          <w:sz w:val="18"/>
        </w:rPr>
      </w:pPr>
    </w:p>
    <w:p w14:paraId="0A8DBF78" w14:textId="77777777" w:rsidR="007A0595" w:rsidRDefault="00000000">
      <w:pPr>
        <w:pStyle w:val="ListParagraph"/>
        <w:numPr>
          <w:ilvl w:val="0"/>
          <w:numId w:val="3"/>
        </w:numPr>
        <w:tabs>
          <w:tab w:val="left" w:pos="509"/>
        </w:tabs>
        <w:ind w:right="136" w:firstLine="0"/>
        <w:rPr>
          <w:sz w:val="20"/>
        </w:rPr>
      </w:pPr>
      <w:r>
        <w:rPr>
          <w:sz w:val="20"/>
        </w:rPr>
        <w:t>ADDITIONAL</w:t>
      </w:r>
      <w:r>
        <w:rPr>
          <w:spacing w:val="-10"/>
          <w:sz w:val="20"/>
        </w:rPr>
        <w:t xml:space="preserve"> </w:t>
      </w:r>
      <w:r>
        <w:rPr>
          <w:sz w:val="20"/>
        </w:rPr>
        <w:t>TIME</w:t>
      </w:r>
      <w:r>
        <w:rPr>
          <w:spacing w:val="-5"/>
          <w:sz w:val="20"/>
        </w:rPr>
        <w:t xml:space="preserve"> </w:t>
      </w:r>
      <w:r>
        <w:rPr>
          <w:sz w:val="20"/>
        </w:rPr>
        <w:t>–</w:t>
      </w:r>
      <w:r>
        <w:rPr>
          <w:spacing w:val="-7"/>
          <w:sz w:val="20"/>
        </w:rPr>
        <w:t xml:space="preserve"> </w:t>
      </w:r>
      <w:r>
        <w:rPr>
          <w:sz w:val="20"/>
        </w:rPr>
        <w:t>As</w:t>
      </w:r>
      <w:r>
        <w:rPr>
          <w:spacing w:val="-6"/>
          <w:sz w:val="20"/>
        </w:rPr>
        <w:t xml:space="preserve"> </w:t>
      </w:r>
      <w:r>
        <w:rPr>
          <w:sz w:val="20"/>
        </w:rPr>
        <w:t>part</w:t>
      </w:r>
      <w:r>
        <w:rPr>
          <w:spacing w:val="-9"/>
          <w:sz w:val="20"/>
        </w:rPr>
        <w:t xml:space="preserve"> </w:t>
      </w:r>
      <w:r>
        <w:rPr>
          <w:sz w:val="20"/>
        </w:rPr>
        <w:t>of</w:t>
      </w:r>
      <w:r>
        <w:rPr>
          <w:spacing w:val="-9"/>
          <w:sz w:val="20"/>
        </w:rPr>
        <w:t xml:space="preserve"> </w:t>
      </w:r>
      <w:r>
        <w:rPr>
          <w:sz w:val="20"/>
        </w:rPr>
        <w:t>this</w:t>
      </w:r>
      <w:r>
        <w:rPr>
          <w:spacing w:val="-6"/>
          <w:sz w:val="20"/>
        </w:rPr>
        <w:t xml:space="preserve"> </w:t>
      </w:r>
      <w:r>
        <w:rPr>
          <w:sz w:val="20"/>
        </w:rPr>
        <w:t>property’s</w:t>
      </w:r>
      <w:r>
        <w:rPr>
          <w:spacing w:val="-7"/>
          <w:sz w:val="20"/>
        </w:rPr>
        <w:t xml:space="preserve"> </w:t>
      </w:r>
      <w:r>
        <w:rPr>
          <w:sz w:val="20"/>
        </w:rPr>
        <w:t>commitment</w:t>
      </w:r>
      <w:r>
        <w:rPr>
          <w:spacing w:val="-5"/>
          <w:sz w:val="20"/>
        </w:rPr>
        <w:t xml:space="preserve"> </w:t>
      </w:r>
      <w:r>
        <w:rPr>
          <w:sz w:val="20"/>
        </w:rPr>
        <w:t>to</w:t>
      </w:r>
      <w:r>
        <w:rPr>
          <w:spacing w:val="-4"/>
          <w:sz w:val="20"/>
        </w:rPr>
        <w:t xml:space="preserve"> </w:t>
      </w:r>
      <w:r>
        <w:rPr>
          <w:sz w:val="20"/>
        </w:rPr>
        <w:t>equal</w:t>
      </w:r>
      <w:r>
        <w:rPr>
          <w:spacing w:val="-8"/>
          <w:sz w:val="20"/>
        </w:rPr>
        <w:t xml:space="preserve"> </w:t>
      </w:r>
      <w:r>
        <w:rPr>
          <w:sz w:val="20"/>
        </w:rPr>
        <w:t>housing,</w:t>
      </w:r>
      <w:r>
        <w:rPr>
          <w:spacing w:val="-4"/>
          <w:sz w:val="20"/>
        </w:rPr>
        <w:t xml:space="preserve"> </w:t>
      </w:r>
      <w:r>
        <w:rPr>
          <w:sz w:val="20"/>
        </w:rPr>
        <w:t>and</w:t>
      </w:r>
      <w:r>
        <w:rPr>
          <w:spacing w:val="-6"/>
          <w:sz w:val="20"/>
        </w:rPr>
        <w:t xml:space="preserve"> </w:t>
      </w:r>
      <w:r>
        <w:rPr>
          <w:sz w:val="20"/>
        </w:rPr>
        <w:t>non-discrimination, you may request additional time to complete the application should you need a reasonable accommodation or need translation services. Translation services are applicant’s sole expense. Any request must be affirmatively made to management. An application’s date of completion will be determined pursuant to SMC</w:t>
      </w:r>
      <w:r>
        <w:rPr>
          <w:spacing w:val="-5"/>
          <w:sz w:val="20"/>
        </w:rPr>
        <w:t xml:space="preserve"> </w:t>
      </w:r>
      <w:r>
        <w:rPr>
          <w:sz w:val="20"/>
        </w:rPr>
        <w:t>14.08.050.</w:t>
      </w:r>
    </w:p>
    <w:p w14:paraId="7AF72134" w14:textId="77777777" w:rsidR="007A0595" w:rsidRDefault="007A0595">
      <w:pPr>
        <w:pStyle w:val="BodyText"/>
      </w:pPr>
    </w:p>
    <w:p w14:paraId="75C1B416" w14:textId="77777777" w:rsidR="007A0595" w:rsidRDefault="00000000">
      <w:pPr>
        <w:pStyle w:val="ListParagraph"/>
        <w:numPr>
          <w:ilvl w:val="0"/>
          <w:numId w:val="3"/>
        </w:numPr>
        <w:tabs>
          <w:tab w:val="left" w:pos="512"/>
        </w:tabs>
        <w:ind w:left="120" w:right="240" w:hanging="1"/>
        <w:rPr>
          <w:sz w:val="20"/>
        </w:rPr>
      </w:pPr>
      <w:r>
        <w:rPr>
          <w:sz w:val="20"/>
        </w:rPr>
        <w:t>EXCEPTIONS</w:t>
      </w:r>
      <w:r>
        <w:rPr>
          <w:spacing w:val="-10"/>
          <w:sz w:val="20"/>
        </w:rPr>
        <w:t xml:space="preserve"> </w:t>
      </w:r>
      <w:r>
        <w:rPr>
          <w:sz w:val="20"/>
        </w:rPr>
        <w:t>–</w:t>
      </w:r>
      <w:r>
        <w:rPr>
          <w:spacing w:val="-14"/>
          <w:sz w:val="20"/>
        </w:rPr>
        <w:t xml:space="preserve"> </w:t>
      </w:r>
      <w:r>
        <w:rPr>
          <w:sz w:val="20"/>
        </w:rPr>
        <w:t>The</w:t>
      </w:r>
      <w:r>
        <w:rPr>
          <w:spacing w:val="-10"/>
          <w:sz w:val="20"/>
        </w:rPr>
        <w:t xml:space="preserve"> </w:t>
      </w:r>
      <w:r>
        <w:rPr>
          <w:sz w:val="20"/>
        </w:rPr>
        <w:t>exceptions</w:t>
      </w:r>
      <w:r>
        <w:rPr>
          <w:spacing w:val="-7"/>
          <w:sz w:val="20"/>
        </w:rPr>
        <w:t xml:space="preserve"> </w:t>
      </w:r>
      <w:r>
        <w:rPr>
          <w:sz w:val="20"/>
        </w:rPr>
        <w:t>provided</w:t>
      </w:r>
      <w:r>
        <w:rPr>
          <w:spacing w:val="-9"/>
          <w:sz w:val="20"/>
        </w:rPr>
        <w:t xml:space="preserve"> </w:t>
      </w:r>
      <w:r>
        <w:rPr>
          <w:sz w:val="20"/>
        </w:rPr>
        <w:t>in</w:t>
      </w:r>
      <w:r>
        <w:rPr>
          <w:spacing w:val="-11"/>
          <w:sz w:val="20"/>
        </w:rPr>
        <w:t xml:space="preserve"> </w:t>
      </w:r>
      <w:r>
        <w:rPr>
          <w:sz w:val="20"/>
        </w:rPr>
        <w:t>SMC</w:t>
      </w:r>
      <w:r>
        <w:rPr>
          <w:spacing w:val="-8"/>
          <w:sz w:val="20"/>
        </w:rPr>
        <w:t xml:space="preserve"> </w:t>
      </w:r>
      <w:r>
        <w:rPr>
          <w:sz w:val="20"/>
        </w:rPr>
        <w:t>14.08.050</w:t>
      </w:r>
      <w:r>
        <w:rPr>
          <w:spacing w:val="-10"/>
          <w:sz w:val="20"/>
        </w:rPr>
        <w:t xml:space="preserve"> </w:t>
      </w:r>
      <w:r>
        <w:rPr>
          <w:sz w:val="20"/>
        </w:rPr>
        <w:t>do</w:t>
      </w:r>
      <w:r>
        <w:rPr>
          <w:spacing w:val="-9"/>
          <w:sz w:val="20"/>
        </w:rPr>
        <w:t xml:space="preserve"> </w:t>
      </w:r>
      <w:r>
        <w:rPr>
          <w:sz w:val="20"/>
        </w:rPr>
        <w:t>not</w:t>
      </w:r>
      <w:r>
        <w:rPr>
          <w:spacing w:val="-9"/>
          <w:sz w:val="20"/>
        </w:rPr>
        <w:t xml:space="preserve"> </w:t>
      </w:r>
      <w:r>
        <w:rPr>
          <w:sz w:val="20"/>
        </w:rPr>
        <w:t>apply,</w:t>
      </w:r>
      <w:r>
        <w:rPr>
          <w:spacing w:val="-9"/>
          <w:sz w:val="20"/>
        </w:rPr>
        <w:t xml:space="preserve"> </w:t>
      </w:r>
      <w:r>
        <w:rPr>
          <w:sz w:val="20"/>
        </w:rPr>
        <w:t>except</w:t>
      </w:r>
      <w:r>
        <w:rPr>
          <w:spacing w:val="-6"/>
          <w:sz w:val="20"/>
        </w:rPr>
        <w:t xml:space="preserve"> </w:t>
      </w:r>
      <w:r>
        <w:rPr>
          <w:sz w:val="20"/>
        </w:rPr>
        <w:t>when</w:t>
      </w:r>
      <w:r>
        <w:rPr>
          <w:spacing w:val="-8"/>
          <w:sz w:val="20"/>
        </w:rPr>
        <w:t xml:space="preserve"> </w:t>
      </w:r>
      <w:r>
        <w:rPr>
          <w:sz w:val="20"/>
        </w:rPr>
        <w:t>the</w:t>
      </w:r>
      <w:r>
        <w:rPr>
          <w:spacing w:val="-14"/>
          <w:sz w:val="20"/>
        </w:rPr>
        <w:t xml:space="preserve"> </w:t>
      </w:r>
      <w:r>
        <w:rPr>
          <w:sz w:val="20"/>
        </w:rPr>
        <w:t>available unit</w:t>
      </w:r>
      <w:r>
        <w:rPr>
          <w:spacing w:val="-1"/>
          <w:sz w:val="20"/>
        </w:rPr>
        <w:t xml:space="preserve"> </w:t>
      </w:r>
      <w:r>
        <w:rPr>
          <w:sz w:val="20"/>
        </w:rPr>
        <w:t>is</w:t>
      </w:r>
      <w:r>
        <w:rPr>
          <w:spacing w:val="-2"/>
          <w:sz w:val="20"/>
        </w:rPr>
        <w:t xml:space="preserve"> </w:t>
      </w:r>
      <w:r>
        <w:rPr>
          <w:sz w:val="20"/>
        </w:rPr>
        <w:t>necessary to</w:t>
      </w:r>
      <w:r>
        <w:rPr>
          <w:spacing w:val="-6"/>
          <w:sz w:val="20"/>
        </w:rPr>
        <w:t xml:space="preserve"> </w:t>
      </w:r>
      <w:r>
        <w:rPr>
          <w:sz w:val="20"/>
        </w:rPr>
        <w:t>meet</w:t>
      </w:r>
      <w:r>
        <w:rPr>
          <w:spacing w:val="-2"/>
          <w:sz w:val="20"/>
        </w:rPr>
        <w:t xml:space="preserve"> </w:t>
      </w:r>
      <w:r>
        <w:rPr>
          <w:sz w:val="20"/>
        </w:rPr>
        <w:t>the</w:t>
      </w:r>
      <w:r>
        <w:rPr>
          <w:spacing w:val="-6"/>
          <w:sz w:val="20"/>
        </w:rPr>
        <w:t xml:space="preserve"> </w:t>
      </w:r>
      <w:r>
        <w:rPr>
          <w:sz w:val="20"/>
        </w:rPr>
        <w:t>minimum</w:t>
      </w:r>
      <w:r>
        <w:rPr>
          <w:spacing w:val="-5"/>
          <w:sz w:val="20"/>
        </w:rPr>
        <w:t xml:space="preserve"> </w:t>
      </w:r>
      <w:r>
        <w:rPr>
          <w:sz w:val="20"/>
        </w:rPr>
        <w:t>standards</w:t>
      </w:r>
      <w:r>
        <w:rPr>
          <w:spacing w:val="-1"/>
          <w:sz w:val="20"/>
        </w:rPr>
        <w:t xml:space="preserve"> </w:t>
      </w:r>
      <w:r>
        <w:rPr>
          <w:sz w:val="20"/>
        </w:rPr>
        <w:t>of</w:t>
      </w:r>
      <w:r>
        <w:rPr>
          <w:spacing w:val="-2"/>
          <w:sz w:val="20"/>
        </w:rPr>
        <w:t xml:space="preserve"> </w:t>
      </w:r>
      <w:r>
        <w:rPr>
          <w:sz w:val="20"/>
        </w:rPr>
        <w:t>the</w:t>
      </w:r>
      <w:r>
        <w:rPr>
          <w:spacing w:val="-6"/>
          <w:sz w:val="20"/>
        </w:rPr>
        <w:t xml:space="preserve"> </w:t>
      </w:r>
      <w:r>
        <w:rPr>
          <w:sz w:val="20"/>
        </w:rPr>
        <w:t>Multi-Family</w:t>
      </w:r>
      <w:r>
        <w:rPr>
          <w:spacing w:val="-1"/>
          <w:sz w:val="20"/>
        </w:rPr>
        <w:t xml:space="preserve"> </w:t>
      </w:r>
      <w:r>
        <w:rPr>
          <w:sz w:val="20"/>
        </w:rPr>
        <w:t>Tax</w:t>
      </w:r>
      <w:r>
        <w:rPr>
          <w:spacing w:val="-4"/>
          <w:sz w:val="20"/>
        </w:rPr>
        <w:t xml:space="preserve"> </w:t>
      </w:r>
      <w:r>
        <w:rPr>
          <w:sz w:val="20"/>
        </w:rPr>
        <w:t>Exemption</w:t>
      </w:r>
      <w:r>
        <w:rPr>
          <w:spacing w:val="-30"/>
          <w:sz w:val="20"/>
        </w:rPr>
        <w:t xml:space="preserve"> </w:t>
      </w:r>
      <w:r>
        <w:rPr>
          <w:sz w:val="20"/>
        </w:rPr>
        <w:t>program.</w:t>
      </w:r>
    </w:p>
    <w:sectPr w:rsidR="007A0595">
      <w:pgSz w:w="12240" w:h="15840"/>
      <w:pgMar w:top="1360" w:right="1360" w:bottom="1160" w:left="13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FF0B3" w14:textId="77777777" w:rsidR="00CC3939" w:rsidRDefault="00CC3939">
      <w:r>
        <w:separator/>
      </w:r>
    </w:p>
  </w:endnote>
  <w:endnote w:type="continuationSeparator" w:id="0">
    <w:p w14:paraId="594EC845" w14:textId="77777777" w:rsidR="00CC3939" w:rsidRDefault="00CC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C35D7" w14:textId="77777777" w:rsidR="007A0595" w:rsidRDefault="00000000">
    <w:pPr>
      <w:pStyle w:val="BodyText"/>
      <w:spacing w:line="14" w:lineRule="auto"/>
    </w:pPr>
    <w:r>
      <w:pict w14:anchorId="58978B4B">
        <v:shapetype id="_x0000_t202" coordsize="21600,21600" o:spt="202" path="m,l,21600r21600,l21600,xe">
          <v:stroke joinstyle="miter"/>
          <v:path gradientshapeok="t" o:connecttype="rect"/>
        </v:shapetype>
        <v:shape id="_x0000_s1025" type="#_x0000_t202" style="position:absolute;margin-left:531.35pt;margin-top:732.3pt;width:11.5pt;height:13.15pt;z-index:-251658752;mso-position-horizontal-relative:page;mso-position-vertical-relative:page" filled="f" stroked="f">
          <v:textbox inset="0,0,0,0">
            <w:txbxContent>
              <w:p w14:paraId="48C7B0C2" w14:textId="77777777" w:rsidR="007A0595" w:rsidRDefault="00000000">
                <w:pPr>
                  <w:pStyle w:val="BodyText"/>
                  <w:spacing w:before="12"/>
                  <w:ind w:left="60"/>
                </w:pPr>
                <w:r>
                  <w:fldChar w:fldCharType="begin"/>
                </w:r>
                <w:r>
                  <w:rPr>
                    <w:w w:val="9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E0503" w14:textId="77777777" w:rsidR="00CC3939" w:rsidRDefault="00CC3939">
      <w:r>
        <w:separator/>
      </w:r>
    </w:p>
  </w:footnote>
  <w:footnote w:type="continuationSeparator" w:id="0">
    <w:p w14:paraId="3586609D" w14:textId="77777777" w:rsidR="00CC3939" w:rsidRDefault="00CC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A5B34"/>
    <w:multiLevelType w:val="hybridMultilevel"/>
    <w:tmpl w:val="259C4324"/>
    <w:lvl w:ilvl="0" w:tplc="4BCA07DC">
      <w:numFmt w:val="bullet"/>
      <w:lvlText w:val=""/>
      <w:lvlJc w:val="left"/>
      <w:pPr>
        <w:ind w:left="840" w:hanging="363"/>
      </w:pPr>
      <w:rPr>
        <w:rFonts w:ascii="Symbol" w:eastAsia="Symbol" w:hAnsi="Symbol" w:cs="Symbol" w:hint="default"/>
        <w:w w:val="97"/>
        <w:sz w:val="20"/>
        <w:szCs w:val="20"/>
        <w:lang w:val="en-US" w:eastAsia="en-US" w:bidi="en-US"/>
      </w:rPr>
    </w:lvl>
    <w:lvl w:ilvl="1" w:tplc="E596495E">
      <w:numFmt w:val="bullet"/>
      <w:lvlText w:val="•"/>
      <w:lvlJc w:val="left"/>
      <w:pPr>
        <w:ind w:left="1712" w:hanging="363"/>
      </w:pPr>
      <w:rPr>
        <w:rFonts w:hint="default"/>
        <w:lang w:val="en-US" w:eastAsia="en-US" w:bidi="en-US"/>
      </w:rPr>
    </w:lvl>
    <w:lvl w:ilvl="2" w:tplc="10A029C8">
      <w:numFmt w:val="bullet"/>
      <w:lvlText w:val="•"/>
      <w:lvlJc w:val="left"/>
      <w:pPr>
        <w:ind w:left="2584" w:hanging="363"/>
      </w:pPr>
      <w:rPr>
        <w:rFonts w:hint="default"/>
        <w:lang w:val="en-US" w:eastAsia="en-US" w:bidi="en-US"/>
      </w:rPr>
    </w:lvl>
    <w:lvl w:ilvl="3" w:tplc="45EE2E2C">
      <w:numFmt w:val="bullet"/>
      <w:lvlText w:val="•"/>
      <w:lvlJc w:val="left"/>
      <w:pPr>
        <w:ind w:left="3456" w:hanging="363"/>
      </w:pPr>
      <w:rPr>
        <w:rFonts w:hint="default"/>
        <w:lang w:val="en-US" w:eastAsia="en-US" w:bidi="en-US"/>
      </w:rPr>
    </w:lvl>
    <w:lvl w:ilvl="4" w:tplc="C9B25330">
      <w:numFmt w:val="bullet"/>
      <w:lvlText w:val="•"/>
      <w:lvlJc w:val="left"/>
      <w:pPr>
        <w:ind w:left="4328" w:hanging="363"/>
      </w:pPr>
      <w:rPr>
        <w:rFonts w:hint="default"/>
        <w:lang w:val="en-US" w:eastAsia="en-US" w:bidi="en-US"/>
      </w:rPr>
    </w:lvl>
    <w:lvl w:ilvl="5" w:tplc="A7B42624">
      <w:numFmt w:val="bullet"/>
      <w:lvlText w:val="•"/>
      <w:lvlJc w:val="left"/>
      <w:pPr>
        <w:ind w:left="5200" w:hanging="363"/>
      </w:pPr>
      <w:rPr>
        <w:rFonts w:hint="default"/>
        <w:lang w:val="en-US" w:eastAsia="en-US" w:bidi="en-US"/>
      </w:rPr>
    </w:lvl>
    <w:lvl w:ilvl="6" w:tplc="B45E0EE6">
      <w:numFmt w:val="bullet"/>
      <w:lvlText w:val="•"/>
      <w:lvlJc w:val="left"/>
      <w:pPr>
        <w:ind w:left="6072" w:hanging="363"/>
      </w:pPr>
      <w:rPr>
        <w:rFonts w:hint="default"/>
        <w:lang w:val="en-US" w:eastAsia="en-US" w:bidi="en-US"/>
      </w:rPr>
    </w:lvl>
    <w:lvl w:ilvl="7" w:tplc="FD8CA062">
      <w:numFmt w:val="bullet"/>
      <w:lvlText w:val="•"/>
      <w:lvlJc w:val="left"/>
      <w:pPr>
        <w:ind w:left="6944" w:hanging="363"/>
      </w:pPr>
      <w:rPr>
        <w:rFonts w:hint="default"/>
        <w:lang w:val="en-US" w:eastAsia="en-US" w:bidi="en-US"/>
      </w:rPr>
    </w:lvl>
    <w:lvl w:ilvl="8" w:tplc="4FA0379E">
      <w:numFmt w:val="bullet"/>
      <w:lvlText w:val="•"/>
      <w:lvlJc w:val="left"/>
      <w:pPr>
        <w:ind w:left="7816" w:hanging="363"/>
      </w:pPr>
      <w:rPr>
        <w:rFonts w:hint="default"/>
        <w:lang w:val="en-US" w:eastAsia="en-US" w:bidi="en-US"/>
      </w:rPr>
    </w:lvl>
  </w:abstractNum>
  <w:abstractNum w:abstractNumId="1" w15:restartNumberingAfterBreak="0">
    <w:nsid w:val="60D8156D"/>
    <w:multiLevelType w:val="hybridMultilevel"/>
    <w:tmpl w:val="48FE96B2"/>
    <w:lvl w:ilvl="0" w:tplc="D602B304">
      <w:numFmt w:val="bullet"/>
      <w:lvlText w:val=""/>
      <w:lvlJc w:val="left"/>
      <w:pPr>
        <w:ind w:left="839" w:hanging="360"/>
      </w:pPr>
      <w:rPr>
        <w:rFonts w:ascii="Symbol" w:eastAsia="Symbol" w:hAnsi="Symbol" w:cs="Symbol" w:hint="default"/>
        <w:w w:val="97"/>
        <w:sz w:val="20"/>
        <w:szCs w:val="20"/>
        <w:lang w:val="en-US" w:eastAsia="en-US" w:bidi="en-US"/>
      </w:rPr>
    </w:lvl>
    <w:lvl w:ilvl="1" w:tplc="4C1C4CE0">
      <w:numFmt w:val="bullet"/>
      <w:lvlText w:val="•"/>
      <w:lvlJc w:val="left"/>
      <w:pPr>
        <w:ind w:left="1712" w:hanging="360"/>
      </w:pPr>
      <w:rPr>
        <w:rFonts w:hint="default"/>
        <w:lang w:val="en-US" w:eastAsia="en-US" w:bidi="en-US"/>
      </w:rPr>
    </w:lvl>
    <w:lvl w:ilvl="2" w:tplc="AAAC085E">
      <w:numFmt w:val="bullet"/>
      <w:lvlText w:val="•"/>
      <w:lvlJc w:val="left"/>
      <w:pPr>
        <w:ind w:left="2584" w:hanging="360"/>
      </w:pPr>
      <w:rPr>
        <w:rFonts w:hint="default"/>
        <w:lang w:val="en-US" w:eastAsia="en-US" w:bidi="en-US"/>
      </w:rPr>
    </w:lvl>
    <w:lvl w:ilvl="3" w:tplc="6A8CD6C0">
      <w:numFmt w:val="bullet"/>
      <w:lvlText w:val="•"/>
      <w:lvlJc w:val="left"/>
      <w:pPr>
        <w:ind w:left="3456" w:hanging="360"/>
      </w:pPr>
      <w:rPr>
        <w:rFonts w:hint="default"/>
        <w:lang w:val="en-US" w:eastAsia="en-US" w:bidi="en-US"/>
      </w:rPr>
    </w:lvl>
    <w:lvl w:ilvl="4" w:tplc="37AE9A70">
      <w:numFmt w:val="bullet"/>
      <w:lvlText w:val="•"/>
      <w:lvlJc w:val="left"/>
      <w:pPr>
        <w:ind w:left="4328" w:hanging="360"/>
      </w:pPr>
      <w:rPr>
        <w:rFonts w:hint="default"/>
        <w:lang w:val="en-US" w:eastAsia="en-US" w:bidi="en-US"/>
      </w:rPr>
    </w:lvl>
    <w:lvl w:ilvl="5" w:tplc="40F6AE86">
      <w:numFmt w:val="bullet"/>
      <w:lvlText w:val="•"/>
      <w:lvlJc w:val="left"/>
      <w:pPr>
        <w:ind w:left="5200" w:hanging="360"/>
      </w:pPr>
      <w:rPr>
        <w:rFonts w:hint="default"/>
        <w:lang w:val="en-US" w:eastAsia="en-US" w:bidi="en-US"/>
      </w:rPr>
    </w:lvl>
    <w:lvl w:ilvl="6" w:tplc="BC466330">
      <w:numFmt w:val="bullet"/>
      <w:lvlText w:val="•"/>
      <w:lvlJc w:val="left"/>
      <w:pPr>
        <w:ind w:left="6072" w:hanging="360"/>
      </w:pPr>
      <w:rPr>
        <w:rFonts w:hint="default"/>
        <w:lang w:val="en-US" w:eastAsia="en-US" w:bidi="en-US"/>
      </w:rPr>
    </w:lvl>
    <w:lvl w:ilvl="7" w:tplc="AE72E2DC">
      <w:numFmt w:val="bullet"/>
      <w:lvlText w:val="•"/>
      <w:lvlJc w:val="left"/>
      <w:pPr>
        <w:ind w:left="6944" w:hanging="360"/>
      </w:pPr>
      <w:rPr>
        <w:rFonts w:hint="default"/>
        <w:lang w:val="en-US" w:eastAsia="en-US" w:bidi="en-US"/>
      </w:rPr>
    </w:lvl>
    <w:lvl w:ilvl="8" w:tplc="D37A9E2C">
      <w:numFmt w:val="bullet"/>
      <w:lvlText w:val="•"/>
      <w:lvlJc w:val="left"/>
      <w:pPr>
        <w:ind w:left="7816" w:hanging="360"/>
      </w:pPr>
      <w:rPr>
        <w:rFonts w:hint="default"/>
        <w:lang w:val="en-US" w:eastAsia="en-US" w:bidi="en-US"/>
      </w:rPr>
    </w:lvl>
  </w:abstractNum>
  <w:abstractNum w:abstractNumId="2" w15:restartNumberingAfterBreak="0">
    <w:nsid w:val="62FB7220"/>
    <w:multiLevelType w:val="hybridMultilevel"/>
    <w:tmpl w:val="ED744116"/>
    <w:lvl w:ilvl="0" w:tplc="721C2FDA">
      <w:numFmt w:val="bullet"/>
      <w:lvlText w:val=""/>
      <w:lvlJc w:val="left"/>
      <w:pPr>
        <w:ind w:left="840" w:hanging="360"/>
      </w:pPr>
      <w:rPr>
        <w:rFonts w:ascii="Symbol" w:eastAsia="Symbol" w:hAnsi="Symbol" w:cs="Symbol" w:hint="default"/>
        <w:w w:val="97"/>
        <w:sz w:val="20"/>
        <w:szCs w:val="20"/>
        <w:lang w:val="en-US" w:eastAsia="en-US" w:bidi="en-US"/>
      </w:rPr>
    </w:lvl>
    <w:lvl w:ilvl="1" w:tplc="47445074">
      <w:numFmt w:val="bullet"/>
      <w:lvlText w:val="•"/>
      <w:lvlJc w:val="left"/>
      <w:pPr>
        <w:ind w:left="1712" w:hanging="360"/>
      </w:pPr>
      <w:rPr>
        <w:rFonts w:hint="default"/>
        <w:lang w:val="en-US" w:eastAsia="en-US" w:bidi="en-US"/>
      </w:rPr>
    </w:lvl>
    <w:lvl w:ilvl="2" w:tplc="D682B1DE">
      <w:numFmt w:val="bullet"/>
      <w:lvlText w:val="•"/>
      <w:lvlJc w:val="left"/>
      <w:pPr>
        <w:ind w:left="2584" w:hanging="360"/>
      </w:pPr>
      <w:rPr>
        <w:rFonts w:hint="default"/>
        <w:lang w:val="en-US" w:eastAsia="en-US" w:bidi="en-US"/>
      </w:rPr>
    </w:lvl>
    <w:lvl w:ilvl="3" w:tplc="29502AB2">
      <w:numFmt w:val="bullet"/>
      <w:lvlText w:val="•"/>
      <w:lvlJc w:val="left"/>
      <w:pPr>
        <w:ind w:left="3456" w:hanging="360"/>
      </w:pPr>
      <w:rPr>
        <w:rFonts w:hint="default"/>
        <w:lang w:val="en-US" w:eastAsia="en-US" w:bidi="en-US"/>
      </w:rPr>
    </w:lvl>
    <w:lvl w:ilvl="4" w:tplc="6EE81770">
      <w:numFmt w:val="bullet"/>
      <w:lvlText w:val="•"/>
      <w:lvlJc w:val="left"/>
      <w:pPr>
        <w:ind w:left="4328" w:hanging="360"/>
      </w:pPr>
      <w:rPr>
        <w:rFonts w:hint="default"/>
        <w:lang w:val="en-US" w:eastAsia="en-US" w:bidi="en-US"/>
      </w:rPr>
    </w:lvl>
    <w:lvl w:ilvl="5" w:tplc="964A3490">
      <w:numFmt w:val="bullet"/>
      <w:lvlText w:val="•"/>
      <w:lvlJc w:val="left"/>
      <w:pPr>
        <w:ind w:left="5200" w:hanging="360"/>
      </w:pPr>
      <w:rPr>
        <w:rFonts w:hint="default"/>
        <w:lang w:val="en-US" w:eastAsia="en-US" w:bidi="en-US"/>
      </w:rPr>
    </w:lvl>
    <w:lvl w:ilvl="6" w:tplc="DEBECC06">
      <w:numFmt w:val="bullet"/>
      <w:lvlText w:val="•"/>
      <w:lvlJc w:val="left"/>
      <w:pPr>
        <w:ind w:left="6072" w:hanging="360"/>
      </w:pPr>
      <w:rPr>
        <w:rFonts w:hint="default"/>
        <w:lang w:val="en-US" w:eastAsia="en-US" w:bidi="en-US"/>
      </w:rPr>
    </w:lvl>
    <w:lvl w:ilvl="7" w:tplc="92E29358">
      <w:numFmt w:val="bullet"/>
      <w:lvlText w:val="•"/>
      <w:lvlJc w:val="left"/>
      <w:pPr>
        <w:ind w:left="6944" w:hanging="360"/>
      </w:pPr>
      <w:rPr>
        <w:rFonts w:hint="default"/>
        <w:lang w:val="en-US" w:eastAsia="en-US" w:bidi="en-US"/>
      </w:rPr>
    </w:lvl>
    <w:lvl w:ilvl="8" w:tplc="FBDCD8A4">
      <w:numFmt w:val="bullet"/>
      <w:lvlText w:val="•"/>
      <w:lvlJc w:val="left"/>
      <w:pPr>
        <w:ind w:left="7816" w:hanging="360"/>
      </w:pPr>
      <w:rPr>
        <w:rFonts w:hint="default"/>
        <w:lang w:val="en-US" w:eastAsia="en-US" w:bidi="en-US"/>
      </w:rPr>
    </w:lvl>
  </w:abstractNum>
  <w:abstractNum w:abstractNumId="3" w15:restartNumberingAfterBreak="0">
    <w:nsid w:val="76FF60DF"/>
    <w:multiLevelType w:val="hybridMultilevel"/>
    <w:tmpl w:val="069841A2"/>
    <w:lvl w:ilvl="0" w:tplc="2E0CF924">
      <w:start w:val="1"/>
      <w:numFmt w:val="decimal"/>
      <w:lvlText w:val="%1."/>
      <w:lvlJc w:val="left"/>
      <w:pPr>
        <w:ind w:left="119" w:hanging="224"/>
        <w:jc w:val="left"/>
      </w:pPr>
      <w:rPr>
        <w:rFonts w:ascii="Arial" w:eastAsia="Arial" w:hAnsi="Arial" w:cs="Arial" w:hint="default"/>
        <w:spacing w:val="-2"/>
        <w:w w:val="98"/>
        <w:sz w:val="20"/>
        <w:szCs w:val="20"/>
        <w:lang w:val="en-US" w:eastAsia="en-US" w:bidi="en-US"/>
      </w:rPr>
    </w:lvl>
    <w:lvl w:ilvl="1" w:tplc="6F22C4DC">
      <w:start w:val="1"/>
      <w:numFmt w:val="lowerLetter"/>
      <w:lvlText w:val="%2."/>
      <w:lvlJc w:val="left"/>
      <w:pPr>
        <w:ind w:left="840" w:hanging="360"/>
        <w:jc w:val="left"/>
      </w:pPr>
      <w:rPr>
        <w:rFonts w:ascii="Arial" w:eastAsia="Arial" w:hAnsi="Arial" w:cs="Arial" w:hint="default"/>
        <w:spacing w:val="-2"/>
        <w:w w:val="98"/>
        <w:sz w:val="20"/>
        <w:szCs w:val="20"/>
        <w:lang w:val="en-US" w:eastAsia="en-US" w:bidi="en-US"/>
      </w:rPr>
    </w:lvl>
    <w:lvl w:ilvl="2" w:tplc="BDAE5920">
      <w:numFmt w:val="bullet"/>
      <w:lvlText w:val="•"/>
      <w:lvlJc w:val="left"/>
      <w:pPr>
        <w:ind w:left="1808" w:hanging="360"/>
      </w:pPr>
      <w:rPr>
        <w:rFonts w:hint="default"/>
        <w:lang w:val="en-US" w:eastAsia="en-US" w:bidi="en-US"/>
      </w:rPr>
    </w:lvl>
    <w:lvl w:ilvl="3" w:tplc="80C22DC2">
      <w:numFmt w:val="bullet"/>
      <w:lvlText w:val="•"/>
      <w:lvlJc w:val="left"/>
      <w:pPr>
        <w:ind w:left="2777" w:hanging="360"/>
      </w:pPr>
      <w:rPr>
        <w:rFonts w:hint="default"/>
        <w:lang w:val="en-US" w:eastAsia="en-US" w:bidi="en-US"/>
      </w:rPr>
    </w:lvl>
    <w:lvl w:ilvl="4" w:tplc="E3500B7E">
      <w:numFmt w:val="bullet"/>
      <w:lvlText w:val="•"/>
      <w:lvlJc w:val="left"/>
      <w:pPr>
        <w:ind w:left="3746" w:hanging="360"/>
      </w:pPr>
      <w:rPr>
        <w:rFonts w:hint="default"/>
        <w:lang w:val="en-US" w:eastAsia="en-US" w:bidi="en-US"/>
      </w:rPr>
    </w:lvl>
    <w:lvl w:ilvl="5" w:tplc="656AFB36">
      <w:numFmt w:val="bullet"/>
      <w:lvlText w:val="•"/>
      <w:lvlJc w:val="left"/>
      <w:pPr>
        <w:ind w:left="4715" w:hanging="360"/>
      </w:pPr>
      <w:rPr>
        <w:rFonts w:hint="default"/>
        <w:lang w:val="en-US" w:eastAsia="en-US" w:bidi="en-US"/>
      </w:rPr>
    </w:lvl>
    <w:lvl w:ilvl="6" w:tplc="080AC4D0">
      <w:numFmt w:val="bullet"/>
      <w:lvlText w:val="•"/>
      <w:lvlJc w:val="left"/>
      <w:pPr>
        <w:ind w:left="5684" w:hanging="360"/>
      </w:pPr>
      <w:rPr>
        <w:rFonts w:hint="default"/>
        <w:lang w:val="en-US" w:eastAsia="en-US" w:bidi="en-US"/>
      </w:rPr>
    </w:lvl>
    <w:lvl w:ilvl="7" w:tplc="0D4EC53E">
      <w:numFmt w:val="bullet"/>
      <w:lvlText w:val="•"/>
      <w:lvlJc w:val="left"/>
      <w:pPr>
        <w:ind w:left="6653" w:hanging="360"/>
      </w:pPr>
      <w:rPr>
        <w:rFonts w:hint="default"/>
        <w:lang w:val="en-US" w:eastAsia="en-US" w:bidi="en-US"/>
      </w:rPr>
    </w:lvl>
    <w:lvl w:ilvl="8" w:tplc="8452A8EC">
      <w:numFmt w:val="bullet"/>
      <w:lvlText w:val="•"/>
      <w:lvlJc w:val="left"/>
      <w:pPr>
        <w:ind w:left="7622" w:hanging="360"/>
      </w:pPr>
      <w:rPr>
        <w:rFonts w:hint="default"/>
        <w:lang w:val="en-US" w:eastAsia="en-US" w:bidi="en-US"/>
      </w:rPr>
    </w:lvl>
  </w:abstractNum>
  <w:abstractNum w:abstractNumId="4" w15:restartNumberingAfterBreak="0">
    <w:nsid w:val="787B54EB"/>
    <w:multiLevelType w:val="hybridMultilevel"/>
    <w:tmpl w:val="A484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750726">
    <w:abstractNumId w:val="0"/>
  </w:num>
  <w:num w:numId="2" w16cid:durableId="748885643">
    <w:abstractNumId w:val="1"/>
  </w:num>
  <w:num w:numId="3" w16cid:durableId="1183395114">
    <w:abstractNumId w:val="3"/>
  </w:num>
  <w:num w:numId="4" w16cid:durableId="1389185493">
    <w:abstractNumId w:val="2"/>
  </w:num>
  <w:num w:numId="5" w16cid:durableId="695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A0595"/>
    <w:rsid w:val="003E7C41"/>
    <w:rsid w:val="004F0F41"/>
    <w:rsid w:val="007A0595"/>
    <w:rsid w:val="00CC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3005"/>
  <w15:docId w15:val="{7DD56737-9EEF-4DDF-A38C-15F98B92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E7C41"/>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rentgrow.com/request-now/" TargetMode="External"/><Relationship Id="rId3" Type="http://schemas.openxmlformats.org/officeDocument/2006/relationships/settings" Target="settings.xml"/><Relationship Id="rId7" Type="http://schemas.openxmlformats.org/officeDocument/2006/relationships/hyperlink" Target="http://www.rentgrow.com/request-n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ntgrow.com/request-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1667</Words>
  <Characters>9505</Characters>
  <Application>Microsoft Office Word</Application>
  <DocSecurity>0</DocSecurity>
  <Lines>79</Lines>
  <Paragraphs>22</Paragraphs>
  <ScaleCrop>false</ScaleCrop>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Pillar Screening Criteria (Tacoma) - RentGrow version</dc:title>
  <dc:creator>DianaN</dc:creator>
  <cp:lastModifiedBy>Colleen English</cp:lastModifiedBy>
  <cp:revision>2</cp:revision>
  <dcterms:created xsi:type="dcterms:W3CDTF">2024-07-19T20:44:00Z</dcterms:created>
  <dcterms:modified xsi:type="dcterms:W3CDTF">2024-07-19T20:45:00Z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Acrobat PDFMaker 17 for Word</vt:lpwstr>
  </property>
  <property fmtid="{D5CDD505-2E9C-101B-9397-08002B2CF9AE}" pid="4" name="LastSaved">
    <vt:filetime>2024-07-19T00:00:00Z</vt:filetime>
  </property>
</Properties>
</file>