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657B13" w14:textId="7969DBDE" w:rsidR="00580203" w:rsidRDefault="008B4F7E">
      <w:pPr>
        <w:pStyle w:val="Heading1"/>
        <w:spacing w:before="600" w:after="120"/>
      </w:pPr>
      <w:r>
        <w:rPr>
          <w:noProof/>
        </w:rPr>
        <w:drawing>
          <wp:anchor distT="0" distB="0" distL="114300" distR="114300" simplePos="0" relativeHeight="251658240" behindDoc="0" locked="0" layoutInCell="1" allowOverlap="1" wp14:anchorId="71E0CF31" wp14:editId="3090823B">
            <wp:simplePos x="0" y="0"/>
            <wp:positionH relativeFrom="column">
              <wp:posOffset>5233670</wp:posOffset>
            </wp:positionH>
            <wp:positionV relativeFrom="paragraph">
              <wp:posOffset>171450</wp:posOffset>
            </wp:positionV>
            <wp:extent cx="1030605" cy="1216660"/>
            <wp:effectExtent l="152400" t="171450" r="360045" b="364490"/>
            <wp:wrapSquare wrapText="bothSides"/>
            <wp:docPr id="1" name="Picture 1" descr="Dr Jessica Morl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ess_morley.jpg"/>
                    <pic:cNvPicPr/>
                  </pic:nvPicPr>
                  <pic:blipFill rotWithShape="1">
                    <a:blip r:embed="rId8"/>
                    <a:srcRect t="13408" r="2189"/>
                    <a:stretch>
                      <a:fillRect/>
                    </a:stretch>
                  </pic:blipFill>
                  <pic:spPr bwMode="auto">
                    <a:xfrm>
                      <a:off x="0" y="0"/>
                      <a:ext cx="1030605" cy="1216660"/>
                    </a:xfrm>
                    <a:prstGeom prst="rect">
                      <a:avLst/>
                    </a:prstGeom>
                    <a:ln>
                      <a:noFill/>
                    </a:ln>
                    <a:effectLst>
                      <a:outerShdw blurRad="292100" dist="139700" dir="2700000" algn="tl" rotWithShape="0">
                        <a:srgbClr val="333333">
                          <a:alpha val="65000"/>
                        </a:srgbClr>
                      </a:outerShdw>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97164">
        <w:rPr>
          <w:color w:val="999999"/>
          <w:sz w:val="28"/>
          <w:szCs w:val="28"/>
        </w:rPr>
        <w:t>Chapter X</w:t>
      </w:r>
    </w:p>
    <w:p w14:paraId="122F55FB" w14:textId="77777777" w:rsidR="00580203" w:rsidRDefault="00D97164">
      <w:pPr>
        <w:pStyle w:val="Heading1"/>
        <w:spacing w:after="100"/>
      </w:pPr>
      <w:r>
        <w:t>Does Social Care Need AI, or Does AI Need Social Care?</w:t>
      </w:r>
    </w:p>
    <w:p w14:paraId="3D023C00" w14:textId="77777777" w:rsidR="00580203" w:rsidRDefault="00D97164">
      <w:pPr>
        <w:spacing w:after="80"/>
      </w:pPr>
      <w:r>
        <w:rPr>
          <w:rFonts w:ascii="Arial" w:eastAsia="Arial" w:hAnsi="Arial" w:cs="Arial"/>
          <w:i/>
          <w:iCs/>
          <w:color w:val="666666"/>
          <w:sz w:val="26"/>
          <w:szCs w:val="26"/>
        </w:rPr>
        <w:t>AI, Data, and Why the Dependency Runs Both Ways</w:t>
      </w:r>
    </w:p>
    <w:p w14:paraId="19C4A039" w14:textId="77777777" w:rsidR="00580203" w:rsidRDefault="00E913E3">
      <w:pPr>
        <w:spacing w:after="200"/>
      </w:pPr>
      <w:r>
        <w:rPr>
          <w:i/>
          <w:iCs/>
          <w:color w:val="888888"/>
          <w:sz w:val="22"/>
          <w:szCs w:val="22"/>
        </w:rPr>
        <w:t>Reflections on a conversation with Dr Jessica Morley, January 2020</w:t>
      </w:r>
    </w:p>
    <w:p w14:paraId="2743647B" w14:textId="77777777" w:rsidR="00580203" w:rsidRDefault="00D97164">
      <w:pPr>
        <w:spacing w:after="500" w:line="340" w:lineRule="auto"/>
      </w:pPr>
      <w:r>
        <w:rPr>
          <w:i/>
          <w:iCs/>
          <w:color w:val="666666"/>
          <w:sz w:val="22"/>
          <w:szCs w:val="22"/>
        </w:rPr>
        <w:t>In this chapter, I reflect on a wide-ranging conversation with Dr Jessica Morley about the promises and risks of artificial intelligence in health and social care.</w:t>
      </w:r>
    </w:p>
    <w:p w14:paraId="5F7277E2" w14:textId="77777777" w:rsidR="00580203" w:rsidRDefault="00D97164">
      <w:pPr>
        <w:spacing w:after="200" w:line="360" w:lineRule="auto"/>
      </w:pPr>
      <w:r>
        <w:t>If you work in health or social care, you will have heard a lot about AI and technology. The assumption tends to be that social care needs AI. But one of the things that struck me most in this conversation was the flip side: AI needs social care too. It needs our data, our knowledge, our context. Without it, these systems are guessing, and guessing badly. There is enormous potential in these technologies, but there is also a real risk that we charge ahead without asking the harder questions about who they serve, whose data they rely on, and what happens when things go wrong.</w:t>
      </w:r>
    </w:p>
    <w:p w14:paraId="456DF198" w14:textId="77777777" w:rsidR="00580203" w:rsidRDefault="00D97164">
      <w:pPr>
        <w:spacing w:after="200" w:line="360" w:lineRule="auto"/>
      </w:pPr>
      <w:r>
        <w:t>That risk feels more real now than ever. In 2025, the government launched an AI Opportunities Action Plan</w:t>
      </w:r>
      <w:r>
        <w:rPr>
          <w:rStyle w:val="FootnoteReference"/>
        </w:rPr>
        <w:footnoteReference w:id="1"/>
      </w:r>
      <w:r>
        <w:t xml:space="preserve"> and established a new Office of AI and Digital, and the rhetoric around AI in care has never been louder. Yet a government survey found that only one in six UK businesses actually use AI, and social care barely features in the national adoption data.</w:t>
      </w:r>
      <w:r>
        <w:rPr>
          <w:rStyle w:val="FootnoteReference"/>
        </w:rPr>
        <w:footnoteReference w:id="2"/>
      </w:r>
      <w:r>
        <w:t xml:space="preserve"> There is an enormous gap between the ambition and the reality. The King’s Fund warned that without addressing the variation in digital maturity across providers, the push towards AI risks benefiting the most capable organisations while leaving others behind.</w:t>
      </w:r>
      <w:r>
        <w:rPr>
          <w:rStyle w:val="FootnoteReference"/>
        </w:rPr>
        <w:footnoteReference w:id="3"/>
      </w:r>
      <w:r>
        <w:t xml:space="preserve"> IMPACT, at the University of Birmingham, found that care networks were asking a more fundamental question: what is the issue you are actually trying to solve? And expressing real concern that AI </w:t>
      </w:r>
      <w:r>
        <w:lastRenderedPageBreak/>
        <w:t>could dehumanise care if not handled properly.</w:t>
      </w:r>
      <w:r>
        <w:rPr>
          <w:rStyle w:val="FootnoteReference"/>
        </w:rPr>
        <w:footnoteReference w:id="4"/>
      </w:r>
      <w:r>
        <w:t xml:space="preserve"> By early 2026, Social Work England was calling for urgent national guidelines on appropriate use.</w:t>
      </w:r>
      <w:r>
        <w:rPr>
          <w:rStyle w:val="FootnoteReference"/>
        </w:rPr>
        <w:footnoteReference w:id="5"/>
      </w:r>
    </w:p>
    <w:p w14:paraId="25DA1B8D" w14:textId="4B85139D" w:rsidR="00580203" w:rsidRDefault="00D97164">
      <w:pPr>
        <w:spacing w:after="200" w:line="360" w:lineRule="auto"/>
      </w:pPr>
      <w:r>
        <w:t>I recorded this conversation with Dr Jessica Morley in January 2020, and reading it back now, what strikes me is how prescient so many of her concerns were. If anything, the questions she raised have become more urgent, not less. So, while this chapter is rooted in that conversation, I have added reflections throughout on where things have landed since.</w:t>
      </w:r>
    </w:p>
    <w:p w14:paraId="3B5FC711" w14:textId="77777777" w:rsidR="00580203" w:rsidRDefault="00D97164">
      <w:pPr>
        <w:pStyle w:val="Heading2"/>
      </w:pPr>
      <w:r>
        <w:t>Who Is Jess?</w:t>
      </w:r>
    </w:p>
    <w:p w14:paraId="64649EA8" w14:textId="782D357C" w:rsidR="00125764" w:rsidRDefault="00DA348F">
      <w:pPr>
        <w:spacing w:after="200" w:line="360" w:lineRule="auto"/>
      </w:pPr>
      <w:r>
        <w:rPr>
          <w:i/>
          <w:color w:val="888888"/>
          <w:sz w:val="20"/>
          <w:szCs w:val="20"/>
        </w:rPr>
        <w:t>Dr Jessica Morley</w:t>
      </w:r>
    </w:p>
    <w:p w14:paraId="032777D0" w14:textId="77777777" w:rsidR="00580203" w:rsidRDefault="00D97164">
      <w:pPr>
        <w:spacing w:after="200" w:line="360" w:lineRule="auto"/>
      </w:pPr>
      <w:r>
        <w:t>When we spoke, Jess was the AI subject matter expert at NHS X, the joint digital unit between the Department of Health and Social Care and NHS England, advising government on the safe and ethical use of artificial intelligence in healthcare. Alongside that, she was completing her doctorate at the University of Oxford’s Internet Institute, supervised by Professor Luciano Floridi at the Digital Ethics Lab, while also serving as policy lead for Oxford’s DataLab (now the Bennett Institute for Applied Data Science), directed by Ben Goldacre. In short, she was one of a very small number of people working across the technical, ethical, and policy dimensions of AI in health all at once.</w:t>
      </w:r>
    </w:p>
    <w:p w14:paraId="1C2C25CE" w14:textId="77777777" w:rsidR="00580203" w:rsidRDefault="00D97164">
      <w:pPr>
        <w:spacing w:after="200" w:line="360" w:lineRule="auto"/>
      </w:pPr>
      <w:r>
        <w:t>Since our conversation, Jess has completed her PhD, “Designing an Algorithmically Enhanced NHS”, served as Director of Policy at the Bennett Institute, where she was lead researcher on the landmark Goldacre Review into the better use of health data, and is now an Associate Research Scientist at Yale University’s Digital Ethics Center. Her trajectory tells you something about the calibre of thinking she brought to our discussion, and about how far these questions now reach beyond the NHS.</w:t>
      </w:r>
    </w:p>
    <w:p w14:paraId="64B30F00" w14:textId="77777777" w:rsidR="00580203" w:rsidRDefault="00D97164">
      <w:pPr>
        <w:pStyle w:val="Heading2"/>
      </w:pPr>
      <w:r>
        <w:t>The Data Gap in Social Care</w:t>
      </w:r>
    </w:p>
    <w:p w14:paraId="44536890" w14:textId="77777777" w:rsidR="00580203" w:rsidRDefault="00D97164">
      <w:pPr>
        <w:spacing w:after="200" w:line="360" w:lineRule="auto"/>
      </w:pPr>
      <w:r>
        <w:lastRenderedPageBreak/>
        <w:t>Within the NHS, there are numerous points at which you generate data about yourself, from appointments and tests to prescriptions and referrals. In social care, that simply is not the case. If you are in a care home, receiving support in the community, or caring for a family member, you do not produce the same volume of information. And AI technologies are, as Jess described them, “data hungry.” Where there are big gaps in the input data, it becomes much harder to build systems that are free from bias.</w:t>
      </w:r>
    </w:p>
    <w:p w14:paraId="4EDF35ED" w14:textId="77777777" w:rsidR="00580203" w:rsidRDefault="00580203">
      <w:pPr>
        <w:spacing w:after="10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580203" w14:paraId="2F17D1C1" w14:textId="77777777">
        <w:tc>
          <w:tcPr>
            <w:tcW w:w="9026" w:type="dxa"/>
            <w:tcBorders>
              <w:top w:val="none" w:sz="0" w:space="0" w:color="FFFFFF"/>
              <w:left w:val="single" w:sz="18" w:space="0" w:color="7BAFD4"/>
              <w:bottom w:val="none" w:sz="0" w:space="0" w:color="FFFFFF"/>
              <w:right w:val="none" w:sz="0" w:space="0" w:color="FFFFFF"/>
            </w:tcBorders>
            <w:shd w:val="clear" w:color="auto" w:fill="EAF2F8"/>
            <w:tcMar>
              <w:top w:w="160" w:type="dxa"/>
              <w:left w:w="300" w:type="dxa"/>
              <w:bottom w:w="160" w:type="dxa"/>
              <w:right w:w="300" w:type="dxa"/>
            </w:tcMar>
          </w:tcPr>
          <w:p w14:paraId="6424A83A" w14:textId="77777777" w:rsidR="00580203" w:rsidRDefault="00D97164">
            <w:pPr>
              <w:spacing w:after="100" w:line="340" w:lineRule="auto"/>
            </w:pPr>
            <w:r>
              <w:rPr>
                <w:i/>
                <w:iCs/>
                <w:color w:val="2C5F7C"/>
                <w:sz w:val="22"/>
                <w:szCs w:val="22"/>
              </w:rPr>
              <w:t>“There will definitely be people that we have more information on than others, and that might mean that we might favour them. If you were to deploy a technology that knows more about one type of person than another, you start to overfit the system.”</w:t>
            </w:r>
          </w:p>
          <w:p w14:paraId="6D569ED2" w14:textId="77777777" w:rsidR="00580203" w:rsidRDefault="00D97164">
            <w:pPr>
              <w:jc w:val="right"/>
            </w:pPr>
            <w:r>
              <w:rPr>
                <w:i/>
                <w:iCs/>
                <w:color w:val="7BAFD4"/>
                <w:sz w:val="20"/>
                <w:szCs w:val="20"/>
              </w:rPr>
              <w:t>— Dr Jessica Morley</w:t>
            </w:r>
          </w:p>
        </w:tc>
      </w:tr>
    </w:tbl>
    <w:p w14:paraId="3FD6AF82" w14:textId="77777777" w:rsidR="00580203" w:rsidRDefault="00580203">
      <w:pPr>
        <w:spacing w:after="100"/>
      </w:pPr>
    </w:p>
    <w:p w14:paraId="2A17D243" w14:textId="77777777" w:rsidR="00580203" w:rsidRDefault="00D97164">
      <w:pPr>
        <w:spacing w:after="200" w:line="360" w:lineRule="auto"/>
      </w:pPr>
      <w:r>
        <w:t>The implications go beyond direct care. Data is also used for planning: where to locate services, how to allocate resources, where to train clinicians. If whole groups of people are missing from those datasets, their needs become invisible. The communities generating the least data become the communities with the least provision. That should concern all of us, particularly those of us in social care where the gaps are widest.</w:t>
      </w:r>
    </w:p>
    <w:p w14:paraId="6EEA2B7B" w14:textId="77777777" w:rsidR="00580203" w:rsidRDefault="00D97164">
      <w:pPr>
        <w:spacing w:after="200" w:line="360" w:lineRule="auto"/>
      </w:pPr>
      <w:r>
        <w:t>Since we spoke, this concern has only deepened. IMPACT’s 2025 research with adult social care networks found that AI training data routinely underrepresents people with learning disabilities, autism, and ethnic minority groups. One cited study showed an AI model that downplayed women’s health issues compared to men’s.</w:t>
      </w:r>
      <w:r>
        <w:rPr>
          <w:rStyle w:val="FootnoteReference"/>
        </w:rPr>
        <w:footnoteReference w:id="6"/>
      </w:r>
      <w:r>
        <w:t xml:space="preserve"> The Productivity Institute noted in 2025 that the breadth of social care data being collected has actually narrowed over time, with measures like hours of home care and meals on wheels deliveries discontinued from national datasets since 2014.</w:t>
      </w:r>
      <w:r>
        <w:rPr>
          <w:rStyle w:val="FootnoteReference"/>
        </w:rPr>
        <w:footnoteReference w:id="7"/>
      </w:r>
      <w:r>
        <w:t xml:space="preserve"> We are not closing the gap which Jess described. In some respects, we are widening it. </w:t>
      </w:r>
      <w:r>
        <w:lastRenderedPageBreak/>
        <w:t>And that raises a harder question: when the data is this patchy, who ends up carrying the consequences?</w:t>
      </w:r>
    </w:p>
    <w:p w14:paraId="2892F10A" w14:textId="77777777" w:rsidR="00580203" w:rsidRDefault="00D97164">
      <w:pPr>
        <w:pStyle w:val="Heading2"/>
      </w:pPr>
      <w:r>
        <w:t>Whose Responsibility Is It?</w:t>
      </w:r>
    </w:p>
    <w:p w14:paraId="2835E114" w14:textId="77777777" w:rsidR="00580203" w:rsidRDefault="00D97164">
      <w:pPr>
        <w:spacing w:after="200" w:line="360" w:lineRule="auto"/>
      </w:pPr>
      <w:r>
        <w:t>Does giving people access to their own health data “empower” them to take charge of their wellbeing? That is a question that crops up constantly in policy, and it sounds positive on the surface.</w:t>
      </w:r>
    </w:p>
    <w:p w14:paraId="36088AF1" w14:textId="77777777" w:rsidR="00580203" w:rsidRDefault="00DE2599">
      <w:pPr>
        <w:spacing w:after="200" w:line="360" w:lineRule="auto"/>
      </w:pPr>
      <w:r>
        <w:t xml:space="preserve">However, Jess has researched this at Oxford with Professor Floridi, and her concern was clear: </w:t>
      </w:r>
      <w:r>
        <w:rPr>
          <w:b/>
          <w:bCs/>
        </w:rPr>
        <w:t>the risk that empowerment language quietly shifts responsibility from the system to the individual</w:t>
      </w:r>
      <w:r>
        <w:t xml:space="preserve">. If you have been given the information but do not act on it, the implication is that it is </w:t>
      </w:r>
      <w:r>
        <w:rPr>
          <w:b/>
          <w:bCs/>
        </w:rPr>
        <w:t>your fault</w:t>
      </w:r>
      <w:r>
        <w:t>. But that ignores why someone might not act in their own health best interests. Poverty, food deserts, lack of exercise facilities, the complexity of managing long-term conditions.</w:t>
      </w:r>
    </w:p>
    <w:p w14:paraId="00C70EC1" w14:textId="77777777" w:rsidR="00580203" w:rsidRDefault="00580203">
      <w:pPr>
        <w:spacing w:after="10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580203" w14:paraId="2EFE6960" w14:textId="77777777">
        <w:tc>
          <w:tcPr>
            <w:tcW w:w="9026" w:type="dxa"/>
            <w:tcBorders>
              <w:top w:val="none" w:sz="0" w:space="0" w:color="FFFFFF"/>
              <w:left w:val="single" w:sz="18" w:space="0" w:color="7BAFD4"/>
              <w:bottom w:val="none" w:sz="0" w:space="0" w:color="FFFFFF"/>
              <w:right w:val="none" w:sz="0" w:space="0" w:color="FFFFFF"/>
            </w:tcBorders>
            <w:shd w:val="clear" w:color="auto" w:fill="EAF2F8"/>
            <w:tcMar>
              <w:top w:w="160" w:type="dxa"/>
              <w:left w:w="300" w:type="dxa"/>
              <w:bottom w:w="160" w:type="dxa"/>
              <w:right w:w="300" w:type="dxa"/>
            </w:tcMar>
          </w:tcPr>
          <w:p w14:paraId="6F8DB55D" w14:textId="77777777" w:rsidR="00580203" w:rsidRDefault="00D97164">
            <w:pPr>
              <w:spacing w:after="100" w:line="340" w:lineRule="auto"/>
            </w:pPr>
            <w:r>
              <w:rPr>
                <w:i/>
                <w:iCs/>
                <w:color w:val="2C5F7C"/>
                <w:sz w:val="22"/>
                <w:szCs w:val="22"/>
              </w:rPr>
              <w:t>“Instead of data being considered as something to empower the individual, consider it as being used to enable a group. You might be able to learn that people in a certain area have no access to fresh fruit and vegetables, or there’s nowhere to send your children to get exercise. Those are things you can do by aggregation of data that will have a bigger impact on the overarching improvement of care.”</w:t>
            </w:r>
          </w:p>
          <w:p w14:paraId="2A7393EB" w14:textId="77777777" w:rsidR="00580203" w:rsidRDefault="00D97164">
            <w:pPr>
              <w:jc w:val="right"/>
            </w:pPr>
            <w:r>
              <w:rPr>
                <w:i/>
                <w:iCs/>
                <w:color w:val="7BAFD4"/>
                <w:sz w:val="20"/>
                <w:szCs w:val="20"/>
              </w:rPr>
              <w:t>— Dr Jessica Morley</w:t>
            </w:r>
          </w:p>
        </w:tc>
      </w:tr>
    </w:tbl>
    <w:p w14:paraId="711D5AE5" w14:textId="77777777" w:rsidR="00580203" w:rsidRDefault="00580203">
      <w:pPr>
        <w:spacing w:after="100"/>
      </w:pPr>
    </w:p>
    <w:p w14:paraId="0E34E6ED" w14:textId="77777777" w:rsidR="00580203" w:rsidRDefault="00D97164">
      <w:pPr>
        <w:spacing w:after="200" w:line="360" w:lineRule="auto"/>
      </w:pPr>
      <w:r>
        <w:t>This distinction between empowerment and enablement is crucial. It is the difference between asking “why didn’t you eat better?” and asking “why is healthy food so hard to access where you live?” Not just semantics but a fundamentally different philosophy of how data should serve the public. But even when data is being used well, there is a separate problem: can we actually understand how the technology is making its decisions?</w:t>
      </w:r>
    </w:p>
    <w:p w14:paraId="1E8BBC96" w14:textId="77777777" w:rsidR="00580203" w:rsidRDefault="00D97164">
      <w:pPr>
        <w:pStyle w:val="Heading2"/>
      </w:pPr>
      <w:r>
        <w:t>The Black Box Problem</w:t>
      </w:r>
    </w:p>
    <w:p w14:paraId="71CE7997" w14:textId="77777777" w:rsidR="00580203" w:rsidRDefault="00D97164">
      <w:pPr>
        <w:spacing w:after="200" w:line="360" w:lineRule="auto"/>
      </w:pPr>
      <w:r>
        <w:t xml:space="preserve">A question from the audience prompted us to discuss “black box AI”. This is the problem that in machine learning, you give the system input data and a desired output, but it works out the route between the two by itself. The middle bit can involve millions of variables, and the reasoning may be opaque even to its designers. </w:t>
      </w:r>
      <w:r>
        <w:lastRenderedPageBreak/>
        <w:t>Jess illustrated it simply: imagine your doctor prescribes a drug, you ask why, and the doctor says, “I don’t know, the computer told me to.”</w:t>
      </w:r>
    </w:p>
    <w:p w14:paraId="191B916A" w14:textId="77777777" w:rsidR="00580203" w:rsidRDefault="00D97164">
      <w:pPr>
        <w:spacing w:after="200" w:line="360" w:lineRule="auto"/>
      </w:pPr>
      <w:r>
        <w:t>There are technical tools that help. Saliency maps, for instance, can highlight which parts of a medical image an algorithm flagged as abnormal. But they do not work in every context. Jess’s own view was pragmatic: the priority should be what she called “procedural regularity”, knowing where the data came from, how the algorithm was validated, where it breaks, and how it is monitored. That systemic transparency is more achievable and arguably more important than explaining every individual decision.</w:t>
      </w:r>
    </w:p>
    <w:p w14:paraId="51A65737" w14:textId="77777777" w:rsidR="00580203" w:rsidRDefault="00580203">
      <w:pPr>
        <w:spacing w:after="10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580203" w14:paraId="52F20158" w14:textId="77777777">
        <w:tc>
          <w:tcPr>
            <w:tcW w:w="9026" w:type="dxa"/>
            <w:tcBorders>
              <w:top w:val="none" w:sz="0" w:space="0" w:color="FFFFFF"/>
              <w:left w:val="single" w:sz="18" w:space="0" w:color="7BAFD4"/>
              <w:bottom w:val="none" w:sz="0" w:space="0" w:color="FFFFFF"/>
              <w:right w:val="none" w:sz="0" w:space="0" w:color="FFFFFF"/>
            </w:tcBorders>
            <w:shd w:val="clear" w:color="auto" w:fill="EAF2F8"/>
            <w:tcMar>
              <w:top w:w="160" w:type="dxa"/>
              <w:left w:w="300" w:type="dxa"/>
              <w:bottom w:w="160" w:type="dxa"/>
              <w:right w:w="300" w:type="dxa"/>
            </w:tcMar>
          </w:tcPr>
          <w:p w14:paraId="756CAC4C" w14:textId="77777777" w:rsidR="00580203" w:rsidRDefault="00D97164">
            <w:pPr>
              <w:spacing w:after="100" w:line="340" w:lineRule="auto"/>
            </w:pPr>
            <w:r>
              <w:rPr>
                <w:i/>
                <w:iCs/>
                <w:color w:val="2C5F7C"/>
                <w:sz w:val="22"/>
                <w:szCs w:val="22"/>
              </w:rPr>
              <w:t>“Making sure we know how an algorithm was developed, where the data was sourced, where it breaks, and how it was validated and continuously monitored, I think that is more important than necessarily being able to explain a specific decision.”</w:t>
            </w:r>
          </w:p>
          <w:p w14:paraId="651ADF36" w14:textId="77777777" w:rsidR="00580203" w:rsidRDefault="00D97164">
            <w:pPr>
              <w:jc w:val="right"/>
            </w:pPr>
            <w:r>
              <w:rPr>
                <w:i/>
                <w:iCs/>
                <w:color w:val="7BAFD4"/>
                <w:sz w:val="20"/>
                <w:szCs w:val="20"/>
              </w:rPr>
              <w:t>— Dr Jessica Morley</w:t>
            </w:r>
          </w:p>
        </w:tc>
      </w:tr>
    </w:tbl>
    <w:p w14:paraId="292A67EF" w14:textId="77777777" w:rsidR="00580203" w:rsidRDefault="00580203">
      <w:pPr>
        <w:spacing w:after="100"/>
      </w:pPr>
    </w:p>
    <w:p w14:paraId="5AE202EE" w14:textId="77777777" w:rsidR="00580203" w:rsidRDefault="00D97164">
      <w:pPr>
        <w:spacing w:after="200" w:line="360" w:lineRule="auto"/>
      </w:pPr>
      <w:r>
        <w:t>The government has since made some progress here. NHS England now maintains a national registry of AI suppliers and published guidance in late 2025 on responsible use of data-driven technologies in the public sector. The Algorithmic Transparency Recording Standard encourages public bodies to document how and why algorithmic tools are being used. But “encourages” is doing a lot of heavy lifting in that sentence. In a sector as stretched as social care, voluntary transparency standards risk being the first thing that slips. Jess’s call for procedural regularity still feels ahead of where we actually are now. And even setting transparency aside, there is a more basic question that remains largely unanswered: does any of this actually work?</w:t>
      </w:r>
    </w:p>
    <w:p w14:paraId="2B974CC3" w14:textId="77777777" w:rsidR="00580203" w:rsidRDefault="00D97164">
      <w:pPr>
        <w:pStyle w:val="Heading2"/>
      </w:pPr>
      <w:r>
        <w:t>Where Is the Evidence?</w:t>
      </w:r>
    </w:p>
    <w:p w14:paraId="6668A8AF" w14:textId="77777777" w:rsidR="00580203" w:rsidRDefault="00D97164">
      <w:pPr>
        <w:spacing w:after="200" w:line="360" w:lineRule="auto"/>
      </w:pPr>
      <w:r>
        <w:t xml:space="preserve">Another audience question cut to the heart of it: how do we know digital technologies represent good value for public money? The honest answer is that we do not yet have the frameworks to tell. Traditional health economics has well-established methods for comparing treatments, but digital health technologies do not fit neatly into them. Many have not existed long enough for robust impact data. And in care, it is even </w:t>
      </w:r>
      <w:r>
        <w:lastRenderedPageBreak/>
        <w:t>trickier: if a digital tool helps someone avoid hospitalisation, the cost-benefit case rests on a counterfactual, something that might not have happened anyway.</w:t>
      </w:r>
    </w:p>
    <w:p w14:paraId="581C253A" w14:textId="77777777" w:rsidR="00580203" w:rsidRDefault="00D97164">
      <w:pPr>
        <w:spacing w:after="200" w:line="360" w:lineRule="auto"/>
      </w:pPr>
      <w:r>
        <w:t>Jess was clear that academia has a major role here, but that it needs dedicated funding, the kind of unglamorous research that does not make headlines but is essential to sound policy-making. Given how enthusiastically we are being told to embrace digital, the lack of investment in understanding whether it actually works is a significant gap. And when the evidence base is this thin, it makes the next question all the more pressing: who exactly is driving this agenda, and whose interests does it serve?</w:t>
      </w:r>
    </w:p>
    <w:p w14:paraId="4ACD123D" w14:textId="77777777" w:rsidR="00580203" w:rsidRDefault="00D97164">
      <w:pPr>
        <w:pStyle w:val="Heading2"/>
      </w:pPr>
      <w:r>
        <w:t>Is This Privatisation by the Back Door?</w:t>
      </w:r>
    </w:p>
    <w:p w14:paraId="384184C7" w14:textId="77777777" w:rsidR="00580203" w:rsidRDefault="00D97164">
      <w:pPr>
        <w:spacing w:after="200" w:line="360" w:lineRule="auto"/>
      </w:pPr>
      <w:r>
        <w:t>I asked Jess this directly because it is a question I had frequently heard. No, she said, private companies are not running NHS services, so it is not privatisation in the traditional sense. But their involvement as developers and data companies does complicate the system, and with that comes a heightened responsibility for transparency.</w:t>
      </w:r>
    </w:p>
    <w:p w14:paraId="448F9F3C" w14:textId="77777777" w:rsidR="00580203" w:rsidRDefault="00580203">
      <w:pPr>
        <w:spacing w:after="10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580203" w14:paraId="4E8829D5" w14:textId="77777777">
        <w:tc>
          <w:tcPr>
            <w:tcW w:w="9026" w:type="dxa"/>
            <w:tcBorders>
              <w:top w:val="none" w:sz="0" w:space="0" w:color="FFFFFF"/>
              <w:left w:val="single" w:sz="18" w:space="0" w:color="7BAFD4"/>
              <w:bottom w:val="none" w:sz="0" w:space="0" w:color="FFFFFF"/>
              <w:right w:val="none" w:sz="0" w:space="0" w:color="FFFFFF"/>
            </w:tcBorders>
            <w:shd w:val="clear" w:color="auto" w:fill="EAF2F8"/>
            <w:tcMar>
              <w:top w:w="160" w:type="dxa"/>
              <w:left w:w="300" w:type="dxa"/>
              <w:bottom w:w="160" w:type="dxa"/>
              <w:right w:w="300" w:type="dxa"/>
            </w:tcMar>
          </w:tcPr>
          <w:p w14:paraId="54DC8B93" w14:textId="77777777" w:rsidR="00580203" w:rsidRDefault="00D97164">
            <w:pPr>
              <w:spacing w:after="100" w:line="340" w:lineRule="auto"/>
            </w:pPr>
            <w:r>
              <w:rPr>
                <w:i/>
                <w:iCs/>
                <w:color w:val="2C5F7C"/>
                <w:sz w:val="22"/>
                <w:szCs w:val="22"/>
              </w:rPr>
              <w:t>“There needs to be public trust in that overarching mechanism, or we’ve lost the whole endeavour. Making sure that people are transparent about contractual arrangements, why one company was chosen over another, publishing data protection impact assessments, sharing analytical code in the open. If we have that, we can build public trust.”</w:t>
            </w:r>
          </w:p>
          <w:p w14:paraId="2BE36AE2" w14:textId="77777777" w:rsidR="00580203" w:rsidRDefault="00D97164">
            <w:pPr>
              <w:jc w:val="right"/>
            </w:pPr>
            <w:r>
              <w:rPr>
                <w:i/>
                <w:iCs/>
                <w:color w:val="7BAFD4"/>
                <w:sz w:val="20"/>
                <w:szCs w:val="20"/>
              </w:rPr>
              <w:t>— Dr Jessica Morley</w:t>
            </w:r>
          </w:p>
        </w:tc>
      </w:tr>
    </w:tbl>
    <w:p w14:paraId="58B9A007" w14:textId="77777777" w:rsidR="00580203" w:rsidRDefault="00580203">
      <w:pPr>
        <w:spacing w:after="100"/>
      </w:pPr>
    </w:p>
    <w:p w14:paraId="643D099A" w14:textId="77777777" w:rsidR="00580203" w:rsidRDefault="00D97164">
      <w:pPr>
        <w:spacing w:after="200" w:line="360" w:lineRule="auto"/>
      </w:pPr>
      <w:r>
        <w:t>She acknowledged this level of openness does not yet exist as a norm, that companies still invoke trade secrecy and intellectual property as shields, but argued that transparency must become the default, and that government has levers, including procurement frameworks, to make it happen. I would extend the same argument to social care.</w:t>
      </w:r>
    </w:p>
    <w:p w14:paraId="14A649B7" w14:textId="32F1841E" w:rsidR="00580203" w:rsidRDefault="00D97164">
      <w:pPr>
        <w:spacing w:after="200" w:line="360" w:lineRule="auto"/>
      </w:pPr>
      <w:r>
        <w:t xml:space="preserve">The institutional landscape Jess was working within has itself been completely reorganised since we spoke. NHS X was folded into NHS England’s Transformation Directorate in 2021, and NHS Digital was merged into NHS England in early 2023, </w:t>
      </w:r>
      <w:r>
        <w:lastRenderedPageBreak/>
        <w:t xml:space="preserve">along with Health Education England, all in the name of putting digital at the heart of the NHS. Then, in March 2025, the government announced that NHS England itself would be abolished, with its functions absorbed back into the Department of Health and Social Care over a two-year period. Whether any of this </w:t>
      </w:r>
      <w:r w:rsidR="008B4F7E">
        <w:t xml:space="preserve">will </w:t>
      </w:r>
      <w:r>
        <w:t>translate into greater transparency and public trust is still an open question. The Data (Use and Access) Act 2025 introduced some safeguards around automated decision-making, but critics have argued these do not go far enough to protect individuals from biased algorithmic decisions.</w:t>
      </w:r>
      <w:r>
        <w:rPr>
          <w:rStyle w:val="FootnoteReference"/>
        </w:rPr>
        <w:footnoteReference w:id="8"/>
      </w:r>
      <w:r>
        <w:t xml:space="preserve"> The question Jess posed, can we build public trust in this more complex mechanism, remains unanswered. And underneath all the policy architecture and institutional reshuffling, there is a simpler question that matters more than any of them.</w:t>
      </w:r>
    </w:p>
    <w:p w14:paraId="4A66B31E" w14:textId="77777777" w:rsidR="00580203" w:rsidRDefault="00D97164">
      <w:pPr>
        <w:pStyle w:val="Heading2"/>
      </w:pPr>
      <w:r>
        <w:t>What About Being Human?</w:t>
      </w:r>
    </w:p>
    <w:p w14:paraId="60F2643B" w14:textId="77777777" w:rsidR="00580203" w:rsidRDefault="00D97164">
      <w:pPr>
        <w:spacing w:after="200" w:line="360" w:lineRule="auto"/>
      </w:pPr>
      <w:r>
        <w:t>I always ask this because I think it matters most, particularly in social care. Technology can do impressive things, but care is fundamentally about human connection, dignity, empathy and being physically present. An algorithm cannot do any of that. And Jess was unequivocal:</w:t>
      </w:r>
    </w:p>
    <w:p w14:paraId="4DFC1F92" w14:textId="77777777" w:rsidR="00580203" w:rsidRDefault="00580203">
      <w:pPr>
        <w:spacing w:after="10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580203" w14:paraId="668BFD23" w14:textId="77777777">
        <w:tc>
          <w:tcPr>
            <w:tcW w:w="9026" w:type="dxa"/>
            <w:tcBorders>
              <w:top w:val="none" w:sz="0" w:space="0" w:color="FFFFFF"/>
              <w:left w:val="single" w:sz="18" w:space="0" w:color="7BAFD4"/>
              <w:bottom w:val="none" w:sz="0" w:space="0" w:color="FFFFFF"/>
              <w:right w:val="none" w:sz="0" w:space="0" w:color="FFFFFF"/>
            </w:tcBorders>
            <w:shd w:val="clear" w:color="auto" w:fill="EAF2F8"/>
            <w:tcMar>
              <w:top w:w="160" w:type="dxa"/>
              <w:left w:w="300" w:type="dxa"/>
              <w:bottom w:w="160" w:type="dxa"/>
              <w:right w:w="300" w:type="dxa"/>
            </w:tcMar>
          </w:tcPr>
          <w:p w14:paraId="5C5412B5" w14:textId="77777777" w:rsidR="00580203" w:rsidRDefault="00D97164">
            <w:pPr>
              <w:spacing w:after="100" w:line="340" w:lineRule="auto"/>
            </w:pPr>
            <w:r>
              <w:rPr>
                <w:i/>
                <w:iCs/>
                <w:color w:val="2C5F7C"/>
                <w:sz w:val="22"/>
                <w:szCs w:val="22"/>
              </w:rPr>
              <w:t>“We are only ever talking about facilitation and augmenting the overarching care pathway. I don’t like messages that come out in the press about replacing a clinician or a carer. They’re erroneous messages and they don’t help people understand what it is that we’re trying to achieve.”</w:t>
            </w:r>
          </w:p>
          <w:p w14:paraId="205E8E76" w14:textId="77777777" w:rsidR="00580203" w:rsidRDefault="00D97164">
            <w:pPr>
              <w:jc w:val="right"/>
            </w:pPr>
            <w:r>
              <w:rPr>
                <w:i/>
                <w:iCs/>
                <w:color w:val="7BAFD4"/>
                <w:sz w:val="20"/>
                <w:szCs w:val="20"/>
              </w:rPr>
              <w:t>— Dr Jessica Morley</w:t>
            </w:r>
          </w:p>
        </w:tc>
      </w:tr>
    </w:tbl>
    <w:p w14:paraId="237B115E" w14:textId="77777777" w:rsidR="00580203" w:rsidRDefault="00580203">
      <w:pPr>
        <w:spacing w:after="100"/>
      </w:pPr>
    </w:p>
    <w:p w14:paraId="4355FAF8" w14:textId="77777777" w:rsidR="00580203" w:rsidRDefault="00D97164">
      <w:pPr>
        <w:spacing w:after="200" w:line="360" w:lineRule="auto"/>
      </w:pPr>
      <w:r>
        <w:t>Data-driven approaches can generate richer information about an individual, enabling more precisely tailored services, but the goal is to give carers and clinicians better tools, not to replace them. I can get behind that, as long as the human bit stays firmly at the centre.</w:t>
      </w:r>
    </w:p>
    <w:p w14:paraId="5489E24C" w14:textId="77777777" w:rsidR="00580203" w:rsidRDefault="00D97164">
      <w:pPr>
        <w:spacing w:after="200" w:line="360" w:lineRule="auto"/>
      </w:pPr>
      <w:r>
        <w:lastRenderedPageBreak/>
        <w:t>A 2025 study on public acceptance of AI in dementia care found that people are more open to AI when it is used to support and supplement human caregivers, rather than replace them. Hybrid models, the researchers concluded, will be the most effective way forward. That tracks with everything Jess said. And yet the rhetoric from government has, if anything, moved in the opposite direction. In 2025, the Prime Minister said that “no person’s substantive time should be spent on a task where digital or artificial intelligence can do it better, quicker and to the same high quality.”</w:t>
      </w:r>
      <w:r>
        <w:rPr>
          <w:rStyle w:val="FootnoteReference"/>
        </w:rPr>
        <w:footnoteReference w:id="9"/>
      </w:r>
      <w:r>
        <w:t xml:space="preserve"> That is a sentence that should give anyone working in care serious pause. Because in care, the “task” is often the relationship itself.</w:t>
      </w:r>
    </w:p>
    <w:p w14:paraId="48BB4E28" w14:textId="77777777" w:rsidR="00580203" w:rsidRDefault="00D97164">
      <w:pPr>
        <w:pStyle w:val="Heading2"/>
      </w:pPr>
      <w:r>
        <w:t>Getting Ahead of the Curve</w:t>
      </w:r>
    </w:p>
    <w:p w14:paraId="54B2387C" w14:textId="77777777" w:rsidR="00580203" w:rsidRDefault="00D97164">
      <w:pPr>
        <w:spacing w:after="200" w:line="360" w:lineRule="auto"/>
      </w:pPr>
      <w:r>
        <w:t>One thing that stayed with me was Jess’s observation that government has historically been reactive rather than proactive with technology in health and care, which is ironic, given that in social care we are always being told to plan ahead and stop firefighting.</w:t>
      </w:r>
    </w:p>
    <w:p w14:paraId="542DD2B9" w14:textId="77777777" w:rsidR="00580203" w:rsidRDefault="00D97164">
      <w:pPr>
        <w:spacing w:after="200" w:line="360" w:lineRule="auto"/>
      </w:pPr>
      <w:r>
        <w:t>Jess called for a more anticipatory approach: investing in research, evaluation frameworks, and governance structures that get us ahead of the curve. I agreed then and I agree more now. In March 2025, Oxford hosted the first ever AI in Social Care Summit, bringing together 150 participants from across adult social care, academia, policy, and people with lived experience.</w:t>
      </w:r>
      <w:r>
        <w:rPr>
          <w:rStyle w:val="FootnoteReference"/>
        </w:rPr>
        <w:footnoteReference w:id="10"/>
      </w:r>
      <w:r>
        <w:t xml:space="preserve"> Its conclusion was stark: without clear guidance, AI risks reinforcing inequalities or undermining the very values care is built on. That is not a future problem. It is happening now, and it needs the voices of people who use and deliver care services at the centre of the response, not at the margins. Ultimately, the digital debate is not really about technology. It is about who gets seen, who gets heard, and who gets left behind when the systems shaping our care are redesigned around data. So, does social care need AI, or does AI need social care? After talking to Jess, I think the honest answer is both. Social care needs technology that is built with us, not just for us. And AI, for all its power, is only ever as good as what we give it to learn from.</w:t>
      </w:r>
    </w:p>
    <w:p w14:paraId="7CF9EFB3" w14:textId="77777777" w:rsidR="00580203" w:rsidRDefault="00580203">
      <w:pPr>
        <w:spacing w:after="400"/>
      </w:pPr>
    </w:p>
    <w:p w14:paraId="1B6DA6D5" w14:textId="77777777" w:rsidR="00580203" w:rsidRDefault="00D97164">
      <w:pPr>
        <w:spacing w:after="200"/>
        <w:jc w:val="center"/>
      </w:pPr>
      <w:r>
        <w:rPr>
          <w:color w:val="999999"/>
          <w:sz w:val="28"/>
          <w:szCs w:val="28"/>
        </w:rPr>
        <w:t>* * *</w:t>
      </w:r>
    </w:p>
    <w:p w14:paraId="58A5F625" w14:textId="77777777" w:rsidR="00580203" w:rsidRDefault="00D97164">
      <w:pPr>
        <w:spacing w:after="200" w:line="360" w:lineRule="auto"/>
      </w:pPr>
      <w:r>
        <w:rPr>
          <w:i/>
          <w:iCs/>
          <w:color w:val="888888"/>
          <w:sz w:val="20"/>
          <w:szCs w:val="20"/>
        </w:rPr>
        <w:t xml:space="preserve">This chapter is based on a conversation between Sophie Chester-Glyn and Dr Jessica Morley, originally recorded for the </w:t>
      </w:r>
      <w:r>
        <w:rPr>
          <w:b/>
          <w:bCs/>
          <w:i/>
          <w:iCs/>
          <w:color w:val="888888"/>
          <w:sz w:val="20"/>
          <w:szCs w:val="20"/>
        </w:rPr>
        <w:t>Coproduce Care</w:t>
      </w:r>
      <w:r>
        <w:rPr>
          <w:i/>
          <w:iCs/>
          <w:color w:val="888888"/>
          <w:sz w:val="20"/>
          <w:szCs w:val="20"/>
        </w:rPr>
        <w:t xml:space="preserve"> podcast series. Since the interview, Jess has completed her doctorate, served as Director of Policy at the Bennett Institute for Applied Data Science at the University of Oxford, and is now an Associate Research Scientist at Yale University’s Digital Ethics Center.</w:t>
      </w:r>
    </w:p>
    <w:sectPr w:rsidR="00580203" w:rsidSect="008B4F7E">
      <w:headerReference w:type="default" r:id="rId9"/>
      <w:footerReference w:type="default" r:id="rId10"/>
      <w:pgSz w:w="11906" w:h="16838"/>
      <w:pgMar w:top="156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2547B3" w14:textId="77777777" w:rsidR="000D2E47" w:rsidRDefault="000D2E47">
      <w:r>
        <w:separator/>
      </w:r>
    </w:p>
  </w:endnote>
  <w:endnote w:type="continuationSeparator" w:id="0">
    <w:p w14:paraId="6DFBCB75" w14:textId="77777777" w:rsidR="000D2E47" w:rsidRDefault="000D2E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17BD8" w14:textId="77777777" w:rsidR="00580203" w:rsidRDefault="00D97164">
    <w:pPr>
      <w:jc w:val="center"/>
    </w:pPr>
    <w:r>
      <w:rPr>
        <w:rFonts w:ascii="Arial" w:eastAsia="Arial" w:hAnsi="Arial" w:cs="Arial"/>
        <w:color w:val="999999"/>
        <w:sz w:val="18"/>
        <w:szCs w:val="18"/>
      </w:rPr>
      <w:fldChar w:fldCharType="begin"/>
    </w:r>
    <w:r>
      <w:rPr>
        <w:rFonts w:ascii="Arial" w:eastAsia="Arial" w:hAnsi="Arial" w:cs="Arial"/>
        <w:color w:val="999999"/>
        <w:sz w:val="18"/>
        <w:szCs w:val="18"/>
      </w:rPr>
      <w:instrText>PAGE</w:instrText>
    </w:r>
    <w:r>
      <w:rPr>
        <w:rFonts w:ascii="Arial" w:eastAsia="Arial" w:hAnsi="Arial" w:cs="Arial"/>
        <w:color w:val="999999"/>
        <w:sz w:val="18"/>
        <w:szCs w:val="18"/>
      </w:rPr>
      <w:fldChar w:fldCharType="separate"/>
    </w:r>
    <w:r w:rsidR="00E913E3">
      <w:rPr>
        <w:rFonts w:ascii="Arial" w:eastAsia="Arial" w:hAnsi="Arial" w:cs="Arial"/>
        <w:noProof/>
        <w:color w:val="999999"/>
        <w:sz w:val="18"/>
        <w:szCs w:val="18"/>
      </w:rPr>
      <w:t>1</w:t>
    </w:r>
    <w:r>
      <w:rPr>
        <w:rFonts w:ascii="Arial" w:eastAsia="Arial" w:hAnsi="Arial" w:cs="Arial"/>
        <w:color w:val="999999"/>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C557D0" w14:textId="77777777" w:rsidR="000D2E47" w:rsidRDefault="000D2E47">
      <w:r>
        <w:separator/>
      </w:r>
    </w:p>
  </w:footnote>
  <w:footnote w:type="continuationSeparator" w:id="0">
    <w:p w14:paraId="660B5166" w14:textId="77777777" w:rsidR="000D2E47" w:rsidRDefault="000D2E47">
      <w:r>
        <w:continuationSeparator/>
      </w:r>
    </w:p>
  </w:footnote>
  <w:footnote w:id="1">
    <w:p w14:paraId="07100623" w14:textId="77777777" w:rsidR="00580203" w:rsidRDefault="00D97164">
      <w:r>
        <w:rPr>
          <w:rStyle w:val="FootnoteReference"/>
        </w:rPr>
        <w:footnoteRef/>
      </w:r>
      <w:r>
        <w:rPr>
          <w:sz w:val="18"/>
          <w:szCs w:val="18"/>
        </w:rPr>
        <w:t>HM Government, AI Opportunities Action Plan, January 2025. https://www.gov.uk/government/publications/ai-opportunities-action-plan/ai-opportunities-action-plan</w:t>
      </w:r>
    </w:p>
  </w:footnote>
  <w:footnote w:id="2">
    <w:p w14:paraId="0CC818B4" w14:textId="77777777" w:rsidR="00580203" w:rsidRDefault="00D97164">
      <w:r>
        <w:rPr>
          <w:rStyle w:val="FootnoteReference"/>
        </w:rPr>
        <w:footnoteRef/>
      </w:r>
      <w:r>
        <w:rPr>
          <w:sz w:val="18"/>
          <w:szCs w:val="18"/>
        </w:rPr>
        <w:t>Department for Science, Innovation and Technology, AI Adoption Research, 2025. Fieldwork conducted February–May 2025 with 3,500 UK businesses. https://www.gov.uk/government/publications/ai-adoption-research/ai-adoption-research</w:t>
      </w:r>
    </w:p>
  </w:footnote>
  <w:footnote w:id="3">
    <w:p w14:paraId="73685667" w14:textId="77777777" w:rsidR="00580203" w:rsidRDefault="00D97164">
      <w:r>
        <w:rPr>
          <w:rStyle w:val="FootnoteReference"/>
        </w:rPr>
        <w:footnoteRef/>
      </w:r>
      <w:r>
        <w:rPr>
          <w:sz w:val="18"/>
          <w:szCs w:val="18"/>
        </w:rPr>
        <w:t>The King’s Fund, ‘More than just hype: how emerging AI use is assisting health and social care’, May 2025. https://www.kingsfund.org.uk/insight-and-analysis/long-reads/emerging-ai-use-health-and-social-care</w:t>
      </w:r>
    </w:p>
  </w:footnote>
  <w:footnote w:id="4">
    <w:p w14:paraId="04C7A349" w14:textId="77777777" w:rsidR="00580203" w:rsidRDefault="00D97164">
      <w:r>
        <w:rPr>
          <w:rStyle w:val="FootnoteReference"/>
        </w:rPr>
        <w:footnoteRef/>
      </w:r>
      <w:r>
        <w:rPr>
          <w:sz w:val="18"/>
          <w:szCs w:val="18"/>
        </w:rPr>
        <w:t>IMPACT, ‘Exploring the use of artificial intelligence (AI) in adult social care’, University of Birmingham, 2025. https://impact.bham.ac.uk/delivery-models/networks/exploring-the-use-of-artificial-intelligence-ai-in-adult-social-care/</w:t>
      </w:r>
    </w:p>
  </w:footnote>
  <w:footnote w:id="5">
    <w:p w14:paraId="79CFD05A" w14:textId="77777777" w:rsidR="00125764" w:rsidRDefault="00DA348F">
      <w:r>
        <w:rPr>
          <w:rStyle w:val="FootnoteReference"/>
        </w:rPr>
        <w:footnoteRef/>
      </w:r>
      <w:r>
        <w:rPr>
          <w:sz w:val="18"/>
          <w:szCs w:val="18"/>
        </w:rPr>
        <w:t>Social Work England / Research in Practice, ‘Understanding the emerging use of artificial intelligence in social work education and practice in England’, January 2026. https://www.communitycare.co.uk/content/news/ai-in-social-work-national-guidelines-needed-on-appropriate-use-finds-study</w:t>
      </w:r>
    </w:p>
  </w:footnote>
  <w:footnote w:id="6">
    <w:p w14:paraId="34790CAD" w14:textId="77777777" w:rsidR="00580203" w:rsidRDefault="00D97164">
      <w:r>
        <w:rPr>
          <w:rStyle w:val="FootnoteReference"/>
        </w:rPr>
        <w:footnoteRef/>
      </w:r>
      <w:r>
        <w:rPr>
          <w:sz w:val="18"/>
          <w:szCs w:val="18"/>
        </w:rPr>
        <w:t>See footnote 4. IMPACT’s Discussion Material prompted conversations across local Networks on data bias, representation, and cultural sensitivity in AI training data.</w:t>
      </w:r>
    </w:p>
  </w:footnote>
  <w:footnote w:id="7">
    <w:p w14:paraId="22E8059E" w14:textId="77777777" w:rsidR="00580203" w:rsidRDefault="00D97164">
      <w:r>
        <w:rPr>
          <w:rStyle w:val="FootnoteReference"/>
        </w:rPr>
        <w:footnoteRef/>
      </w:r>
      <w:r>
        <w:rPr>
          <w:sz w:val="18"/>
          <w:szCs w:val="18"/>
        </w:rPr>
        <w:t>J. Hoskins, B. van Ark (2025), ‘Productivity and Responsible AI in Adult Social Care’, Productivity Insights Paper No. 062, The Productivity Institute. https://www.productivity.ac.uk/wp-content/uploads/2025/09/PIP062-AI-in-Adult-Social-Care-September-2025.pdf</w:t>
      </w:r>
    </w:p>
  </w:footnote>
  <w:footnote w:id="8">
    <w:p w14:paraId="3A2C3DCA" w14:textId="77777777" w:rsidR="00580203" w:rsidRDefault="00D97164">
      <w:r>
        <w:rPr>
          <w:rStyle w:val="FootnoteReference"/>
        </w:rPr>
        <w:footnoteRef/>
      </w:r>
      <w:proofErr w:type="gramStart"/>
      <w:r>
        <w:rPr>
          <w:sz w:val="18"/>
          <w:szCs w:val="18"/>
        </w:rPr>
        <w:t>Data (Use and Access) Act 2025,</w:t>
      </w:r>
      <w:proofErr w:type="gramEnd"/>
      <w:r>
        <w:rPr>
          <w:sz w:val="18"/>
          <w:szCs w:val="18"/>
        </w:rPr>
        <w:t xml:space="preserve"> enacted 19 June 2025. https://www.gov.uk/guidance/data-use-and-access-act-2025-data-protection-and-privacy-changes. For critical analysis of the Act’s automated decision-making provisions, see The Barrister Group, ‘Regulating Automated Decision-Making’, August 2025; and Open Rights Group, ‘Data Use and Access Bill will fail to protect public from AI harms’, 2024.</w:t>
      </w:r>
    </w:p>
  </w:footnote>
  <w:footnote w:id="9">
    <w:p w14:paraId="4E4B3B7C" w14:textId="77777777" w:rsidR="00580203" w:rsidRDefault="00D97164">
      <w:r>
        <w:rPr>
          <w:rStyle w:val="FootnoteReference"/>
        </w:rPr>
        <w:footnoteRef/>
      </w:r>
      <w:r>
        <w:rPr>
          <w:sz w:val="18"/>
          <w:szCs w:val="18"/>
        </w:rPr>
        <w:t>LBC News, ‘AI could replace some work of civil servants’, 26 June 2025. Remarks by the Prime Minister on reshaping the state. https://www.lbc.co.uk/article/starmer-ai-civil-service-latest-government-5Hjd2QC_2/</w:t>
      </w:r>
    </w:p>
  </w:footnote>
  <w:footnote w:id="10">
    <w:p w14:paraId="3735DA5D" w14:textId="77777777" w:rsidR="00580203" w:rsidRDefault="00D97164">
      <w:r>
        <w:rPr>
          <w:rStyle w:val="FootnoteReference"/>
        </w:rPr>
        <w:footnoteRef/>
      </w:r>
      <w:r>
        <w:rPr>
          <w:sz w:val="18"/>
          <w:szCs w:val="18"/>
        </w:rPr>
        <w:t>Institute for Ethics in AI, University of Oxford, ‘AI in Social Care Summit: Charting a Course for Responsible Use of AI in Social Care’, 27 March 2025. https://www.oxford-aiethics.ox.ac.uk/news/ai-social-care-summit-charting-course-responsible-use-ai-social-care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9F2AD" w14:textId="77777777" w:rsidR="00580203" w:rsidRDefault="00D97164">
    <w:pPr>
      <w:jc w:val="right"/>
    </w:pPr>
    <w:r>
      <w:rPr>
        <w:rFonts w:ascii="Arial" w:eastAsia="Arial" w:hAnsi="Arial" w:cs="Arial"/>
        <w:i/>
        <w:iCs/>
        <w:color w:val="999999"/>
        <w:sz w:val="18"/>
        <w:szCs w:val="18"/>
      </w:rPr>
      <w:t>Does Social Care Need AI, or Does AI Need Social Care?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EF73AB"/>
    <w:multiLevelType w:val="hybridMultilevel"/>
    <w:tmpl w:val="74E04304"/>
    <w:lvl w:ilvl="0" w:tplc="4F6A11E4">
      <w:start w:val="1"/>
      <w:numFmt w:val="bullet"/>
      <w:lvlText w:val="●"/>
      <w:lvlJc w:val="left"/>
      <w:pPr>
        <w:ind w:left="720" w:hanging="360"/>
      </w:pPr>
    </w:lvl>
    <w:lvl w:ilvl="1" w:tplc="C3BA40F6">
      <w:start w:val="1"/>
      <w:numFmt w:val="bullet"/>
      <w:lvlText w:val="○"/>
      <w:lvlJc w:val="left"/>
      <w:pPr>
        <w:ind w:left="1440" w:hanging="360"/>
      </w:pPr>
    </w:lvl>
    <w:lvl w:ilvl="2" w:tplc="9796CA44">
      <w:start w:val="1"/>
      <w:numFmt w:val="bullet"/>
      <w:lvlText w:val="■"/>
      <w:lvlJc w:val="left"/>
      <w:pPr>
        <w:ind w:left="2160" w:hanging="360"/>
      </w:pPr>
    </w:lvl>
    <w:lvl w:ilvl="3" w:tplc="3246082C">
      <w:start w:val="1"/>
      <w:numFmt w:val="bullet"/>
      <w:lvlText w:val="●"/>
      <w:lvlJc w:val="left"/>
      <w:pPr>
        <w:ind w:left="2880" w:hanging="360"/>
      </w:pPr>
    </w:lvl>
    <w:lvl w:ilvl="4" w:tplc="E37C973A">
      <w:start w:val="1"/>
      <w:numFmt w:val="bullet"/>
      <w:lvlText w:val="○"/>
      <w:lvlJc w:val="left"/>
      <w:pPr>
        <w:ind w:left="3600" w:hanging="360"/>
      </w:pPr>
    </w:lvl>
    <w:lvl w:ilvl="5" w:tplc="3A3EBE96">
      <w:start w:val="1"/>
      <w:numFmt w:val="bullet"/>
      <w:lvlText w:val="■"/>
      <w:lvlJc w:val="left"/>
      <w:pPr>
        <w:ind w:left="4320" w:hanging="360"/>
      </w:pPr>
    </w:lvl>
    <w:lvl w:ilvl="6" w:tplc="074AFE18">
      <w:start w:val="1"/>
      <w:numFmt w:val="bullet"/>
      <w:lvlText w:val="●"/>
      <w:lvlJc w:val="left"/>
      <w:pPr>
        <w:ind w:left="5040" w:hanging="360"/>
      </w:pPr>
    </w:lvl>
    <w:lvl w:ilvl="7" w:tplc="AA66B1C2">
      <w:start w:val="1"/>
      <w:numFmt w:val="bullet"/>
      <w:lvlText w:val="●"/>
      <w:lvlJc w:val="left"/>
      <w:pPr>
        <w:ind w:left="5760" w:hanging="360"/>
      </w:pPr>
    </w:lvl>
    <w:lvl w:ilvl="8" w:tplc="DC705DBA">
      <w:start w:val="1"/>
      <w:numFmt w:val="bullet"/>
      <w:lvlText w:val="●"/>
      <w:lvlJc w:val="left"/>
      <w:pPr>
        <w:ind w:left="6480" w:hanging="360"/>
      </w:pPr>
    </w:lvl>
  </w:abstractNum>
  <w:num w:numId="1" w16cid:durableId="138124588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7"/>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0203"/>
    <w:rsid w:val="000142FF"/>
    <w:rsid w:val="0007247E"/>
    <w:rsid w:val="000D2E47"/>
    <w:rsid w:val="00125764"/>
    <w:rsid w:val="00580203"/>
    <w:rsid w:val="008B4F7E"/>
    <w:rsid w:val="00902A1A"/>
    <w:rsid w:val="0094094E"/>
    <w:rsid w:val="00BC3765"/>
    <w:rsid w:val="00D97164"/>
    <w:rsid w:val="00DA348F"/>
    <w:rsid w:val="00DE2599"/>
    <w:rsid w:val="00DF172B"/>
    <w:rsid w:val="00E913E3"/>
    <w:rsid w:val="00FA1B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A2F80"/>
  <w15:docId w15:val="{2BDB477E-54CA-409A-932C-46AAB6C2E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Georgia" w:hAnsi="Georgia" w:cs="Georgia"/>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after="300"/>
      <w:outlineLvl w:val="0"/>
    </w:pPr>
    <w:rPr>
      <w:rFonts w:ascii="Arial" w:eastAsia="Arial" w:hAnsi="Arial" w:cs="Arial"/>
      <w:b/>
      <w:bCs/>
      <w:color w:val="1B3A4B"/>
      <w:sz w:val="40"/>
      <w:szCs w:val="40"/>
    </w:rPr>
  </w:style>
  <w:style w:type="paragraph" w:styleId="Heading2">
    <w:name w:val="heading 2"/>
    <w:uiPriority w:val="9"/>
    <w:unhideWhenUsed/>
    <w:qFormat/>
    <w:pPr>
      <w:spacing w:before="360" w:after="200"/>
      <w:outlineLvl w:val="1"/>
    </w:pPr>
    <w:rPr>
      <w:rFonts w:ascii="Arial" w:eastAsia="Arial" w:hAnsi="Arial" w:cs="Arial"/>
      <w:b/>
      <w:bCs/>
      <w:color w:val="2C5F7C"/>
      <w:sz w:val="30"/>
      <w:szCs w:val="30"/>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A348F"/>
    <w:pPr>
      <w:tabs>
        <w:tab w:val="center" w:pos="4513"/>
        <w:tab w:val="right" w:pos="9026"/>
      </w:tabs>
    </w:pPr>
  </w:style>
  <w:style w:type="character" w:customStyle="1" w:styleId="HeaderChar">
    <w:name w:val="Header Char"/>
    <w:basedOn w:val="DefaultParagraphFont"/>
    <w:link w:val="Header"/>
    <w:uiPriority w:val="99"/>
    <w:rsid w:val="00DA348F"/>
  </w:style>
  <w:style w:type="paragraph" w:styleId="Footer">
    <w:name w:val="footer"/>
    <w:basedOn w:val="Normal"/>
    <w:link w:val="FooterChar"/>
    <w:uiPriority w:val="99"/>
    <w:unhideWhenUsed/>
    <w:rsid w:val="00DA348F"/>
    <w:pPr>
      <w:tabs>
        <w:tab w:val="center" w:pos="4513"/>
        <w:tab w:val="right" w:pos="9026"/>
      </w:tabs>
    </w:pPr>
  </w:style>
  <w:style w:type="character" w:customStyle="1" w:styleId="FooterChar">
    <w:name w:val="Footer Char"/>
    <w:basedOn w:val="DefaultParagraphFont"/>
    <w:link w:val="Footer"/>
    <w:uiPriority w:val="99"/>
    <w:rsid w:val="00DA34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AC8CE3-E7A7-4CF9-A807-4498781E61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2160</Words>
  <Characters>13572</Characters>
  <Application>Microsoft Office Word</Application>
  <DocSecurity>0</DocSecurity>
  <Lines>266</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sophie chester-glyn</cp:lastModifiedBy>
  <cp:revision>2</cp:revision>
  <dcterms:created xsi:type="dcterms:W3CDTF">2026-02-23T21:54:00Z</dcterms:created>
  <dcterms:modified xsi:type="dcterms:W3CDTF">2026-02-23T21:54:00Z</dcterms:modified>
</cp:coreProperties>
</file>