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yellow"/>
          <w:rtl w:val="0"/>
        </w:rPr>
        <w:t xml:space="preserve">CHAMAMENTO PÚBLICO 006/2026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PREMIAÇÃO DE PONTOS E PONTÕES DE CULTURA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0"/>
        </w:tabs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ANEXO 02 - CRITÉRIOS DE AVALIAÇÃO DA ETAPA DE SELEÇÃO</w:t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BLOCO 1: AVALIAÇÃO DA ATUAÇÃO DA ENTIDADE OU COLETIVO CULTURAL</w:t>
      </w:r>
    </w:p>
    <w:p w:rsidR="00000000" w:rsidDel="00000000" w:rsidP="00000000" w:rsidRDefault="00000000" w:rsidRPr="00000000" w14:paraId="0000000B">
      <w:pPr>
        <w:tabs>
          <w:tab w:val="center" w:leader="none" w:pos="0"/>
        </w:tabs>
        <w:spacing w:line="240" w:lineRule="auto"/>
        <w:jc w:val="both"/>
        <w:rPr>
          <w:rFonts w:ascii="Calibri" w:cs="Calibri" w:eastAsia="Calibri" w:hAnsi="Calibri"/>
          <w:b w:val="1"/>
          <w:bCs w:val="1"/>
          <w:highlight w:val="magent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5"/>
        <w:gridCol w:w="4944"/>
        <w:gridCol w:w="709"/>
        <w:gridCol w:w="1134"/>
        <w:gridCol w:w="1134"/>
        <w:gridCol w:w="1275"/>
        <w:tblGridChange w:id="0">
          <w:tblGrid>
            <w:gridCol w:w="435"/>
            <w:gridCol w:w="4944"/>
            <w:gridCol w:w="709"/>
            <w:gridCol w:w="1134"/>
            <w:gridCol w:w="1134"/>
            <w:gridCol w:w="127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DISTRIBUIÇÃO DOS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PONTUAÇÃO MÁXIMA NO ITEM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 partir do portfólio, do formulário de inscrição e demais materiais enviados, e considerando os objetivos de Pontos de Cultura definidos na Lei que institui a Política Nacional de Cultura Viva (Lei nº 13.018/2014, art. 6º, I), analisar se a entidade ou coletivo cultural atende aos seguintes critérios: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Não Atende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Atende Parcialmente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Atende Plenamente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 pontos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Promove a criação e a produção artística e cultural.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Estimula a exploração de espaços públicos e privados para serem disponibilizados para a ação cultural.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Promove a diversidade cultural brasileira, garantindo diálogos interculturais.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Promove a inclusão cultural da população idosa, de mulheres, jovens, pessoas negras, com deficiência, LGBTQIAP+ e/ou de baixa renda, combatendo as desigualdades sociais.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Contribui para o fortalecimento da autonomia social das comunidades.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Promove o intercâmbio entre diferentes segmentos da comunidade.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Estimula a articulação das redes sociais e culturais e dessas com a educação.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Adota princípios de gestão compartilhada entre atores culturais não governamentais e o Estado.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Fomenta as economias solidária e criativa.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Estimula a proteção do patrimônio cultural material, imaterial e promove as memórias comunitárias.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Apoia e incentiva manifestações culturais tradicionais e populares.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Realiza atividades culturais gratuitas e abertas com regularidade na comunidade.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q)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 ações da organização cultural estão relacionadas aos eixos estruturantes da Política Nacional Cultura Viva, por meio de ações nas áreas de formação, produção e/ou difusão sociocultural de maneira contínua.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r)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 entidade possui articulação com outras organizações, compondo Frentes, Redes, Conselhos, Comissões, dentre outros espaços de participação e incidência política em áreas sinérgicas à Política Nacional Cultura Viva.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Para ser certificada, a entidade precisará alcançar a pontuação mínima de 50 (cinquenta) pontos.</w:t>
      </w:r>
    </w:p>
    <w:p w:rsidR="00000000" w:rsidDel="00000000" w:rsidP="00000000" w:rsidRDefault="00000000" w:rsidRPr="00000000" w14:paraId="0000006E">
      <w:pPr>
        <w:tabs>
          <w:tab w:val="center" w:leader="none" w:pos="0"/>
        </w:tabs>
        <w:spacing w:line="240" w:lineRule="auto"/>
        <w:ind w:left="720" w:firstLine="0"/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851" w:top="95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tabs>
        <w:tab w:val="center" w:leader="none" w:pos="0"/>
      </w:tabs>
      <w:spacing w:line="240" w:lineRule="auto"/>
      <w:ind w:left="1440" w:firstLine="0"/>
      <w:jc w:val="both"/>
      <w:rPr>
        <w:rFonts w:ascii="Calibri" w:cs="Calibri" w:eastAsia="Calibri" w:hAnsi="Calibri"/>
        <w:i w:val="1"/>
        <w:iCs w:val="1"/>
        <w:color w:val="ff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76">
    <w:pPr>
      <w:ind w:left="-850" w:firstLine="0"/>
      <w:jc w:val="center"/>
      <w:rPr/>
    </w:pPr>
    <w:r w:rsidDel="00000000" w:rsidR="00000000" w:rsidRPr="00000000">
      <w:rPr/>
      <w:drawing>
        <wp:inline distB="0" distT="0" distL="0" distR="0">
          <wp:extent cx="1053716" cy="655500"/>
          <wp:effectExtent b="0" l="0" r="0" t="0"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3716" cy="655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</w:t>
    </w:r>
    <w:r w:rsidDel="00000000" w:rsidR="00000000" w:rsidRPr="00000000">
      <w:rPr/>
      <w:drawing>
        <wp:inline distB="0" distT="0" distL="0" distR="0">
          <wp:extent cx="2971479" cy="581888"/>
          <wp:effectExtent b="0" l="0" r="0" t="0"/>
          <wp:docPr id="3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71479" cy="5818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jc w:val="both"/>
      <w:rPr/>
    </w:pPr>
    <w:bookmarkStart w:colFirst="0" w:colLast="0" w:name="_heading=h.88qb45toyd03" w:id="0"/>
    <w:bookmarkEnd w:id="0"/>
    <w:r w:rsidDel="00000000" w:rsidR="00000000" w:rsidRPr="00000000">
      <w:rPr/>
      <w:drawing>
        <wp:inline distB="0" distT="0" distL="0" distR="0">
          <wp:extent cx="1714739" cy="476316"/>
          <wp:effectExtent b="0" l="0" r="0" t="0"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257F2F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57F2F"/>
  </w:style>
  <w:style w:type="paragraph" w:styleId="Rodap">
    <w:name w:val="footer"/>
    <w:basedOn w:val="Normal"/>
    <w:link w:val="RodapChar"/>
    <w:uiPriority w:val="99"/>
    <w:unhideWhenUsed w:val="1"/>
    <w:rsid w:val="00257F2F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57F2F"/>
  </w:style>
  <w:style w:type="paragraph" w:styleId="NormalWeb">
    <w:name w:val="Normal (Web)"/>
    <w:basedOn w:val="Normal"/>
    <w:uiPriority w:val="99"/>
    <w:unhideWhenUsed w:val="1"/>
    <w:rsid w:val="00755BC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+84e6CR2lJGk1MadqzKibZBRLw==">CgMxLjAyDmguODhxYjQ1dG95ZDAzOAByITFHSnVzMjlwcVMtNlhrUlRpeXJDZDRSYk5GYmJwRk04Tw==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2026-07-06T10:54:00Z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