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F5C1" w14:textId="77777777" w:rsidR="00041A11" w:rsidRDefault="00041A11"/>
    <w:p w14:paraId="7495BF4C" w14:textId="31416009" w:rsidR="00041A11" w:rsidRDefault="00394699">
      <w:r>
        <w:rPr>
          <w:noProof/>
        </w:rPr>
        <w:drawing>
          <wp:inline distT="0" distB="0" distL="0" distR="0" wp14:anchorId="23B63669" wp14:editId="4C251BF2">
            <wp:extent cx="2514600" cy="512860"/>
            <wp:effectExtent l="0" t="0" r="0" b="1905"/>
            <wp:docPr id="1091093308" name="Picture 2" descr="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93308" name="Picture 2" descr="Blue text on a black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59" cy="51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2DCFA" w14:textId="77777777" w:rsidR="00394699" w:rsidRDefault="00394699" w:rsidP="00041A11">
      <w:pPr>
        <w:rPr>
          <w:b/>
          <w:bCs/>
        </w:rPr>
      </w:pPr>
    </w:p>
    <w:p w14:paraId="47193EC5" w14:textId="63AA572D" w:rsidR="00041A11" w:rsidRPr="00041A11" w:rsidRDefault="00041A11" w:rsidP="00041A11">
      <w:r w:rsidRPr="00041A11">
        <w:rPr>
          <w:b/>
          <w:bCs/>
        </w:rPr>
        <w:t>Kawartha Lakes Haliburton Ontario Health Team (KLH</w:t>
      </w:r>
      <w:r w:rsidR="00543565">
        <w:rPr>
          <w:b/>
          <w:bCs/>
        </w:rPr>
        <w:t xml:space="preserve"> </w:t>
      </w:r>
      <w:r w:rsidRPr="00041A11">
        <w:rPr>
          <w:b/>
          <w:bCs/>
        </w:rPr>
        <w:t>O</w:t>
      </w:r>
      <w:r w:rsidR="003D7036">
        <w:rPr>
          <w:b/>
          <w:bCs/>
        </w:rPr>
        <w:t>H</w:t>
      </w:r>
      <w:r w:rsidRPr="00041A11">
        <w:rPr>
          <w:b/>
          <w:bCs/>
        </w:rPr>
        <w:t xml:space="preserve">T) Lived and Living </w:t>
      </w:r>
      <w:r w:rsidR="005070C5" w:rsidRPr="00041A11">
        <w:rPr>
          <w:b/>
          <w:bCs/>
        </w:rPr>
        <w:t>Experience</w:t>
      </w:r>
      <w:r w:rsidR="00944478">
        <w:rPr>
          <w:b/>
          <w:bCs/>
        </w:rPr>
        <w:t xml:space="preserve"> </w:t>
      </w:r>
      <w:r w:rsidR="00B82BA7">
        <w:rPr>
          <w:b/>
          <w:bCs/>
        </w:rPr>
        <w:t>(LLE)</w:t>
      </w:r>
      <w:r w:rsidR="005070C5" w:rsidRPr="00041A11">
        <w:rPr>
          <w:b/>
          <w:bCs/>
        </w:rPr>
        <w:t xml:space="preserve"> </w:t>
      </w:r>
      <w:r w:rsidR="005070C5">
        <w:rPr>
          <w:b/>
          <w:bCs/>
        </w:rPr>
        <w:t>and</w:t>
      </w:r>
      <w:r w:rsidR="00B731D2">
        <w:rPr>
          <w:b/>
          <w:bCs/>
        </w:rPr>
        <w:t xml:space="preserve"> </w:t>
      </w:r>
      <w:r w:rsidR="00E851D0">
        <w:rPr>
          <w:b/>
          <w:bCs/>
        </w:rPr>
        <w:t>Lived Experience Advisory and Partnership(</w:t>
      </w:r>
      <w:r w:rsidR="003D7036">
        <w:rPr>
          <w:b/>
          <w:bCs/>
        </w:rPr>
        <w:t>(LEAP)</w:t>
      </w:r>
      <w:r w:rsidR="00E851D0">
        <w:rPr>
          <w:b/>
          <w:bCs/>
        </w:rPr>
        <w:t xml:space="preserve"> C</w:t>
      </w:r>
      <w:r w:rsidR="003D7036">
        <w:rPr>
          <w:b/>
          <w:bCs/>
        </w:rPr>
        <w:t>ommittee</w:t>
      </w:r>
      <w:r w:rsidR="00B82BA7">
        <w:rPr>
          <w:b/>
          <w:bCs/>
        </w:rPr>
        <w:t xml:space="preserve"> Compensation Policy</w:t>
      </w:r>
    </w:p>
    <w:p w14:paraId="2E89E375" w14:textId="432AA3C8" w:rsidR="00041A11" w:rsidRPr="00041A11" w:rsidRDefault="00041A11" w:rsidP="00041A11">
      <w:r w:rsidRPr="00041A11">
        <w:rPr>
          <w:b/>
          <w:bCs/>
        </w:rPr>
        <w:t>Purpose:</w:t>
      </w:r>
      <w:r w:rsidRPr="00041A11">
        <w:t xml:space="preserve"> This policy outlines the principles, compensation structure, and accountability measures for engaging individuals with LLE</w:t>
      </w:r>
      <w:r w:rsidR="005070C5">
        <w:t xml:space="preserve"> and </w:t>
      </w:r>
      <w:r w:rsidR="003D7036">
        <w:t xml:space="preserve">LEAP </w:t>
      </w:r>
      <w:r w:rsidR="005070C5">
        <w:t>members</w:t>
      </w:r>
      <w:r w:rsidRPr="00041A11">
        <w:t xml:space="preserve"> in project work, focus groups, consultations, and other initiatives undertaken by the Kawartha Lakes Haliburton Ontario Health Team (KLH</w:t>
      </w:r>
      <w:r w:rsidR="00E931CD">
        <w:t xml:space="preserve"> </w:t>
      </w:r>
      <w:r w:rsidRPr="00041A11">
        <w:t>O</w:t>
      </w:r>
      <w:r w:rsidR="003D7036">
        <w:t>H</w:t>
      </w:r>
      <w:r w:rsidRPr="00041A11">
        <w:t>T).</w:t>
      </w:r>
    </w:p>
    <w:p w14:paraId="7AE7DBD0" w14:textId="2C6BE300" w:rsidR="00041A11" w:rsidRPr="00041A11" w:rsidRDefault="00041A11" w:rsidP="00041A11">
      <w:r w:rsidRPr="00041A11">
        <w:rPr>
          <w:b/>
          <w:bCs/>
        </w:rPr>
        <w:t>Scope:</w:t>
      </w:r>
      <w:r w:rsidRPr="00041A11">
        <w:t xml:space="preserve"> This policy applies to all KLH</w:t>
      </w:r>
      <w:r w:rsidR="008C3048">
        <w:t xml:space="preserve"> </w:t>
      </w:r>
      <w:r w:rsidRPr="00041A11">
        <w:t>O</w:t>
      </w:r>
      <w:r w:rsidR="003D7036">
        <w:t>H</w:t>
      </w:r>
      <w:r w:rsidRPr="00041A11">
        <w:t>T projects and initiatives involving individuals with LLE</w:t>
      </w:r>
      <w:r w:rsidR="005070C5">
        <w:t xml:space="preserve"> and </w:t>
      </w:r>
      <w:r w:rsidR="003D7036">
        <w:t>LEAP</w:t>
      </w:r>
      <w:r w:rsidR="005070C5">
        <w:t xml:space="preserve"> members</w:t>
      </w:r>
      <w:r w:rsidRPr="00041A11">
        <w:t xml:space="preserve">, including but not limited to </w:t>
      </w:r>
      <w:r w:rsidR="00B86198">
        <w:t>families</w:t>
      </w:r>
      <w:r w:rsidRPr="00041A11">
        <w:t>, people who use drugs, and individuals with specific health conditions such as heart failure. It ensures fair compensation and transparent processes.</w:t>
      </w:r>
    </w:p>
    <w:p w14:paraId="2BE8B260" w14:textId="77777777" w:rsidR="00041A11" w:rsidRPr="00041A11" w:rsidRDefault="00681F6A" w:rsidP="00041A11">
      <w:r>
        <w:pict w14:anchorId="7D9B3A51">
          <v:rect id="_x0000_i1025" style="width:0;height:1.5pt" o:hralign="center" o:hrstd="t" o:hr="t" fillcolor="#a0a0a0" stroked="f"/>
        </w:pict>
      </w:r>
    </w:p>
    <w:p w14:paraId="190FD170" w14:textId="77777777" w:rsidR="00041A11" w:rsidRPr="00041A11" w:rsidRDefault="00041A11" w:rsidP="00041A11">
      <w:r w:rsidRPr="00041A11">
        <w:rPr>
          <w:b/>
          <w:bCs/>
        </w:rPr>
        <w:t>1. Principles:</w:t>
      </w:r>
    </w:p>
    <w:p w14:paraId="0EE270E2" w14:textId="773D1BB8" w:rsidR="00041A11" w:rsidRPr="00041A11" w:rsidRDefault="00041A11" w:rsidP="00041A11">
      <w:pPr>
        <w:numPr>
          <w:ilvl w:val="0"/>
          <w:numId w:val="1"/>
        </w:numPr>
      </w:pPr>
      <w:r w:rsidRPr="00041A11">
        <w:rPr>
          <w:b/>
          <w:bCs/>
        </w:rPr>
        <w:t>Respect and Value:</w:t>
      </w:r>
      <w:r w:rsidRPr="00041A11">
        <w:t xml:space="preserve"> KLH</w:t>
      </w:r>
      <w:r w:rsidR="00175876">
        <w:t xml:space="preserve"> </w:t>
      </w:r>
      <w:r w:rsidRPr="00041A11">
        <w:t>O</w:t>
      </w:r>
      <w:r w:rsidR="003D7036">
        <w:t>H</w:t>
      </w:r>
      <w:r w:rsidRPr="00041A11">
        <w:t>T recognizes the expertise and contributions of individuals with LLE as vital to the success of its initiatives.</w:t>
      </w:r>
    </w:p>
    <w:p w14:paraId="2011549D" w14:textId="77777777" w:rsidR="00041A11" w:rsidRPr="00041A11" w:rsidRDefault="00041A11" w:rsidP="00041A11">
      <w:pPr>
        <w:numPr>
          <w:ilvl w:val="0"/>
          <w:numId w:val="1"/>
        </w:numPr>
      </w:pPr>
      <w:r w:rsidRPr="00041A11">
        <w:rPr>
          <w:b/>
          <w:bCs/>
        </w:rPr>
        <w:t>Fair Compensation:</w:t>
      </w:r>
      <w:r w:rsidRPr="00041A11">
        <w:t xml:space="preserve"> All participants will receive compensation for their time and expertise in a manner that is fair, consistent, and respectful of their contributions.</w:t>
      </w:r>
    </w:p>
    <w:p w14:paraId="53E7BB96" w14:textId="77777777" w:rsidR="00041A11" w:rsidRPr="00041A11" w:rsidRDefault="00041A11" w:rsidP="00041A11">
      <w:pPr>
        <w:numPr>
          <w:ilvl w:val="0"/>
          <w:numId w:val="1"/>
        </w:numPr>
      </w:pPr>
      <w:r w:rsidRPr="00041A11">
        <w:rPr>
          <w:b/>
          <w:bCs/>
        </w:rPr>
        <w:t>Transparency and Accountability:</w:t>
      </w:r>
      <w:r w:rsidRPr="00041A11">
        <w:t xml:space="preserve"> Processes for compensation will be clear, documented, and auditable.</w:t>
      </w:r>
    </w:p>
    <w:p w14:paraId="0AAD3C21" w14:textId="368516C8" w:rsidR="00041A11" w:rsidRDefault="00041A11" w:rsidP="00041A11">
      <w:r w:rsidRPr="00041A11">
        <w:rPr>
          <w:b/>
          <w:bCs/>
        </w:rPr>
        <w:t>2. Compensation Structure:</w:t>
      </w:r>
      <w:r w:rsidRPr="00041A11">
        <w:t xml:space="preserve"> Compensation will be provided in the form of honorariums, primarily through </w:t>
      </w:r>
      <w:r w:rsidR="001E7530">
        <w:t xml:space="preserve">visa </w:t>
      </w:r>
      <w:r w:rsidRPr="00041A11">
        <w:t>gift cards. The following grid outlines the rates for various engagement activities:</w:t>
      </w:r>
    </w:p>
    <w:p w14:paraId="1AB48FA3" w14:textId="77777777" w:rsidR="00041A11" w:rsidRDefault="00041A11" w:rsidP="00041A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1A11" w14:paraId="4D5E7B0B" w14:textId="77777777">
        <w:tc>
          <w:tcPr>
            <w:tcW w:w="3116" w:type="dxa"/>
            <w:vAlign w:val="center"/>
          </w:tcPr>
          <w:p w14:paraId="629CAEA7" w14:textId="2E86BCCC" w:rsidR="00041A11" w:rsidRDefault="00041A11" w:rsidP="00041A11">
            <w:r w:rsidRPr="00041A11">
              <w:rPr>
                <w:b/>
                <w:bCs/>
              </w:rPr>
              <w:t>Engagement Type</w:t>
            </w:r>
          </w:p>
        </w:tc>
        <w:tc>
          <w:tcPr>
            <w:tcW w:w="3117" w:type="dxa"/>
            <w:vAlign w:val="center"/>
          </w:tcPr>
          <w:p w14:paraId="2FE52425" w14:textId="0205AE36" w:rsidR="00041A11" w:rsidRDefault="00041A11" w:rsidP="00041A11">
            <w:r w:rsidRPr="00041A11">
              <w:rPr>
                <w:b/>
                <w:bCs/>
              </w:rPr>
              <w:t>Description</w:t>
            </w:r>
          </w:p>
        </w:tc>
        <w:tc>
          <w:tcPr>
            <w:tcW w:w="3117" w:type="dxa"/>
            <w:vAlign w:val="center"/>
          </w:tcPr>
          <w:p w14:paraId="04A8735D" w14:textId="2EF907C3" w:rsidR="00041A11" w:rsidRDefault="00041A11" w:rsidP="00041A11">
            <w:r w:rsidRPr="00041A11">
              <w:rPr>
                <w:b/>
                <w:bCs/>
              </w:rPr>
              <w:t>Compensation Amount</w:t>
            </w:r>
          </w:p>
        </w:tc>
      </w:tr>
      <w:tr w:rsidR="00041A11" w14:paraId="1FA83347" w14:textId="77777777">
        <w:tc>
          <w:tcPr>
            <w:tcW w:w="3116" w:type="dxa"/>
            <w:vAlign w:val="center"/>
          </w:tcPr>
          <w:p w14:paraId="69D21413" w14:textId="70892032" w:rsidR="00041A11" w:rsidRDefault="00041A11" w:rsidP="00041A11">
            <w:r w:rsidRPr="00041A11">
              <w:rPr>
                <w:b/>
                <w:bCs/>
              </w:rPr>
              <w:t>Focus Groups</w:t>
            </w:r>
          </w:p>
        </w:tc>
        <w:tc>
          <w:tcPr>
            <w:tcW w:w="3117" w:type="dxa"/>
            <w:vAlign w:val="center"/>
          </w:tcPr>
          <w:p w14:paraId="3B58FB63" w14:textId="57A50963" w:rsidR="00041A11" w:rsidRDefault="00041A11" w:rsidP="00041A11">
            <w:r w:rsidRPr="00041A11">
              <w:t>Participation in group discussions (1-2 hours)</w:t>
            </w:r>
          </w:p>
        </w:tc>
        <w:tc>
          <w:tcPr>
            <w:tcW w:w="3117" w:type="dxa"/>
            <w:vAlign w:val="center"/>
          </w:tcPr>
          <w:p w14:paraId="5FB0E0AD" w14:textId="7165F21B" w:rsidR="00041A11" w:rsidRDefault="00041A11" w:rsidP="00041A11">
            <w:r w:rsidRPr="00041A11">
              <w:t>$50 per session</w:t>
            </w:r>
          </w:p>
        </w:tc>
      </w:tr>
      <w:tr w:rsidR="00041A11" w14:paraId="27BA0A61" w14:textId="77777777">
        <w:tc>
          <w:tcPr>
            <w:tcW w:w="3116" w:type="dxa"/>
            <w:vAlign w:val="center"/>
          </w:tcPr>
          <w:p w14:paraId="12C3E9E3" w14:textId="136046A5" w:rsidR="00041A11" w:rsidRDefault="00041A11" w:rsidP="00041A11">
            <w:r w:rsidRPr="00041A11">
              <w:rPr>
                <w:b/>
                <w:bCs/>
              </w:rPr>
              <w:t>Consultations</w:t>
            </w:r>
          </w:p>
        </w:tc>
        <w:tc>
          <w:tcPr>
            <w:tcW w:w="3117" w:type="dxa"/>
            <w:vAlign w:val="center"/>
          </w:tcPr>
          <w:p w14:paraId="00F05AB2" w14:textId="6F82E71A" w:rsidR="00041A11" w:rsidRDefault="00041A11" w:rsidP="00041A11">
            <w:r w:rsidRPr="00041A11">
              <w:t>One-on-one or small group input sessions (up to 1 hour)</w:t>
            </w:r>
          </w:p>
        </w:tc>
        <w:tc>
          <w:tcPr>
            <w:tcW w:w="3117" w:type="dxa"/>
            <w:vAlign w:val="center"/>
          </w:tcPr>
          <w:p w14:paraId="1FD41F1B" w14:textId="0BE8D55F" w:rsidR="00041A11" w:rsidRDefault="00041A11" w:rsidP="00041A11">
            <w:r w:rsidRPr="00041A11">
              <w:t>$30 per session</w:t>
            </w:r>
          </w:p>
        </w:tc>
      </w:tr>
      <w:tr w:rsidR="00041A11" w14:paraId="31D87E46" w14:textId="77777777">
        <w:tc>
          <w:tcPr>
            <w:tcW w:w="3116" w:type="dxa"/>
            <w:vAlign w:val="center"/>
          </w:tcPr>
          <w:p w14:paraId="272CF9BA" w14:textId="43E31BEB" w:rsidR="00041A11" w:rsidRDefault="00041A11" w:rsidP="00041A11">
            <w:r w:rsidRPr="00041A11">
              <w:rPr>
                <w:b/>
                <w:bCs/>
              </w:rPr>
              <w:t>Project Work</w:t>
            </w:r>
          </w:p>
        </w:tc>
        <w:tc>
          <w:tcPr>
            <w:tcW w:w="3117" w:type="dxa"/>
            <w:vAlign w:val="center"/>
          </w:tcPr>
          <w:p w14:paraId="03752589" w14:textId="7AB2D3FC" w:rsidR="00041A11" w:rsidRDefault="00041A11" w:rsidP="00041A11">
            <w:r w:rsidRPr="00041A11">
              <w:t>Ongoing engagement, such as advisory roles or co-design</w:t>
            </w:r>
          </w:p>
        </w:tc>
        <w:tc>
          <w:tcPr>
            <w:tcW w:w="3117" w:type="dxa"/>
            <w:vAlign w:val="center"/>
          </w:tcPr>
          <w:p w14:paraId="402DA324" w14:textId="397B625C" w:rsidR="00041A11" w:rsidRDefault="00041A11" w:rsidP="00041A11">
            <w:r w:rsidRPr="00041A11">
              <w:t>$100 per half-day</w:t>
            </w:r>
          </w:p>
        </w:tc>
      </w:tr>
      <w:tr w:rsidR="00041A11" w14:paraId="11B3423B" w14:textId="77777777">
        <w:tc>
          <w:tcPr>
            <w:tcW w:w="3116" w:type="dxa"/>
            <w:vAlign w:val="center"/>
          </w:tcPr>
          <w:p w14:paraId="254CD09E" w14:textId="1341AA6A" w:rsidR="00041A11" w:rsidRDefault="00041A11" w:rsidP="00041A11">
            <w:r w:rsidRPr="00041A11">
              <w:rPr>
                <w:b/>
                <w:bCs/>
              </w:rPr>
              <w:t>Workshops/Training</w:t>
            </w:r>
          </w:p>
        </w:tc>
        <w:tc>
          <w:tcPr>
            <w:tcW w:w="3117" w:type="dxa"/>
            <w:vAlign w:val="center"/>
          </w:tcPr>
          <w:p w14:paraId="0EEC0050" w14:textId="59335B21" w:rsidR="00041A11" w:rsidRDefault="00041A11" w:rsidP="00041A11">
            <w:r w:rsidRPr="00041A11">
              <w:t>Participation in training or skills development sessions</w:t>
            </w:r>
          </w:p>
        </w:tc>
        <w:tc>
          <w:tcPr>
            <w:tcW w:w="3117" w:type="dxa"/>
            <w:vAlign w:val="center"/>
          </w:tcPr>
          <w:p w14:paraId="0ED4B869" w14:textId="223BEACA" w:rsidR="00041A11" w:rsidRDefault="00041A11" w:rsidP="00041A11">
            <w:r w:rsidRPr="00041A11">
              <w:t>$50 per session</w:t>
            </w:r>
          </w:p>
        </w:tc>
      </w:tr>
      <w:tr w:rsidR="00041A11" w14:paraId="4AD67BFC" w14:textId="77777777">
        <w:tc>
          <w:tcPr>
            <w:tcW w:w="3116" w:type="dxa"/>
            <w:vAlign w:val="center"/>
          </w:tcPr>
          <w:p w14:paraId="03A62DF1" w14:textId="3EB3C595" w:rsidR="00041A11" w:rsidRDefault="00041A11" w:rsidP="00041A11">
            <w:r w:rsidRPr="00041A11">
              <w:rPr>
                <w:b/>
                <w:bCs/>
              </w:rPr>
              <w:t>Review of Materials</w:t>
            </w:r>
          </w:p>
        </w:tc>
        <w:tc>
          <w:tcPr>
            <w:tcW w:w="3117" w:type="dxa"/>
            <w:vAlign w:val="center"/>
          </w:tcPr>
          <w:p w14:paraId="193D35F1" w14:textId="11AFCB42" w:rsidR="00041A11" w:rsidRDefault="00041A11" w:rsidP="00041A11">
            <w:r w:rsidRPr="00041A11">
              <w:t>Providing feedback on reports, brochures, or other content</w:t>
            </w:r>
          </w:p>
        </w:tc>
        <w:tc>
          <w:tcPr>
            <w:tcW w:w="3117" w:type="dxa"/>
            <w:vAlign w:val="center"/>
          </w:tcPr>
          <w:p w14:paraId="5C4B2BA7" w14:textId="20156C8F" w:rsidR="00041A11" w:rsidRDefault="00041A11" w:rsidP="00041A11">
            <w:r w:rsidRPr="00041A11">
              <w:t>$25 per review</w:t>
            </w:r>
          </w:p>
        </w:tc>
      </w:tr>
      <w:tr w:rsidR="006820C2" w14:paraId="471C8CA5" w14:textId="77777777">
        <w:tc>
          <w:tcPr>
            <w:tcW w:w="3116" w:type="dxa"/>
            <w:vAlign w:val="center"/>
          </w:tcPr>
          <w:p w14:paraId="5C9E9611" w14:textId="628BC391" w:rsidR="006820C2" w:rsidRPr="00041A11" w:rsidRDefault="004C51DC" w:rsidP="00041A11">
            <w:pPr>
              <w:rPr>
                <w:b/>
                <w:bCs/>
              </w:rPr>
            </w:pPr>
            <w:r>
              <w:rPr>
                <w:b/>
                <w:bCs/>
              </w:rPr>
              <w:t>LEAP Committee</w:t>
            </w:r>
            <w:r w:rsidR="006820C2">
              <w:rPr>
                <w:b/>
                <w:bCs/>
              </w:rPr>
              <w:t xml:space="preserve"> Member</w:t>
            </w:r>
            <w:r w:rsidR="00FB164F">
              <w:rPr>
                <w:b/>
                <w:bCs/>
              </w:rPr>
              <w:t>ship</w:t>
            </w:r>
          </w:p>
        </w:tc>
        <w:tc>
          <w:tcPr>
            <w:tcW w:w="3117" w:type="dxa"/>
            <w:vAlign w:val="center"/>
          </w:tcPr>
          <w:p w14:paraId="4AEFEBCF" w14:textId="78620E6D" w:rsidR="006820C2" w:rsidRPr="00041A11" w:rsidRDefault="00FB164F" w:rsidP="00041A11">
            <w:r>
              <w:t xml:space="preserve">Attending scheduled </w:t>
            </w:r>
            <w:r w:rsidR="004C51DC">
              <w:t>LEAP</w:t>
            </w:r>
            <w:r>
              <w:t xml:space="preserve"> and working group meetings, performing responsibilities as outlined in the </w:t>
            </w:r>
            <w:r w:rsidR="004C51DC">
              <w:t>LEAP</w:t>
            </w:r>
            <w:r>
              <w:t xml:space="preserve"> position description and </w:t>
            </w:r>
            <w:r w:rsidR="004C51DC">
              <w:t>LEAP</w:t>
            </w:r>
            <w:r w:rsidR="00916F4F">
              <w:t xml:space="preserve"> </w:t>
            </w:r>
            <w:r>
              <w:t>ToR</w:t>
            </w:r>
          </w:p>
        </w:tc>
        <w:tc>
          <w:tcPr>
            <w:tcW w:w="3117" w:type="dxa"/>
            <w:vAlign w:val="center"/>
          </w:tcPr>
          <w:p w14:paraId="713631AC" w14:textId="102052AA" w:rsidR="006820C2" w:rsidRPr="00041A11" w:rsidRDefault="006820C2" w:rsidP="00041A11">
            <w:r w:rsidRPr="006820C2">
              <w:rPr>
                <w:lang w:val="en-US"/>
              </w:rPr>
              <w:t>offered a</w:t>
            </w:r>
            <w:r>
              <w:rPr>
                <w:lang w:val="en-US"/>
              </w:rPr>
              <w:t xml:space="preserve"> yearly honorarium of $500</w:t>
            </w:r>
          </w:p>
        </w:tc>
      </w:tr>
    </w:tbl>
    <w:p w14:paraId="28DEEC73" w14:textId="77777777" w:rsidR="00EE0689" w:rsidRDefault="00EE0689" w:rsidP="00041A11">
      <w:pPr>
        <w:rPr>
          <w:b/>
          <w:bCs/>
        </w:rPr>
      </w:pPr>
    </w:p>
    <w:p w14:paraId="0D09EE55" w14:textId="327A0576" w:rsidR="00EE0689" w:rsidRDefault="00EE0689" w:rsidP="00041A11">
      <w:pPr>
        <w:rPr>
          <w:b/>
          <w:bCs/>
        </w:rPr>
      </w:pPr>
      <w:r>
        <w:rPr>
          <w:b/>
          <w:bCs/>
        </w:rPr>
        <w:t xml:space="preserve">PFAC Membership </w:t>
      </w:r>
      <w:r w:rsidRPr="00EE0689">
        <w:rPr>
          <w:b/>
          <w:bCs/>
        </w:rPr>
        <w:t>Compensation Structure for Travel Reimbursement</w:t>
      </w:r>
    </w:p>
    <w:p w14:paraId="6F16D367" w14:textId="674C23B9" w:rsidR="00EE0689" w:rsidRPr="004356C0" w:rsidRDefault="00EE0689" w:rsidP="00EE0689">
      <w:pPr>
        <w:pStyle w:val="Default"/>
        <w:rPr>
          <w:rFonts w:asciiTheme="minorHAnsi" w:hAnsiTheme="minorHAnsi"/>
        </w:rPr>
      </w:pPr>
      <w:r w:rsidRPr="00EE0689">
        <w:rPr>
          <w:rFonts w:asciiTheme="minorHAnsi" w:hAnsiTheme="minorHAnsi"/>
        </w:rPr>
        <w:t xml:space="preserve">To support equitable participation of our </w:t>
      </w:r>
      <w:r w:rsidR="00030DFD">
        <w:rPr>
          <w:rFonts w:asciiTheme="minorHAnsi" w:hAnsiTheme="minorHAnsi"/>
        </w:rPr>
        <w:t>LEAP</w:t>
      </w:r>
      <w:r w:rsidRPr="00EE0689">
        <w:rPr>
          <w:rFonts w:asciiTheme="minorHAnsi" w:hAnsiTheme="minorHAnsi"/>
        </w:rPr>
        <w:t xml:space="preserve"> members by reimbursing reasonable travel-related expenses incurred for attending committee and working group meetings</w:t>
      </w:r>
      <w:r w:rsidRPr="004356C0">
        <w:rPr>
          <w:rFonts w:asciiTheme="minorHAnsi" w:hAnsiTheme="minorHAnsi"/>
        </w:rPr>
        <w:t xml:space="preserve">. For use of a personal vehicle, mileage will be reimbursed in </w:t>
      </w:r>
      <w:r w:rsidR="004356C0">
        <w:rPr>
          <w:rFonts w:asciiTheme="minorHAnsi" w:hAnsiTheme="minorHAnsi"/>
        </w:rPr>
        <w:t xml:space="preserve">the form of a gas card based on a flat rate of </w:t>
      </w:r>
      <w:r w:rsidRPr="004356C0">
        <w:rPr>
          <w:rFonts w:asciiTheme="minorHAnsi" w:hAnsiTheme="minorHAnsi"/>
        </w:rPr>
        <w:t>.</w:t>
      </w:r>
      <w:r w:rsidR="004356C0">
        <w:rPr>
          <w:rFonts w:asciiTheme="minorHAnsi" w:hAnsiTheme="minorHAnsi"/>
        </w:rPr>
        <w:t>4</w:t>
      </w:r>
      <w:r w:rsidRPr="004356C0">
        <w:rPr>
          <w:rFonts w:asciiTheme="minorHAnsi" w:hAnsiTheme="minorHAnsi"/>
        </w:rPr>
        <w:t>0 cents per kilometer</w:t>
      </w:r>
      <w:r w:rsidR="004356C0">
        <w:rPr>
          <w:rFonts w:asciiTheme="minorHAnsi" w:hAnsiTheme="minorHAnsi"/>
        </w:rPr>
        <w:t xml:space="preserve"> as per RMH mileage compensation rate as outlined in the table below.</w:t>
      </w:r>
    </w:p>
    <w:p w14:paraId="6EF431AD" w14:textId="6545001F" w:rsidR="00EE0689" w:rsidRPr="004356C0" w:rsidRDefault="00EE0689" w:rsidP="00EE068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0689" w14:paraId="29B5931D" w14:textId="77777777" w:rsidTr="00EE0689">
        <w:tc>
          <w:tcPr>
            <w:tcW w:w="4675" w:type="dxa"/>
          </w:tcPr>
          <w:p w14:paraId="5F07E80C" w14:textId="0564A75A" w:rsidR="00EE0689" w:rsidRDefault="00EE0689" w:rsidP="00041A11">
            <w:pPr>
              <w:rPr>
                <w:b/>
                <w:bCs/>
              </w:rPr>
            </w:pPr>
            <w:r>
              <w:rPr>
                <w:b/>
                <w:bCs/>
              </w:rPr>
              <w:t>Mileage Distance</w:t>
            </w:r>
          </w:p>
        </w:tc>
        <w:tc>
          <w:tcPr>
            <w:tcW w:w="4675" w:type="dxa"/>
          </w:tcPr>
          <w:p w14:paraId="4D5DFCBC" w14:textId="55BFE02F" w:rsidR="00EE0689" w:rsidRDefault="00EE0689" w:rsidP="00041A11">
            <w:pPr>
              <w:rPr>
                <w:b/>
                <w:bCs/>
              </w:rPr>
            </w:pPr>
            <w:r>
              <w:rPr>
                <w:b/>
                <w:bCs/>
              </w:rPr>
              <w:t>Flat Rate Reimbursement</w:t>
            </w:r>
          </w:p>
        </w:tc>
      </w:tr>
      <w:tr w:rsidR="00EE0689" w14:paraId="429D80EB" w14:textId="77777777" w:rsidTr="00EE0689">
        <w:tc>
          <w:tcPr>
            <w:tcW w:w="4675" w:type="dxa"/>
          </w:tcPr>
          <w:p w14:paraId="35D978B5" w14:textId="230DA736" w:rsidR="00EE0689" w:rsidRPr="00EE0689" w:rsidRDefault="00EE0689" w:rsidP="00041A11">
            <w:r w:rsidRPr="00EE0689">
              <w:t>Less than 10 km</w:t>
            </w:r>
          </w:p>
        </w:tc>
        <w:tc>
          <w:tcPr>
            <w:tcW w:w="4675" w:type="dxa"/>
          </w:tcPr>
          <w:p w14:paraId="72F881EE" w14:textId="2F533FCB" w:rsidR="00EE0689" w:rsidRPr="00EE0689" w:rsidRDefault="00EE0689" w:rsidP="00041A11">
            <w:r>
              <w:t>0</w:t>
            </w:r>
          </w:p>
        </w:tc>
      </w:tr>
      <w:tr w:rsidR="00EE0689" w14:paraId="43CDE990" w14:textId="77777777" w:rsidTr="00EE0689">
        <w:tc>
          <w:tcPr>
            <w:tcW w:w="4675" w:type="dxa"/>
          </w:tcPr>
          <w:p w14:paraId="2F67A225" w14:textId="43942508" w:rsidR="00EE0689" w:rsidRPr="00EE0689" w:rsidRDefault="00EE0689" w:rsidP="00041A11">
            <w:r>
              <w:t>10-25 km</w:t>
            </w:r>
          </w:p>
        </w:tc>
        <w:tc>
          <w:tcPr>
            <w:tcW w:w="4675" w:type="dxa"/>
          </w:tcPr>
          <w:p w14:paraId="35C43910" w14:textId="0F9B59C3" w:rsidR="00EE0689" w:rsidRPr="00EE0689" w:rsidRDefault="00EE0689" w:rsidP="00041A11">
            <w:r>
              <w:t>$10.00</w:t>
            </w:r>
          </w:p>
        </w:tc>
      </w:tr>
      <w:tr w:rsidR="00EE0689" w14:paraId="21DC1CDB" w14:textId="77777777" w:rsidTr="00EE0689">
        <w:tc>
          <w:tcPr>
            <w:tcW w:w="4675" w:type="dxa"/>
          </w:tcPr>
          <w:p w14:paraId="4D860F7B" w14:textId="6A04B042" w:rsidR="00EE0689" w:rsidRPr="00EE0689" w:rsidRDefault="00EE0689" w:rsidP="00041A11">
            <w:r>
              <w:t>25-50 km</w:t>
            </w:r>
          </w:p>
        </w:tc>
        <w:tc>
          <w:tcPr>
            <w:tcW w:w="4675" w:type="dxa"/>
          </w:tcPr>
          <w:p w14:paraId="2B0CB72E" w14:textId="44C0D077" w:rsidR="00EE0689" w:rsidRPr="00EE0689" w:rsidRDefault="00EE0689" w:rsidP="00041A11">
            <w:r>
              <w:t>$20.00</w:t>
            </w:r>
          </w:p>
        </w:tc>
      </w:tr>
      <w:tr w:rsidR="00EE0689" w14:paraId="287B85B2" w14:textId="77777777" w:rsidTr="00EE0689">
        <w:tc>
          <w:tcPr>
            <w:tcW w:w="4675" w:type="dxa"/>
          </w:tcPr>
          <w:p w14:paraId="144BB96E" w14:textId="03B3FDD4" w:rsidR="00EE0689" w:rsidRPr="00EE0689" w:rsidRDefault="00EE0689" w:rsidP="00041A11">
            <w:r>
              <w:t>50-75 km</w:t>
            </w:r>
          </w:p>
        </w:tc>
        <w:tc>
          <w:tcPr>
            <w:tcW w:w="4675" w:type="dxa"/>
          </w:tcPr>
          <w:p w14:paraId="38156975" w14:textId="0C44E81D" w:rsidR="00EE0689" w:rsidRPr="00EE0689" w:rsidRDefault="00EE0689" w:rsidP="00041A11">
            <w:r>
              <w:t>$30.00</w:t>
            </w:r>
          </w:p>
        </w:tc>
      </w:tr>
      <w:tr w:rsidR="00EE0689" w14:paraId="074CBBDD" w14:textId="77777777" w:rsidTr="00EE0689">
        <w:tc>
          <w:tcPr>
            <w:tcW w:w="4675" w:type="dxa"/>
          </w:tcPr>
          <w:p w14:paraId="25C4CF7D" w14:textId="58E88437" w:rsidR="00EE0689" w:rsidRPr="00EE0689" w:rsidRDefault="00EE0689" w:rsidP="00041A11">
            <w:r>
              <w:t>75-100 km</w:t>
            </w:r>
          </w:p>
        </w:tc>
        <w:tc>
          <w:tcPr>
            <w:tcW w:w="4675" w:type="dxa"/>
          </w:tcPr>
          <w:p w14:paraId="0A58AF60" w14:textId="7779AF05" w:rsidR="00EE0689" w:rsidRPr="00EE0689" w:rsidRDefault="00EE0689" w:rsidP="00041A11">
            <w:r>
              <w:t>$40.00</w:t>
            </w:r>
          </w:p>
        </w:tc>
      </w:tr>
      <w:tr w:rsidR="00EE0689" w14:paraId="5ACA3C71" w14:textId="77777777" w:rsidTr="00EE0689">
        <w:tc>
          <w:tcPr>
            <w:tcW w:w="4675" w:type="dxa"/>
          </w:tcPr>
          <w:p w14:paraId="25CFB36D" w14:textId="00A0E5CF" w:rsidR="00EE0689" w:rsidRPr="00EE0689" w:rsidRDefault="00EE0689" w:rsidP="00041A11">
            <w:r>
              <w:t>More than 100 km</w:t>
            </w:r>
          </w:p>
        </w:tc>
        <w:tc>
          <w:tcPr>
            <w:tcW w:w="4675" w:type="dxa"/>
          </w:tcPr>
          <w:p w14:paraId="2C232189" w14:textId="439210C3" w:rsidR="00EE0689" w:rsidRPr="00EE0689" w:rsidRDefault="00EE0689" w:rsidP="00041A11">
            <w:r>
              <w:t>$55.00</w:t>
            </w:r>
          </w:p>
        </w:tc>
      </w:tr>
    </w:tbl>
    <w:p w14:paraId="2B598D3C" w14:textId="77777777" w:rsidR="00EE0689" w:rsidRDefault="00EE0689" w:rsidP="00041A11">
      <w:pPr>
        <w:rPr>
          <w:b/>
          <w:bCs/>
        </w:rPr>
      </w:pPr>
    </w:p>
    <w:p w14:paraId="1ACD3220" w14:textId="77777777" w:rsidR="004356C0" w:rsidRDefault="004356C0" w:rsidP="00041A11">
      <w:pPr>
        <w:rPr>
          <w:b/>
          <w:bCs/>
        </w:rPr>
      </w:pPr>
    </w:p>
    <w:p w14:paraId="3D701F9B" w14:textId="0B21D0F2" w:rsidR="00041A11" w:rsidRPr="00041A11" w:rsidRDefault="00041A11" w:rsidP="00041A11">
      <w:r w:rsidRPr="00041A11">
        <w:rPr>
          <w:b/>
          <w:bCs/>
        </w:rPr>
        <w:t>Notes:</w:t>
      </w:r>
    </w:p>
    <w:p w14:paraId="11795A13" w14:textId="7D1BBE99" w:rsidR="00041A11" w:rsidRPr="00041A11" w:rsidRDefault="00041A11" w:rsidP="00041A11">
      <w:pPr>
        <w:numPr>
          <w:ilvl w:val="0"/>
          <w:numId w:val="2"/>
        </w:numPr>
      </w:pPr>
      <w:r w:rsidRPr="00041A11">
        <w:t>Rates are standardized but may be adjusted for exceptional circumstances or extended sessions with prior approval from the KLH</w:t>
      </w:r>
      <w:r w:rsidR="008C3048">
        <w:t xml:space="preserve"> </w:t>
      </w:r>
      <w:r w:rsidRPr="00041A11">
        <w:t>O</w:t>
      </w:r>
      <w:r w:rsidR="00030DFD">
        <w:t>H</w:t>
      </w:r>
      <w:r w:rsidRPr="00041A11">
        <w:t>T leadership.</w:t>
      </w:r>
    </w:p>
    <w:p w14:paraId="7781396E" w14:textId="77777777" w:rsidR="00041A11" w:rsidRPr="00041A11" w:rsidRDefault="00041A11" w:rsidP="00041A11">
      <w:pPr>
        <w:numPr>
          <w:ilvl w:val="0"/>
          <w:numId w:val="2"/>
        </w:numPr>
      </w:pPr>
      <w:r w:rsidRPr="00041A11">
        <w:t>Participants must be informed of the compensation amount and process in advance.</w:t>
      </w:r>
    </w:p>
    <w:p w14:paraId="33852972" w14:textId="77777777" w:rsidR="00041A11" w:rsidRPr="00041A11" w:rsidRDefault="00041A11" w:rsidP="00041A11">
      <w:r w:rsidRPr="00041A11">
        <w:rPr>
          <w:b/>
          <w:bCs/>
        </w:rPr>
        <w:t>3. Accountability Structure:</w:t>
      </w:r>
      <w:r w:rsidRPr="00041A11">
        <w:t xml:space="preserve"> To ensure transparency and compliance, the following measures are in place:</w:t>
      </w:r>
    </w:p>
    <w:p w14:paraId="1693D741" w14:textId="77777777" w:rsidR="00041A11" w:rsidRPr="00041A11" w:rsidRDefault="00041A11" w:rsidP="00041A11">
      <w:r w:rsidRPr="00041A11">
        <w:rPr>
          <w:b/>
          <w:bCs/>
        </w:rPr>
        <w:t>3.1 Tracking and Documentation:</w:t>
      </w:r>
    </w:p>
    <w:p w14:paraId="40B58E1D" w14:textId="77777777" w:rsidR="00041A11" w:rsidRPr="00041A11" w:rsidRDefault="00041A11" w:rsidP="00041A11">
      <w:pPr>
        <w:numPr>
          <w:ilvl w:val="0"/>
          <w:numId w:val="3"/>
        </w:numPr>
      </w:pPr>
      <w:r w:rsidRPr="00041A11">
        <w:rPr>
          <w:b/>
          <w:bCs/>
        </w:rPr>
        <w:t>Engagement Tracking Sheets:</w:t>
      </w:r>
    </w:p>
    <w:p w14:paraId="1019BC8A" w14:textId="77777777" w:rsidR="00041A11" w:rsidRPr="00041A11" w:rsidRDefault="00041A11" w:rsidP="00041A11">
      <w:pPr>
        <w:numPr>
          <w:ilvl w:val="1"/>
          <w:numId w:val="3"/>
        </w:numPr>
      </w:pPr>
      <w:r w:rsidRPr="00041A11">
        <w:t>Each engagement activity must be recorded on a tracking sheet, including:</w:t>
      </w:r>
    </w:p>
    <w:p w14:paraId="4662B0FB" w14:textId="77777777" w:rsidR="00041A11" w:rsidRPr="00041A11" w:rsidRDefault="00041A11" w:rsidP="00041A11">
      <w:pPr>
        <w:numPr>
          <w:ilvl w:val="2"/>
          <w:numId w:val="3"/>
        </w:numPr>
      </w:pPr>
      <w:r w:rsidRPr="00041A11">
        <w:t>Date of engagement</w:t>
      </w:r>
    </w:p>
    <w:p w14:paraId="532C6586" w14:textId="77777777" w:rsidR="00041A11" w:rsidRPr="00041A11" w:rsidRDefault="00041A11" w:rsidP="00041A11">
      <w:pPr>
        <w:numPr>
          <w:ilvl w:val="2"/>
          <w:numId w:val="3"/>
        </w:numPr>
      </w:pPr>
      <w:r w:rsidRPr="00041A11">
        <w:t>Participant name or identifier (to maintain privacy as appropriate)</w:t>
      </w:r>
    </w:p>
    <w:p w14:paraId="693FA570" w14:textId="77777777" w:rsidR="00041A11" w:rsidRPr="00041A11" w:rsidRDefault="00041A11" w:rsidP="00041A11">
      <w:pPr>
        <w:numPr>
          <w:ilvl w:val="2"/>
          <w:numId w:val="3"/>
        </w:numPr>
      </w:pPr>
      <w:r w:rsidRPr="00041A11">
        <w:t>Type of activity</w:t>
      </w:r>
    </w:p>
    <w:p w14:paraId="49BA98C5" w14:textId="77777777" w:rsidR="00041A11" w:rsidRPr="00041A11" w:rsidRDefault="00041A11" w:rsidP="00041A11">
      <w:pPr>
        <w:numPr>
          <w:ilvl w:val="2"/>
          <w:numId w:val="3"/>
        </w:numPr>
      </w:pPr>
      <w:r w:rsidRPr="00041A11">
        <w:t>Compensation amount provided</w:t>
      </w:r>
    </w:p>
    <w:p w14:paraId="1683AAAA" w14:textId="77777777" w:rsidR="00041A11" w:rsidRPr="00041A11" w:rsidRDefault="00041A11" w:rsidP="00041A11">
      <w:r w:rsidRPr="00041A11">
        <w:rPr>
          <w:b/>
          <w:bCs/>
        </w:rPr>
        <w:t>3.2 Receipt of Honorariums:</w:t>
      </w:r>
    </w:p>
    <w:p w14:paraId="54370137" w14:textId="77777777" w:rsidR="00041A11" w:rsidRPr="00041A11" w:rsidRDefault="00041A11" w:rsidP="00041A11">
      <w:pPr>
        <w:numPr>
          <w:ilvl w:val="0"/>
          <w:numId w:val="4"/>
        </w:numPr>
      </w:pPr>
      <w:r w:rsidRPr="00041A11">
        <w:t>Participants must sign an acknowledgment form upon receiving their gift card. This form should include:</w:t>
      </w:r>
    </w:p>
    <w:p w14:paraId="5D36836E" w14:textId="77777777" w:rsidR="00041A11" w:rsidRPr="00041A11" w:rsidRDefault="00041A11" w:rsidP="00041A11">
      <w:pPr>
        <w:numPr>
          <w:ilvl w:val="1"/>
          <w:numId w:val="4"/>
        </w:numPr>
      </w:pPr>
      <w:r w:rsidRPr="00041A11">
        <w:t>Participant’s name (or anonymized identifier if required)</w:t>
      </w:r>
    </w:p>
    <w:p w14:paraId="0F5CF4BF" w14:textId="77777777" w:rsidR="00041A11" w:rsidRPr="00041A11" w:rsidRDefault="00041A11" w:rsidP="00041A11">
      <w:pPr>
        <w:numPr>
          <w:ilvl w:val="1"/>
          <w:numId w:val="4"/>
        </w:numPr>
      </w:pPr>
      <w:r w:rsidRPr="00041A11">
        <w:t>Date of receipt</w:t>
      </w:r>
    </w:p>
    <w:p w14:paraId="7C25F86F" w14:textId="77777777" w:rsidR="00041A11" w:rsidRPr="00041A11" w:rsidRDefault="00041A11" w:rsidP="00041A11">
      <w:pPr>
        <w:numPr>
          <w:ilvl w:val="1"/>
          <w:numId w:val="4"/>
        </w:numPr>
      </w:pPr>
      <w:r w:rsidRPr="00041A11">
        <w:t>Value and type of gift card</w:t>
      </w:r>
    </w:p>
    <w:p w14:paraId="57B8AB3D" w14:textId="77777777" w:rsidR="00041A11" w:rsidRPr="00041A11" w:rsidRDefault="00041A11" w:rsidP="00041A11">
      <w:pPr>
        <w:numPr>
          <w:ilvl w:val="1"/>
          <w:numId w:val="4"/>
        </w:numPr>
      </w:pPr>
      <w:r w:rsidRPr="00041A11">
        <w:t>Participant’s signature</w:t>
      </w:r>
    </w:p>
    <w:p w14:paraId="628E392C" w14:textId="77777777" w:rsidR="00041A11" w:rsidRPr="00041A11" w:rsidRDefault="00041A11" w:rsidP="00041A11">
      <w:pPr>
        <w:numPr>
          <w:ilvl w:val="0"/>
          <w:numId w:val="4"/>
        </w:numPr>
      </w:pPr>
      <w:r w:rsidRPr="00041A11">
        <w:t>In cases where a signature cannot be obtained (e.g., virtual sessions), a confirmation email or other proof of receipt is required.</w:t>
      </w:r>
    </w:p>
    <w:p w14:paraId="05342A0D" w14:textId="77777777" w:rsidR="00041A11" w:rsidRPr="00041A11" w:rsidRDefault="00041A11" w:rsidP="00041A11">
      <w:r w:rsidRPr="00041A11">
        <w:rPr>
          <w:b/>
          <w:bCs/>
        </w:rPr>
        <w:t>3.3 Financial Oversight:</w:t>
      </w:r>
    </w:p>
    <w:p w14:paraId="3D3DD8C3" w14:textId="77777777" w:rsidR="00041A11" w:rsidRPr="00041A11" w:rsidRDefault="00041A11" w:rsidP="00041A11">
      <w:pPr>
        <w:numPr>
          <w:ilvl w:val="0"/>
          <w:numId w:val="5"/>
        </w:numPr>
      </w:pPr>
      <w:r w:rsidRPr="00041A11">
        <w:t>All gift card purchases must be approved by the project lead and documented in the project budget.</w:t>
      </w:r>
    </w:p>
    <w:p w14:paraId="08B198D8" w14:textId="2B2EDEAC" w:rsidR="00041A11" w:rsidRPr="00041A11" w:rsidRDefault="00041A11" w:rsidP="00041A11">
      <w:pPr>
        <w:numPr>
          <w:ilvl w:val="0"/>
          <w:numId w:val="5"/>
        </w:numPr>
      </w:pPr>
      <w:r w:rsidRPr="00041A11">
        <w:t xml:space="preserve">A monthly reconciliation report will be prepared by the </w:t>
      </w:r>
      <w:r w:rsidR="00E14368">
        <w:t>KLH OHT</w:t>
      </w:r>
      <w:r w:rsidRPr="00041A11">
        <w:t xml:space="preserve"> to track distribution and ensure alignment with the budget.</w:t>
      </w:r>
    </w:p>
    <w:p w14:paraId="20414E71" w14:textId="77777777" w:rsidR="00041A11" w:rsidRPr="00041A11" w:rsidRDefault="00041A11" w:rsidP="00041A11">
      <w:r w:rsidRPr="00041A11">
        <w:rPr>
          <w:b/>
          <w:bCs/>
        </w:rPr>
        <w:t>3.4 Privacy and Confidentiality:</w:t>
      </w:r>
    </w:p>
    <w:p w14:paraId="046B12D5" w14:textId="77777777" w:rsidR="00041A11" w:rsidRPr="00041A11" w:rsidRDefault="00041A11" w:rsidP="00041A11">
      <w:pPr>
        <w:numPr>
          <w:ilvl w:val="0"/>
          <w:numId w:val="6"/>
        </w:numPr>
      </w:pPr>
      <w:r w:rsidRPr="00041A11">
        <w:t>Participant information will be handled in compliance with privacy legislation and organizational policies.</w:t>
      </w:r>
    </w:p>
    <w:p w14:paraId="1ABE1753" w14:textId="77777777" w:rsidR="00041A11" w:rsidRPr="00041A11" w:rsidRDefault="00041A11" w:rsidP="00041A11">
      <w:pPr>
        <w:numPr>
          <w:ilvl w:val="0"/>
          <w:numId w:val="6"/>
        </w:numPr>
      </w:pPr>
      <w:r w:rsidRPr="00041A11">
        <w:t>Only necessary information will be retained for accountability and reporting purposes.</w:t>
      </w:r>
    </w:p>
    <w:p w14:paraId="0991897F" w14:textId="5639E089" w:rsidR="00041A11" w:rsidRPr="00041A11" w:rsidRDefault="00041A11" w:rsidP="00041A11">
      <w:r w:rsidRPr="00041A11">
        <w:rPr>
          <w:b/>
          <w:bCs/>
        </w:rPr>
        <w:t>4. Review and Feedback:</w:t>
      </w:r>
      <w:r w:rsidRPr="00041A11">
        <w:t xml:space="preserve"> This policy will be reviewed annually to ensure it remains relevant and effective. Feedback from individuals with LLE</w:t>
      </w:r>
      <w:r w:rsidR="001056B7">
        <w:t xml:space="preserve"> and </w:t>
      </w:r>
      <w:r w:rsidR="00030DFD">
        <w:t>LEAP</w:t>
      </w:r>
      <w:r w:rsidR="001056B7">
        <w:t xml:space="preserve"> members</w:t>
      </w:r>
      <w:r w:rsidRPr="00041A11">
        <w:t xml:space="preserve"> engaged in KLH</w:t>
      </w:r>
      <w:r w:rsidR="009C1CAD">
        <w:t xml:space="preserve"> </w:t>
      </w:r>
      <w:r w:rsidRPr="00041A11">
        <w:t>O</w:t>
      </w:r>
      <w:r w:rsidR="009C1CAD">
        <w:t>H</w:t>
      </w:r>
      <w:r w:rsidRPr="00041A11">
        <w:t>T initiatives will be solicited to inform improvements.</w:t>
      </w:r>
    </w:p>
    <w:p w14:paraId="5483A22A" w14:textId="77777777" w:rsidR="00041A11" w:rsidRDefault="00041A11"/>
    <w:sectPr w:rsidR="00041A1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4629" w14:textId="77777777" w:rsidR="00613712" w:rsidRDefault="00613712" w:rsidP="00394699">
      <w:pPr>
        <w:spacing w:after="0" w:line="240" w:lineRule="auto"/>
      </w:pPr>
      <w:r>
        <w:separator/>
      </w:r>
    </w:p>
  </w:endnote>
  <w:endnote w:type="continuationSeparator" w:id="0">
    <w:p w14:paraId="790E9F78" w14:textId="77777777" w:rsidR="00613712" w:rsidRDefault="00613712" w:rsidP="00394699">
      <w:pPr>
        <w:spacing w:after="0" w:line="240" w:lineRule="auto"/>
      </w:pPr>
      <w:r>
        <w:continuationSeparator/>
      </w:r>
    </w:p>
  </w:endnote>
  <w:endnote w:type="continuationNotice" w:id="1">
    <w:p w14:paraId="085B608C" w14:textId="77777777" w:rsidR="00613712" w:rsidRDefault="006137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F8DB" w14:textId="263A20C3" w:rsidR="00394699" w:rsidRDefault="001E76E9">
    <w:pPr>
      <w:pStyle w:val="Footer"/>
    </w:pPr>
    <w:r>
      <w:t>April 2025</w:t>
    </w:r>
  </w:p>
  <w:p w14:paraId="5561D1D9" w14:textId="77777777" w:rsidR="00394699" w:rsidRDefault="00394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A1F0" w14:textId="77777777" w:rsidR="00613712" w:rsidRDefault="00613712" w:rsidP="00394699">
      <w:pPr>
        <w:spacing w:after="0" w:line="240" w:lineRule="auto"/>
      </w:pPr>
      <w:r>
        <w:separator/>
      </w:r>
    </w:p>
  </w:footnote>
  <w:footnote w:type="continuationSeparator" w:id="0">
    <w:p w14:paraId="73AA25CD" w14:textId="77777777" w:rsidR="00613712" w:rsidRDefault="00613712" w:rsidP="00394699">
      <w:pPr>
        <w:spacing w:after="0" w:line="240" w:lineRule="auto"/>
      </w:pPr>
      <w:r>
        <w:continuationSeparator/>
      </w:r>
    </w:p>
  </w:footnote>
  <w:footnote w:type="continuationNotice" w:id="1">
    <w:p w14:paraId="010CBA7E" w14:textId="77777777" w:rsidR="00613712" w:rsidRDefault="006137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579"/>
    <w:multiLevelType w:val="multilevel"/>
    <w:tmpl w:val="A43A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72F31"/>
    <w:multiLevelType w:val="multilevel"/>
    <w:tmpl w:val="54F4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27AEA"/>
    <w:multiLevelType w:val="multilevel"/>
    <w:tmpl w:val="4DB2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E7051"/>
    <w:multiLevelType w:val="multilevel"/>
    <w:tmpl w:val="621A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4698A"/>
    <w:multiLevelType w:val="multilevel"/>
    <w:tmpl w:val="60D8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276F2"/>
    <w:multiLevelType w:val="multilevel"/>
    <w:tmpl w:val="F626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811937">
    <w:abstractNumId w:val="1"/>
  </w:num>
  <w:num w:numId="2" w16cid:durableId="1860118120">
    <w:abstractNumId w:val="2"/>
  </w:num>
  <w:num w:numId="3" w16cid:durableId="934947136">
    <w:abstractNumId w:val="4"/>
  </w:num>
  <w:num w:numId="4" w16cid:durableId="648091606">
    <w:abstractNumId w:val="5"/>
  </w:num>
  <w:num w:numId="5" w16cid:durableId="1369454221">
    <w:abstractNumId w:val="3"/>
  </w:num>
  <w:num w:numId="6" w16cid:durableId="159713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53"/>
    <w:rsid w:val="00030DFD"/>
    <w:rsid w:val="00041A11"/>
    <w:rsid w:val="00083A75"/>
    <w:rsid w:val="000E6066"/>
    <w:rsid w:val="001056B7"/>
    <w:rsid w:val="00121623"/>
    <w:rsid w:val="00152841"/>
    <w:rsid w:val="00175876"/>
    <w:rsid w:val="001E7530"/>
    <w:rsid w:val="001E76E9"/>
    <w:rsid w:val="002223B7"/>
    <w:rsid w:val="00302314"/>
    <w:rsid w:val="003253C6"/>
    <w:rsid w:val="00394699"/>
    <w:rsid w:val="003D7036"/>
    <w:rsid w:val="004356C0"/>
    <w:rsid w:val="004C51DC"/>
    <w:rsid w:val="005070C5"/>
    <w:rsid w:val="00534EF8"/>
    <w:rsid w:val="00543565"/>
    <w:rsid w:val="00563798"/>
    <w:rsid w:val="005660F8"/>
    <w:rsid w:val="005E6CE8"/>
    <w:rsid w:val="00613712"/>
    <w:rsid w:val="006512B3"/>
    <w:rsid w:val="006820C2"/>
    <w:rsid w:val="00711C74"/>
    <w:rsid w:val="007534D4"/>
    <w:rsid w:val="00756BF7"/>
    <w:rsid w:val="008C3048"/>
    <w:rsid w:val="008E0053"/>
    <w:rsid w:val="00916F4F"/>
    <w:rsid w:val="00944478"/>
    <w:rsid w:val="009535D0"/>
    <w:rsid w:val="00956735"/>
    <w:rsid w:val="00974AEC"/>
    <w:rsid w:val="00981493"/>
    <w:rsid w:val="009A0091"/>
    <w:rsid w:val="009A15C2"/>
    <w:rsid w:val="009C1CAD"/>
    <w:rsid w:val="00B731D2"/>
    <w:rsid w:val="00B82BA7"/>
    <w:rsid w:val="00B86198"/>
    <w:rsid w:val="00C80A4A"/>
    <w:rsid w:val="00CF361E"/>
    <w:rsid w:val="00D50888"/>
    <w:rsid w:val="00D93FE0"/>
    <w:rsid w:val="00E14368"/>
    <w:rsid w:val="00E14C96"/>
    <w:rsid w:val="00E50556"/>
    <w:rsid w:val="00E8082F"/>
    <w:rsid w:val="00E851D0"/>
    <w:rsid w:val="00E931CD"/>
    <w:rsid w:val="00EE0689"/>
    <w:rsid w:val="00FB164F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B525"/>
  <w15:chartTrackingRefBased/>
  <w15:docId w15:val="{BCA01133-2358-4EE5-8203-3A8788CB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699"/>
  </w:style>
  <w:style w:type="paragraph" w:styleId="Footer">
    <w:name w:val="footer"/>
    <w:basedOn w:val="Normal"/>
    <w:link w:val="FooterChar"/>
    <w:uiPriority w:val="99"/>
    <w:unhideWhenUsed/>
    <w:rsid w:val="0039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699"/>
  </w:style>
  <w:style w:type="paragraph" w:customStyle="1" w:styleId="Default">
    <w:name w:val="Default"/>
    <w:rsid w:val="00EE06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1B22378FAEC4087156CD6ED4EF543" ma:contentTypeVersion="18" ma:contentTypeDescription="Create a new document." ma:contentTypeScope="" ma:versionID="2c0e0a16682d24b23c49b43d55ef4313">
  <xsd:schema xmlns:xsd="http://www.w3.org/2001/XMLSchema" xmlns:xs="http://www.w3.org/2001/XMLSchema" xmlns:p="http://schemas.microsoft.com/office/2006/metadata/properties" xmlns:ns2="d1d47d6e-5463-496b-a4f9-fb31264b85e7" xmlns:ns3="aca5a38f-5f95-4682-beb9-859f4d1d0025" targetNamespace="http://schemas.microsoft.com/office/2006/metadata/properties" ma:root="true" ma:fieldsID="7b010abcda71b71c69333f1d3038e6ed" ns2:_="" ns3:_="">
    <xsd:import namespace="d1d47d6e-5463-496b-a4f9-fb31264b85e7"/>
    <xsd:import namespace="aca5a38f-5f95-4682-beb9-859f4d1d0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47d6e-5463-496b-a4f9-fb31264b8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8cd3e0-b26f-474b-9933-add171c8a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a38f-5f95-4682-beb9-859f4d1d0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e93e75-3cb1-448f-8aec-711a55bb242b}" ma:internalName="TaxCatchAll" ma:showField="CatchAllData" ma:web="aca5a38f-5f95-4682-beb9-859f4d1d0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5a38f-5f95-4682-beb9-859f4d1d0025" xsi:nil="true"/>
    <lcf76f155ced4ddcb4097134ff3c332f xmlns="d1d47d6e-5463-496b-a4f9-fb31264b85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9BD6C-E9BA-4FA6-92EE-7BD787DF6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47d6e-5463-496b-a4f9-fb31264b85e7"/>
    <ds:schemaRef ds:uri="aca5a38f-5f95-4682-beb9-859f4d1d0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A6DAC-1E25-4C19-96D0-269D3C6FB5A8}">
  <ds:schemaRefs>
    <ds:schemaRef ds:uri="http://schemas.microsoft.com/office/2006/metadata/properties"/>
    <ds:schemaRef ds:uri="http://schemas.microsoft.com/office/infopath/2007/PartnerControls"/>
    <ds:schemaRef ds:uri="aca5a38f-5f95-4682-beb9-859f4d1d0025"/>
    <ds:schemaRef ds:uri="d1d47d6e-5463-496b-a4f9-fb31264b85e7"/>
  </ds:schemaRefs>
</ds:datastoreItem>
</file>

<file path=customXml/itemProps3.xml><?xml version="1.0" encoding="utf-8"?>
<ds:datastoreItem xmlns:ds="http://schemas.openxmlformats.org/officeDocument/2006/customXml" ds:itemID="{F7DA87EC-FDC0-4004-A839-2FA26324F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652</Words>
  <Characters>3723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Crough</dc:creator>
  <cp:keywords/>
  <dc:description/>
  <cp:lastModifiedBy>Christine Crough</cp:lastModifiedBy>
  <cp:revision>31</cp:revision>
  <dcterms:created xsi:type="dcterms:W3CDTF">2024-12-12T16:24:00Z</dcterms:created>
  <dcterms:modified xsi:type="dcterms:W3CDTF">2025-05-07T14:04:00Z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0x01010097F1B22378FAEC4087156CD6ED4EF543</vt:lpwstr>
  </property>
  <property fmtid="{D5CDD505-2E9C-101B-9397-08002B2CF9AE}" pid="3" name="MediaServiceImageTags">
    <vt:lpwstr/>
  </property>
</Properties>
</file>