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18C78D" w14:textId="77777777" w:rsidR="00533C14" w:rsidRPr="00533C14" w:rsidRDefault="00533C14" w:rsidP="00533C14">
      <w:pPr>
        <w:rPr>
          <w:b/>
          <w:bCs/>
        </w:rPr>
      </w:pPr>
      <w:r w:rsidRPr="00533C14">
        <w:rPr>
          <w:b/>
          <w:bCs/>
        </w:rPr>
        <w:t>ACTS Scotland CIC – Data Retention and Deletion Policy</w:t>
      </w:r>
    </w:p>
    <w:p w14:paraId="36AC4769" w14:textId="77777777" w:rsidR="00533C14" w:rsidRPr="00533C14" w:rsidRDefault="00533C14" w:rsidP="00533C14">
      <w:r w:rsidRPr="00533C14">
        <w:rPr>
          <w:b/>
          <w:bCs/>
        </w:rPr>
        <w:t>Approved by:</w:t>
      </w:r>
      <w:r w:rsidRPr="00533C14">
        <w:t xml:space="preserve"> [Director’s Name]</w:t>
      </w:r>
      <w:r w:rsidRPr="00533C14">
        <w:br/>
      </w:r>
      <w:r w:rsidRPr="00533C14">
        <w:rPr>
          <w:b/>
          <w:bCs/>
        </w:rPr>
        <w:t>Date Approved:</w:t>
      </w:r>
      <w:r w:rsidRPr="00533C14">
        <w:t xml:space="preserve"> [Insert date]</w:t>
      </w:r>
      <w:r w:rsidRPr="00533C14">
        <w:br/>
      </w:r>
      <w:r w:rsidRPr="00533C14">
        <w:rPr>
          <w:b/>
          <w:bCs/>
        </w:rPr>
        <w:t>Next Review Date:</w:t>
      </w:r>
      <w:r w:rsidRPr="00533C14">
        <w:t xml:space="preserve"> [Insert date – usually annually]</w:t>
      </w:r>
    </w:p>
    <w:p w14:paraId="0A3C6329" w14:textId="77777777" w:rsidR="00533C14" w:rsidRPr="00533C14" w:rsidRDefault="00533C14" w:rsidP="00533C14">
      <w:r w:rsidRPr="00533C14">
        <w:pict w14:anchorId="6C8E473F">
          <v:rect id="_x0000_i1097" style="width:0;height:1.5pt" o:hralign="center" o:hrstd="t" o:hr="t" fillcolor="#a0a0a0" stroked="f"/>
        </w:pict>
      </w:r>
    </w:p>
    <w:p w14:paraId="49B4D178" w14:textId="77777777" w:rsidR="00533C14" w:rsidRPr="00533C14" w:rsidRDefault="00533C14" w:rsidP="00533C14">
      <w:pPr>
        <w:rPr>
          <w:b/>
          <w:bCs/>
        </w:rPr>
      </w:pPr>
      <w:r w:rsidRPr="00533C14">
        <w:rPr>
          <w:b/>
          <w:bCs/>
        </w:rPr>
        <w:t>1. Purpose</w:t>
      </w:r>
    </w:p>
    <w:p w14:paraId="38D4BD90" w14:textId="77777777" w:rsidR="00533C14" w:rsidRPr="00533C14" w:rsidRDefault="00533C14" w:rsidP="00533C14">
      <w:r w:rsidRPr="00533C14">
        <w:t>This policy sets out how ACTS Scotland CIC (“the Organisation”) retains and deletes personal data in accordance with the UK General Data Protection Regulation (UK GDPR) and the Data Protection Act 2018.</w:t>
      </w:r>
      <w:r w:rsidRPr="00533C14">
        <w:br/>
        <w:t>It ensures that personal data, particularly that relating to children and vulnerable young people, is kept only as long as necessary and is securely deleted or destroyed when no longer required.</w:t>
      </w:r>
    </w:p>
    <w:p w14:paraId="54791667" w14:textId="77777777" w:rsidR="00533C14" w:rsidRPr="00533C14" w:rsidRDefault="00533C14" w:rsidP="00533C14">
      <w:r w:rsidRPr="00533C14">
        <w:pict w14:anchorId="29502730">
          <v:rect id="_x0000_i1098" style="width:0;height:1.5pt" o:hralign="center" o:hrstd="t" o:hr="t" fillcolor="#a0a0a0" stroked="f"/>
        </w:pict>
      </w:r>
    </w:p>
    <w:p w14:paraId="445D4622" w14:textId="77777777" w:rsidR="00533C14" w:rsidRPr="00533C14" w:rsidRDefault="00533C14" w:rsidP="00533C14">
      <w:pPr>
        <w:rPr>
          <w:b/>
          <w:bCs/>
        </w:rPr>
      </w:pPr>
      <w:r w:rsidRPr="00533C14">
        <w:rPr>
          <w:b/>
          <w:bCs/>
        </w:rPr>
        <w:t>2. Scope</w:t>
      </w:r>
    </w:p>
    <w:p w14:paraId="49586297" w14:textId="77777777" w:rsidR="00533C14" w:rsidRPr="00533C14" w:rsidRDefault="00533C14" w:rsidP="00533C14">
      <w:r w:rsidRPr="00533C14">
        <w:t>This policy applies to all staff, contractors, and volunteers who handle personal data on behalf of ACTS Scotland CIC.</w:t>
      </w:r>
      <w:r w:rsidRPr="00533C14">
        <w:br/>
        <w:t>It covers both electronic and paper-based records, including:</w:t>
      </w:r>
    </w:p>
    <w:p w14:paraId="5ECB0555" w14:textId="77777777" w:rsidR="00533C14" w:rsidRPr="00533C14" w:rsidRDefault="00533C14" w:rsidP="00533C14">
      <w:pPr>
        <w:numPr>
          <w:ilvl w:val="0"/>
          <w:numId w:val="1"/>
        </w:numPr>
      </w:pPr>
      <w:r w:rsidRPr="00533C14">
        <w:t>Registration forms and consent records</w:t>
      </w:r>
    </w:p>
    <w:p w14:paraId="2D987CD9" w14:textId="77777777" w:rsidR="00533C14" w:rsidRPr="00533C14" w:rsidRDefault="00533C14" w:rsidP="00533C14">
      <w:pPr>
        <w:numPr>
          <w:ilvl w:val="0"/>
          <w:numId w:val="1"/>
        </w:numPr>
      </w:pPr>
      <w:r w:rsidRPr="00533C14">
        <w:t>Attendance registers</w:t>
      </w:r>
    </w:p>
    <w:p w14:paraId="4DFA6B0C" w14:textId="77777777" w:rsidR="00533C14" w:rsidRPr="00533C14" w:rsidRDefault="00533C14" w:rsidP="00533C14">
      <w:pPr>
        <w:numPr>
          <w:ilvl w:val="0"/>
          <w:numId w:val="1"/>
        </w:numPr>
      </w:pPr>
      <w:r w:rsidRPr="00533C14">
        <w:t>Safeguarding or incident reports</w:t>
      </w:r>
    </w:p>
    <w:p w14:paraId="1AE97983" w14:textId="77777777" w:rsidR="00533C14" w:rsidRPr="00533C14" w:rsidRDefault="00533C14" w:rsidP="00533C14">
      <w:pPr>
        <w:numPr>
          <w:ilvl w:val="0"/>
          <w:numId w:val="1"/>
        </w:numPr>
      </w:pPr>
      <w:r w:rsidRPr="00533C14">
        <w:t>Photographs and videos</w:t>
      </w:r>
    </w:p>
    <w:p w14:paraId="09E75B61" w14:textId="77777777" w:rsidR="00533C14" w:rsidRPr="00533C14" w:rsidRDefault="00533C14" w:rsidP="00533C14">
      <w:pPr>
        <w:numPr>
          <w:ilvl w:val="0"/>
          <w:numId w:val="1"/>
        </w:numPr>
      </w:pPr>
      <w:r w:rsidRPr="00533C14">
        <w:t>Email communications and correspondence</w:t>
      </w:r>
    </w:p>
    <w:p w14:paraId="0BA941FA" w14:textId="77777777" w:rsidR="00533C14" w:rsidRPr="00533C14" w:rsidRDefault="00533C14" w:rsidP="00533C14">
      <w:pPr>
        <w:numPr>
          <w:ilvl w:val="0"/>
          <w:numId w:val="1"/>
        </w:numPr>
      </w:pPr>
      <w:r w:rsidRPr="00533C14">
        <w:t>Other records relating to programme participation or support for young people</w:t>
      </w:r>
    </w:p>
    <w:p w14:paraId="7754CDF6" w14:textId="77777777" w:rsidR="00533C14" w:rsidRPr="00533C14" w:rsidRDefault="00533C14" w:rsidP="00533C14">
      <w:r w:rsidRPr="00533C14">
        <w:pict w14:anchorId="02FC141D">
          <v:rect id="_x0000_i1099" style="width:0;height:1.5pt" o:hralign="center" o:hrstd="t" o:hr="t" fillcolor="#a0a0a0" stroked="f"/>
        </w:pict>
      </w:r>
    </w:p>
    <w:p w14:paraId="0B6E54C6" w14:textId="77777777" w:rsidR="00533C14" w:rsidRPr="00533C14" w:rsidRDefault="00533C14" w:rsidP="00533C14">
      <w:pPr>
        <w:rPr>
          <w:b/>
          <w:bCs/>
        </w:rPr>
      </w:pPr>
      <w:r w:rsidRPr="00533C14">
        <w:rPr>
          <w:b/>
          <w:bCs/>
        </w:rPr>
        <w:t>3. Legal Framework</w:t>
      </w:r>
    </w:p>
    <w:p w14:paraId="22B6F3E4" w14:textId="77777777" w:rsidR="00533C14" w:rsidRPr="00533C14" w:rsidRDefault="00533C14" w:rsidP="00533C14">
      <w:r w:rsidRPr="00533C14">
        <w:t>This policy is based on the following legislation and guidance:</w:t>
      </w:r>
    </w:p>
    <w:p w14:paraId="5FB74200" w14:textId="77777777" w:rsidR="00533C14" w:rsidRPr="00533C14" w:rsidRDefault="00533C14" w:rsidP="00533C14">
      <w:pPr>
        <w:numPr>
          <w:ilvl w:val="0"/>
          <w:numId w:val="2"/>
        </w:numPr>
      </w:pPr>
      <w:r w:rsidRPr="00533C14">
        <w:t>UK General Data Protection Regulation (UK GDPR)</w:t>
      </w:r>
    </w:p>
    <w:p w14:paraId="146BE17B" w14:textId="77777777" w:rsidR="00533C14" w:rsidRPr="00533C14" w:rsidRDefault="00533C14" w:rsidP="00533C14">
      <w:pPr>
        <w:numPr>
          <w:ilvl w:val="0"/>
          <w:numId w:val="2"/>
        </w:numPr>
      </w:pPr>
      <w:r w:rsidRPr="00533C14">
        <w:t>Data Protection Act 2018</w:t>
      </w:r>
    </w:p>
    <w:p w14:paraId="09B5D93E" w14:textId="77777777" w:rsidR="00533C14" w:rsidRPr="00533C14" w:rsidRDefault="00533C14" w:rsidP="00533C14">
      <w:pPr>
        <w:numPr>
          <w:ilvl w:val="0"/>
          <w:numId w:val="2"/>
        </w:numPr>
      </w:pPr>
      <w:r w:rsidRPr="00533C14">
        <w:t>Children Act 2004</w:t>
      </w:r>
    </w:p>
    <w:p w14:paraId="205BE3C9" w14:textId="77777777" w:rsidR="00533C14" w:rsidRPr="00533C14" w:rsidRDefault="00533C14" w:rsidP="00533C14">
      <w:pPr>
        <w:numPr>
          <w:ilvl w:val="0"/>
          <w:numId w:val="2"/>
        </w:numPr>
      </w:pPr>
      <w:r w:rsidRPr="00533C14">
        <w:t>Working Together to Safeguard Children (HM Government, 2018)</w:t>
      </w:r>
    </w:p>
    <w:p w14:paraId="003E5BB5" w14:textId="77777777" w:rsidR="00533C14" w:rsidRPr="00533C14" w:rsidRDefault="00533C14" w:rsidP="00533C14">
      <w:pPr>
        <w:numPr>
          <w:ilvl w:val="0"/>
          <w:numId w:val="2"/>
        </w:numPr>
      </w:pPr>
      <w:r w:rsidRPr="00533C14">
        <w:t>NSPCC and National Youth Agency guidance on safeguarding records retention</w:t>
      </w:r>
    </w:p>
    <w:p w14:paraId="7350DF61" w14:textId="77777777" w:rsidR="00533C14" w:rsidRPr="00533C14" w:rsidRDefault="00533C14" w:rsidP="00533C14">
      <w:r w:rsidRPr="00533C14">
        <w:pict w14:anchorId="1B9C4E71">
          <v:rect id="_x0000_i1100" style="width:0;height:1.5pt" o:hralign="center" o:hrstd="t" o:hr="t" fillcolor="#a0a0a0" stroked="f"/>
        </w:pict>
      </w:r>
    </w:p>
    <w:p w14:paraId="00968807" w14:textId="77777777" w:rsidR="00533C14" w:rsidRPr="00533C14" w:rsidRDefault="00533C14" w:rsidP="00533C14">
      <w:pPr>
        <w:rPr>
          <w:b/>
          <w:bCs/>
        </w:rPr>
      </w:pPr>
      <w:r w:rsidRPr="00533C14">
        <w:rPr>
          <w:b/>
          <w:bCs/>
        </w:rPr>
        <w:t>4. Principles</w:t>
      </w:r>
    </w:p>
    <w:p w14:paraId="29ED12BE" w14:textId="77777777" w:rsidR="00533C14" w:rsidRPr="00533C14" w:rsidRDefault="00533C14" w:rsidP="00533C14">
      <w:r w:rsidRPr="00533C14">
        <w:t>Personal data shall be:</w:t>
      </w:r>
    </w:p>
    <w:p w14:paraId="06F4BE39" w14:textId="77777777" w:rsidR="00533C14" w:rsidRPr="00533C14" w:rsidRDefault="00533C14" w:rsidP="00533C14">
      <w:pPr>
        <w:numPr>
          <w:ilvl w:val="0"/>
          <w:numId w:val="3"/>
        </w:numPr>
      </w:pPr>
      <w:r w:rsidRPr="00533C14">
        <w:rPr>
          <w:b/>
          <w:bCs/>
        </w:rPr>
        <w:t>Processed lawfully, fairly and transparently</w:t>
      </w:r>
    </w:p>
    <w:p w14:paraId="76323C5A" w14:textId="77777777" w:rsidR="00533C14" w:rsidRPr="00533C14" w:rsidRDefault="00533C14" w:rsidP="00533C14">
      <w:pPr>
        <w:numPr>
          <w:ilvl w:val="0"/>
          <w:numId w:val="3"/>
        </w:numPr>
      </w:pPr>
      <w:r w:rsidRPr="00533C14">
        <w:rPr>
          <w:b/>
          <w:bCs/>
        </w:rPr>
        <w:t>Collected for specific, explicit and legitimate purposes</w:t>
      </w:r>
    </w:p>
    <w:p w14:paraId="00422E44" w14:textId="77777777" w:rsidR="00533C14" w:rsidRPr="00533C14" w:rsidRDefault="00533C14" w:rsidP="00533C14">
      <w:pPr>
        <w:numPr>
          <w:ilvl w:val="0"/>
          <w:numId w:val="3"/>
        </w:numPr>
      </w:pPr>
      <w:r w:rsidRPr="00533C14">
        <w:rPr>
          <w:b/>
          <w:bCs/>
        </w:rPr>
        <w:t>Adequate, relevant and limited</w:t>
      </w:r>
      <w:r w:rsidRPr="00533C14">
        <w:t xml:space="preserve"> to what is necessary</w:t>
      </w:r>
    </w:p>
    <w:p w14:paraId="05F58F3E" w14:textId="77777777" w:rsidR="00533C14" w:rsidRPr="00533C14" w:rsidRDefault="00533C14" w:rsidP="00533C14">
      <w:pPr>
        <w:numPr>
          <w:ilvl w:val="0"/>
          <w:numId w:val="3"/>
        </w:numPr>
      </w:pPr>
      <w:r w:rsidRPr="00533C14">
        <w:rPr>
          <w:b/>
          <w:bCs/>
        </w:rPr>
        <w:t>Accurate and kept up to date</w:t>
      </w:r>
    </w:p>
    <w:p w14:paraId="3884FB44" w14:textId="77777777" w:rsidR="00533C14" w:rsidRPr="00533C14" w:rsidRDefault="00533C14" w:rsidP="00533C14">
      <w:pPr>
        <w:numPr>
          <w:ilvl w:val="0"/>
          <w:numId w:val="3"/>
        </w:numPr>
      </w:pPr>
      <w:r w:rsidRPr="00533C14">
        <w:rPr>
          <w:b/>
          <w:bCs/>
        </w:rPr>
        <w:t>Kept no longer than necessary</w:t>
      </w:r>
    </w:p>
    <w:p w14:paraId="60A83B53" w14:textId="77777777" w:rsidR="00533C14" w:rsidRPr="00533C14" w:rsidRDefault="00533C14" w:rsidP="00533C14">
      <w:pPr>
        <w:numPr>
          <w:ilvl w:val="0"/>
          <w:numId w:val="3"/>
        </w:numPr>
      </w:pPr>
      <w:r w:rsidRPr="00533C14">
        <w:rPr>
          <w:b/>
          <w:bCs/>
        </w:rPr>
        <w:t>Handled securely</w:t>
      </w:r>
      <w:r w:rsidRPr="00533C14">
        <w:t>, protecting against unauthorised access, loss or damage</w:t>
      </w:r>
    </w:p>
    <w:p w14:paraId="30F8CE1F" w14:textId="77777777" w:rsidR="00533C14" w:rsidRPr="00533C14" w:rsidRDefault="00533C14" w:rsidP="00533C14">
      <w:r w:rsidRPr="00533C14">
        <w:pict w14:anchorId="5679F77B">
          <v:rect id="_x0000_i1101" style="width:0;height:1.5pt" o:hralign="center" o:hrstd="t" o:hr="t" fillcolor="#a0a0a0" stroked="f"/>
        </w:pict>
      </w:r>
    </w:p>
    <w:p w14:paraId="54085579" w14:textId="77777777" w:rsidR="00533C14" w:rsidRPr="00533C14" w:rsidRDefault="00533C14" w:rsidP="00533C14">
      <w:pPr>
        <w:rPr>
          <w:b/>
          <w:bCs/>
        </w:rPr>
      </w:pPr>
      <w:r w:rsidRPr="00533C14">
        <w:rPr>
          <w:b/>
          <w:bCs/>
        </w:rPr>
        <w:t>5. Responsibilities</w:t>
      </w:r>
    </w:p>
    <w:p w14:paraId="5EC3F778" w14:textId="77777777" w:rsidR="00533C14" w:rsidRPr="00533C14" w:rsidRDefault="00533C14" w:rsidP="00533C14">
      <w:pPr>
        <w:numPr>
          <w:ilvl w:val="0"/>
          <w:numId w:val="4"/>
        </w:numPr>
      </w:pPr>
      <w:r w:rsidRPr="00533C14">
        <w:t xml:space="preserve">The </w:t>
      </w:r>
      <w:r w:rsidRPr="00533C14">
        <w:rPr>
          <w:b/>
          <w:bCs/>
        </w:rPr>
        <w:t>Data Protection Lead</w:t>
      </w:r>
      <w:r w:rsidRPr="00533C14">
        <w:t xml:space="preserve"> (normally a </w:t>
      </w:r>
      <w:proofErr w:type="gramStart"/>
      <w:r w:rsidRPr="00533C14">
        <w:t>Director</w:t>
      </w:r>
      <w:proofErr w:type="gramEnd"/>
      <w:r w:rsidRPr="00533C14">
        <w:t>) is responsible for implementing and reviewing this policy.</w:t>
      </w:r>
    </w:p>
    <w:p w14:paraId="1EF9A1BE" w14:textId="77777777" w:rsidR="00533C14" w:rsidRPr="00533C14" w:rsidRDefault="00533C14" w:rsidP="00533C14">
      <w:pPr>
        <w:numPr>
          <w:ilvl w:val="0"/>
          <w:numId w:val="4"/>
        </w:numPr>
      </w:pPr>
      <w:r w:rsidRPr="00533C14">
        <w:t>All staff and volunteers must understand and comply with retention and deletion requirements.</w:t>
      </w:r>
    </w:p>
    <w:p w14:paraId="69BEC61F" w14:textId="77777777" w:rsidR="00533C14" w:rsidRPr="00533C14" w:rsidRDefault="00533C14" w:rsidP="00533C14">
      <w:pPr>
        <w:numPr>
          <w:ilvl w:val="0"/>
          <w:numId w:val="4"/>
        </w:numPr>
      </w:pPr>
      <w:r w:rsidRPr="00533C14">
        <w:t xml:space="preserve">Any data breaches or concerns must be reported immediately in line with the organisation’s </w:t>
      </w:r>
      <w:r w:rsidRPr="00533C14">
        <w:rPr>
          <w:b/>
          <w:bCs/>
        </w:rPr>
        <w:t>Data Protection Policy</w:t>
      </w:r>
      <w:r w:rsidRPr="00533C14">
        <w:t xml:space="preserve"> and </w:t>
      </w:r>
      <w:r w:rsidRPr="00533C14">
        <w:rPr>
          <w:b/>
          <w:bCs/>
        </w:rPr>
        <w:t>Safeguarding Procedures</w:t>
      </w:r>
      <w:r w:rsidRPr="00533C14">
        <w:t>.</w:t>
      </w:r>
    </w:p>
    <w:p w14:paraId="56C373C5" w14:textId="77777777" w:rsidR="00533C14" w:rsidRPr="00533C14" w:rsidRDefault="00533C14" w:rsidP="00533C14">
      <w:r w:rsidRPr="00533C14">
        <w:pict w14:anchorId="2017FD88">
          <v:rect id="_x0000_i1102" style="width:0;height:1.5pt" o:hralign="center" o:hrstd="t" o:hr="t" fillcolor="#a0a0a0" stroked="f"/>
        </w:pict>
      </w:r>
    </w:p>
    <w:p w14:paraId="233D249C" w14:textId="77777777" w:rsidR="00533C14" w:rsidRPr="00533C14" w:rsidRDefault="00533C14" w:rsidP="00533C14">
      <w:pPr>
        <w:rPr>
          <w:b/>
          <w:bCs/>
        </w:rPr>
      </w:pPr>
      <w:r w:rsidRPr="00533C14">
        <w:rPr>
          <w:b/>
          <w:bCs/>
        </w:rPr>
        <w:t>6. Retention Schedule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765"/>
        <w:gridCol w:w="3946"/>
        <w:gridCol w:w="2315"/>
      </w:tblGrid>
      <w:tr w:rsidR="00533C14" w:rsidRPr="00533C14" w14:paraId="21A330B2" w14:textId="77777777">
        <w:trPr>
          <w:tblHeader/>
          <w:tblCellSpacing w:w="15" w:type="dxa"/>
        </w:trPr>
        <w:tc>
          <w:tcPr>
            <w:tcW w:w="0" w:type="auto"/>
            <w:vAlign w:val="center"/>
            <w:hideMark/>
          </w:tcPr>
          <w:p w14:paraId="7BB2388E" w14:textId="77777777" w:rsidR="00533C14" w:rsidRPr="00533C14" w:rsidRDefault="00533C14" w:rsidP="00533C14">
            <w:pPr>
              <w:rPr>
                <w:b/>
                <w:bCs/>
              </w:rPr>
            </w:pPr>
            <w:r w:rsidRPr="00533C14">
              <w:rPr>
                <w:b/>
                <w:bCs/>
              </w:rPr>
              <w:t>Record Type</w:t>
            </w:r>
          </w:p>
        </w:tc>
        <w:tc>
          <w:tcPr>
            <w:tcW w:w="0" w:type="auto"/>
            <w:vAlign w:val="center"/>
            <w:hideMark/>
          </w:tcPr>
          <w:p w14:paraId="7F308F27" w14:textId="77777777" w:rsidR="00533C14" w:rsidRPr="00533C14" w:rsidRDefault="00533C14" w:rsidP="00533C14">
            <w:pPr>
              <w:rPr>
                <w:b/>
                <w:bCs/>
              </w:rPr>
            </w:pPr>
            <w:r w:rsidRPr="00533C14">
              <w:rPr>
                <w:b/>
                <w:bCs/>
              </w:rPr>
              <w:t>Retention Period</w:t>
            </w:r>
          </w:p>
        </w:tc>
        <w:tc>
          <w:tcPr>
            <w:tcW w:w="0" w:type="auto"/>
            <w:vAlign w:val="center"/>
            <w:hideMark/>
          </w:tcPr>
          <w:p w14:paraId="04F0B6D8" w14:textId="77777777" w:rsidR="00533C14" w:rsidRPr="00533C14" w:rsidRDefault="00533C14" w:rsidP="00533C14">
            <w:pPr>
              <w:rPr>
                <w:b/>
                <w:bCs/>
              </w:rPr>
            </w:pPr>
            <w:r w:rsidRPr="00533C14">
              <w:rPr>
                <w:b/>
                <w:bCs/>
              </w:rPr>
              <w:t>Rationale / Notes</w:t>
            </w:r>
          </w:p>
        </w:tc>
      </w:tr>
      <w:tr w:rsidR="00533C14" w:rsidRPr="00533C14" w14:paraId="28613AF6" w14:textId="77777777">
        <w:trPr>
          <w:tblCellSpacing w:w="15" w:type="dxa"/>
        </w:trPr>
        <w:tc>
          <w:tcPr>
            <w:tcW w:w="0" w:type="auto"/>
            <w:vAlign w:val="center"/>
            <w:hideMark/>
          </w:tcPr>
          <w:p w14:paraId="0C8FE74C" w14:textId="77777777" w:rsidR="00533C14" w:rsidRPr="00533C14" w:rsidRDefault="00533C14" w:rsidP="00533C14">
            <w:r w:rsidRPr="00533C14">
              <w:rPr>
                <w:b/>
                <w:bCs/>
              </w:rPr>
              <w:t>Registration forms and consent records</w:t>
            </w:r>
          </w:p>
        </w:tc>
        <w:tc>
          <w:tcPr>
            <w:tcW w:w="0" w:type="auto"/>
            <w:vAlign w:val="center"/>
            <w:hideMark/>
          </w:tcPr>
          <w:p w14:paraId="07A8FECB" w14:textId="77777777" w:rsidR="00533C14" w:rsidRPr="00533C14" w:rsidRDefault="00533C14" w:rsidP="00533C14">
            <w:r w:rsidRPr="00533C14">
              <w:t>3 years after the end of the programme or participant’s last involvement</w:t>
            </w:r>
          </w:p>
        </w:tc>
        <w:tc>
          <w:tcPr>
            <w:tcW w:w="0" w:type="auto"/>
            <w:vAlign w:val="center"/>
            <w:hideMark/>
          </w:tcPr>
          <w:p w14:paraId="79435D5A" w14:textId="77777777" w:rsidR="00533C14" w:rsidRPr="00533C14" w:rsidRDefault="00533C14" w:rsidP="00533C14">
            <w:r w:rsidRPr="00533C14">
              <w:t>To allow for programme evaluation and follow-up enquiries</w:t>
            </w:r>
          </w:p>
        </w:tc>
      </w:tr>
      <w:tr w:rsidR="00533C14" w:rsidRPr="00533C14" w14:paraId="362F65CD" w14:textId="77777777">
        <w:trPr>
          <w:tblCellSpacing w:w="15" w:type="dxa"/>
        </w:trPr>
        <w:tc>
          <w:tcPr>
            <w:tcW w:w="0" w:type="auto"/>
            <w:vAlign w:val="center"/>
            <w:hideMark/>
          </w:tcPr>
          <w:p w14:paraId="351FAD2F" w14:textId="77777777" w:rsidR="00533C14" w:rsidRPr="00533C14" w:rsidRDefault="00533C14" w:rsidP="00533C14">
            <w:r w:rsidRPr="00533C14">
              <w:rPr>
                <w:b/>
                <w:bCs/>
              </w:rPr>
              <w:t>Attendance registers</w:t>
            </w:r>
          </w:p>
        </w:tc>
        <w:tc>
          <w:tcPr>
            <w:tcW w:w="0" w:type="auto"/>
            <w:vAlign w:val="center"/>
            <w:hideMark/>
          </w:tcPr>
          <w:p w14:paraId="1B43B84C" w14:textId="77777777" w:rsidR="00533C14" w:rsidRPr="00533C14" w:rsidRDefault="00533C14" w:rsidP="00533C14">
            <w:r w:rsidRPr="00533C14">
              <w:t>3 years</w:t>
            </w:r>
          </w:p>
        </w:tc>
        <w:tc>
          <w:tcPr>
            <w:tcW w:w="0" w:type="auto"/>
            <w:vAlign w:val="center"/>
            <w:hideMark/>
          </w:tcPr>
          <w:p w14:paraId="1001F562" w14:textId="77777777" w:rsidR="00533C14" w:rsidRPr="00533C14" w:rsidRDefault="00533C14" w:rsidP="00533C14">
            <w:r w:rsidRPr="00533C14">
              <w:t>Audit and safeguarding reference</w:t>
            </w:r>
          </w:p>
        </w:tc>
      </w:tr>
      <w:tr w:rsidR="00533C14" w:rsidRPr="00533C14" w14:paraId="733C6883" w14:textId="77777777">
        <w:trPr>
          <w:tblCellSpacing w:w="15" w:type="dxa"/>
        </w:trPr>
        <w:tc>
          <w:tcPr>
            <w:tcW w:w="0" w:type="auto"/>
            <w:vAlign w:val="center"/>
            <w:hideMark/>
          </w:tcPr>
          <w:p w14:paraId="536141F6" w14:textId="77777777" w:rsidR="00533C14" w:rsidRPr="00533C14" w:rsidRDefault="00533C14" w:rsidP="00533C14">
            <w:r w:rsidRPr="00533C14">
              <w:rPr>
                <w:b/>
                <w:bCs/>
              </w:rPr>
              <w:t>Safeguarding or child protection records</w:t>
            </w:r>
          </w:p>
        </w:tc>
        <w:tc>
          <w:tcPr>
            <w:tcW w:w="0" w:type="auto"/>
            <w:vAlign w:val="center"/>
            <w:hideMark/>
          </w:tcPr>
          <w:p w14:paraId="552C6810" w14:textId="77777777" w:rsidR="00533C14" w:rsidRPr="00533C14" w:rsidRDefault="00533C14" w:rsidP="00533C14">
            <w:r w:rsidRPr="00533C14">
              <w:t>Until the young person reaches 25 years of age (or for 7 years after case closure if older)</w:t>
            </w:r>
          </w:p>
        </w:tc>
        <w:tc>
          <w:tcPr>
            <w:tcW w:w="0" w:type="auto"/>
            <w:vAlign w:val="center"/>
            <w:hideMark/>
          </w:tcPr>
          <w:p w14:paraId="23A104A8" w14:textId="77777777" w:rsidR="00533C14" w:rsidRPr="00533C14" w:rsidRDefault="00533C14" w:rsidP="00533C14">
            <w:r w:rsidRPr="00533C14">
              <w:t>In line with NSPCC and statutory safeguarding guidance</w:t>
            </w:r>
          </w:p>
        </w:tc>
      </w:tr>
      <w:tr w:rsidR="00533C14" w:rsidRPr="00533C14" w14:paraId="53DF8430" w14:textId="77777777">
        <w:trPr>
          <w:tblCellSpacing w:w="15" w:type="dxa"/>
        </w:trPr>
        <w:tc>
          <w:tcPr>
            <w:tcW w:w="0" w:type="auto"/>
            <w:vAlign w:val="center"/>
            <w:hideMark/>
          </w:tcPr>
          <w:p w14:paraId="6F824E5E" w14:textId="77777777" w:rsidR="00533C14" w:rsidRPr="00533C14" w:rsidRDefault="00533C14" w:rsidP="00533C14">
            <w:r w:rsidRPr="00533C14">
              <w:rPr>
                <w:b/>
                <w:bCs/>
              </w:rPr>
              <w:t>Incident reports (non-safeguarding)</w:t>
            </w:r>
          </w:p>
        </w:tc>
        <w:tc>
          <w:tcPr>
            <w:tcW w:w="0" w:type="auto"/>
            <w:vAlign w:val="center"/>
            <w:hideMark/>
          </w:tcPr>
          <w:p w14:paraId="750551D3" w14:textId="77777777" w:rsidR="00533C14" w:rsidRPr="00533C14" w:rsidRDefault="00533C14" w:rsidP="00533C14">
            <w:r w:rsidRPr="00533C14">
              <w:t>3 years after incident</w:t>
            </w:r>
          </w:p>
        </w:tc>
        <w:tc>
          <w:tcPr>
            <w:tcW w:w="0" w:type="auto"/>
            <w:vAlign w:val="center"/>
            <w:hideMark/>
          </w:tcPr>
          <w:p w14:paraId="6820F839" w14:textId="77777777" w:rsidR="00533C14" w:rsidRPr="00533C14" w:rsidRDefault="00533C14" w:rsidP="00533C14">
            <w:r w:rsidRPr="00533C14">
              <w:t>Legal limitation period for claims</w:t>
            </w:r>
          </w:p>
        </w:tc>
      </w:tr>
      <w:tr w:rsidR="00533C14" w:rsidRPr="00533C14" w14:paraId="207B20A2" w14:textId="77777777">
        <w:trPr>
          <w:tblCellSpacing w:w="15" w:type="dxa"/>
        </w:trPr>
        <w:tc>
          <w:tcPr>
            <w:tcW w:w="0" w:type="auto"/>
            <w:vAlign w:val="center"/>
            <w:hideMark/>
          </w:tcPr>
          <w:p w14:paraId="40DF0B57" w14:textId="77777777" w:rsidR="00533C14" w:rsidRPr="00533C14" w:rsidRDefault="00533C14" w:rsidP="00533C14">
            <w:r w:rsidRPr="00533C14">
              <w:rPr>
                <w:b/>
                <w:bCs/>
              </w:rPr>
              <w:t>Photographs and videos</w:t>
            </w:r>
          </w:p>
        </w:tc>
        <w:tc>
          <w:tcPr>
            <w:tcW w:w="0" w:type="auto"/>
            <w:vAlign w:val="center"/>
            <w:hideMark/>
          </w:tcPr>
          <w:p w14:paraId="47C2E3A5" w14:textId="77777777" w:rsidR="00533C14" w:rsidRPr="00533C14" w:rsidRDefault="00533C14" w:rsidP="00533C14">
            <w:r w:rsidRPr="00533C14">
              <w:t>Until consent expires or is withdrawn, or 3 years after use</w:t>
            </w:r>
          </w:p>
        </w:tc>
        <w:tc>
          <w:tcPr>
            <w:tcW w:w="0" w:type="auto"/>
            <w:vAlign w:val="center"/>
            <w:hideMark/>
          </w:tcPr>
          <w:p w14:paraId="1AA3FF05" w14:textId="77777777" w:rsidR="00533C14" w:rsidRPr="00533C14" w:rsidRDefault="00533C14" w:rsidP="00533C14">
            <w:r w:rsidRPr="00533C14">
              <w:t>Must be securely deleted when consent is withdrawn</w:t>
            </w:r>
          </w:p>
        </w:tc>
      </w:tr>
      <w:tr w:rsidR="00533C14" w:rsidRPr="00533C14" w14:paraId="345DC7DA" w14:textId="77777777">
        <w:trPr>
          <w:tblCellSpacing w:w="15" w:type="dxa"/>
        </w:trPr>
        <w:tc>
          <w:tcPr>
            <w:tcW w:w="0" w:type="auto"/>
            <w:vAlign w:val="center"/>
            <w:hideMark/>
          </w:tcPr>
          <w:p w14:paraId="2E9FBB13" w14:textId="77777777" w:rsidR="00533C14" w:rsidRPr="00533C14" w:rsidRDefault="00533C14" w:rsidP="00533C14">
            <w:r w:rsidRPr="00533C14">
              <w:rPr>
                <w:b/>
                <w:bCs/>
              </w:rPr>
              <w:t>Emails and correspondence</w:t>
            </w:r>
          </w:p>
        </w:tc>
        <w:tc>
          <w:tcPr>
            <w:tcW w:w="0" w:type="auto"/>
            <w:vAlign w:val="center"/>
            <w:hideMark/>
          </w:tcPr>
          <w:p w14:paraId="40D881AC" w14:textId="77777777" w:rsidR="00533C14" w:rsidRPr="00533C14" w:rsidRDefault="00533C14" w:rsidP="00533C14">
            <w:r w:rsidRPr="00533C14">
              <w:t>2 years after the communication unless part of a safeguarding record</w:t>
            </w:r>
          </w:p>
        </w:tc>
        <w:tc>
          <w:tcPr>
            <w:tcW w:w="0" w:type="auto"/>
            <w:vAlign w:val="center"/>
            <w:hideMark/>
          </w:tcPr>
          <w:p w14:paraId="4CF37F0C" w14:textId="77777777" w:rsidR="00533C14" w:rsidRPr="00533C14" w:rsidRDefault="00533C14" w:rsidP="00533C14">
            <w:r w:rsidRPr="00533C14">
              <w:t>Routine operational data</w:t>
            </w:r>
          </w:p>
        </w:tc>
      </w:tr>
      <w:tr w:rsidR="00533C14" w:rsidRPr="00533C14" w14:paraId="2D69F1B2" w14:textId="77777777">
        <w:trPr>
          <w:tblCellSpacing w:w="15" w:type="dxa"/>
        </w:trPr>
        <w:tc>
          <w:tcPr>
            <w:tcW w:w="0" w:type="auto"/>
            <w:vAlign w:val="center"/>
            <w:hideMark/>
          </w:tcPr>
          <w:p w14:paraId="0CC8BD88" w14:textId="77777777" w:rsidR="00533C14" w:rsidRPr="00533C14" w:rsidRDefault="00533C14" w:rsidP="00533C14">
            <w:r w:rsidRPr="00533C14">
              <w:rPr>
                <w:b/>
                <w:bCs/>
              </w:rPr>
              <w:t>Staff and volunteer records</w:t>
            </w:r>
          </w:p>
        </w:tc>
        <w:tc>
          <w:tcPr>
            <w:tcW w:w="0" w:type="auto"/>
            <w:vAlign w:val="center"/>
            <w:hideMark/>
          </w:tcPr>
          <w:p w14:paraId="0C1BBAE3" w14:textId="77777777" w:rsidR="00533C14" w:rsidRPr="00533C14" w:rsidRDefault="00533C14" w:rsidP="00533C14">
            <w:r w:rsidRPr="00533C14">
              <w:t>6 years after employment/volunteering ends</w:t>
            </w:r>
          </w:p>
        </w:tc>
        <w:tc>
          <w:tcPr>
            <w:tcW w:w="0" w:type="auto"/>
            <w:vAlign w:val="center"/>
            <w:hideMark/>
          </w:tcPr>
          <w:p w14:paraId="1EDD5DF3" w14:textId="77777777" w:rsidR="00533C14" w:rsidRPr="00533C14" w:rsidRDefault="00533C14" w:rsidP="00533C14">
            <w:r w:rsidRPr="00533C14">
              <w:t>Employment law compliance</w:t>
            </w:r>
          </w:p>
        </w:tc>
      </w:tr>
      <w:tr w:rsidR="00533C14" w:rsidRPr="00533C14" w14:paraId="67FC2D23" w14:textId="77777777">
        <w:trPr>
          <w:tblCellSpacing w:w="15" w:type="dxa"/>
        </w:trPr>
        <w:tc>
          <w:tcPr>
            <w:tcW w:w="0" w:type="auto"/>
            <w:vAlign w:val="center"/>
            <w:hideMark/>
          </w:tcPr>
          <w:p w14:paraId="5469F8E7" w14:textId="77777777" w:rsidR="00533C14" w:rsidRPr="00533C14" w:rsidRDefault="00533C14" w:rsidP="00533C14">
            <w:r w:rsidRPr="00533C14">
              <w:rPr>
                <w:b/>
                <w:bCs/>
              </w:rPr>
              <w:t>Financial records (invoices, receipts, grant documentation)</w:t>
            </w:r>
          </w:p>
        </w:tc>
        <w:tc>
          <w:tcPr>
            <w:tcW w:w="0" w:type="auto"/>
            <w:vAlign w:val="center"/>
            <w:hideMark/>
          </w:tcPr>
          <w:p w14:paraId="007E9B73" w14:textId="77777777" w:rsidR="00533C14" w:rsidRPr="00533C14" w:rsidRDefault="00533C14" w:rsidP="00533C14">
            <w:r w:rsidRPr="00533C14">
              <w:t>6 years from end of financial year</w:t>
            </w:r>
          </w:p>
        </w:tc>
        <w:tc>
          <w:tcPr>
            <w:tcW w:w="0" w:type="auto"/>
            <w:vAlign w:val="center"/>
            <w:hideMark/>
          </w:tcPr>
          <w:p w14:paraId="141E42FA" w14:textId="77777777" w:rsidR="00533C14" w:rsidRPr="00533C14" w:rsidRDefault="00533C14" w:rsidP="00533C14">
            <w:r w:rsidRPr="00533C14">
              <w:t>HMRC requirement</w:t>
            </w:r>
          </w:p>
        </w:tc>
      </w:tr>
    </w:tbl>
    <w:p w14:paraId="505C8586" w14:textId="77777777" w:rsidR="00533C14" w:rsidRPr="00533C14" w:rsidRDefault="00533C14" w:rsidP="00533C14">
      <w:r w:rsidRPr="00533C14">
        <w:pict w14:anchorId="536607B2">
          <v:rect id="_x0000_i1103" style="width:0;height:1.5pt" o:hralign="center" o:hrstd="t" o:hr="t" fillcolor="#a0a0a0" stroked="f"/>
        </w:pict>
      </w:r>
    </w:p>
    <w:p w14:paraId="087B33C2" w14:textId="77777777" w:rsidR="00533C14" w:rsidRPr="00533C14" w:rsidRDefault="00533C14" w:rsidP="00533C14">
      <w:pPr>
        <w:rPr>
          <w:b/>
          <w:bCs/>
        </w:rPr>
      </w:pPr>
      <w:r w:rsidRPr="00533C14">
        <w:rPr>
          <w:b/>
          <w:bCs/>
        </w:rPr>
        <w:t>7. Secure Storage and Deletion</w:t>
      </w:r>
    </w:p>
    <w:p w14:paraId="797D574A" w14:textId="77777777" w:rsidR="00533C14" w:rsidRPr="00533C14" w:rsidRDefault="00533C14" w:rsidP="00533C14">
      <w:pPr>
        <w:numPr>
          <w:ilvl w:val="0"/>
          <w:numId w:val="5"/>
        </w:numPr>
      </w:pPr>
      <w:r w:rsidRPr="00533C14">
        <w:rPr>
          <w:b/>
          <w:bCs/>
        </w:rPr>
        <w:t>Electronic data</w:t>
      </w:r>
      <w:r w:rsidRPr="00533C14">
        <w:t xml:space="preserve"> is stored on password-protected systems with access restricted to authorised personnel.</w:t>
      </w:r>
    </w:p>
    <w:p w14:paraId="588AAC77" w14:textId="77777777" w:rsidR="00533C14" w:rsidRPr="00533C14" w:rsidRDefault="00533C14" w:rsidP="00533C14">
      <w:pPr>
        <w:numPr>
          <w:ilvl w:val="0"/>
          <w:numId w:val="5"/>
        </w:numPr>
      </w:pPr>
      <w:r w:rsidRPr="00533C14">
        <w:rPr>
          <w:b/>
          <w:bCs/>
        </w:rPr>
        <w:t>Paper records</w:t>
      </w:r>
      <w:r w:rsidRPr="00533C14">
        <w:t xml:space="preserve"> are stored in locked filing cabinets within secure premises.</w:t>
      </w:r>
    </w:p>
    <w:p w14:paraId="5B07315D" w14:textId="77777777" w:rsidR="00533C14" w:rsidRPr="00533C14" w:rsidRDefault="00533C14" w:rsidP="00533C14">
      <w:pPr>
        <w:numPr>
          <w:ilvl w:val="0"/>
          <w:numId w:val="5"/>
        </w:numPr>
      </w:pPr>
      <w:r w:rsidRPr="00533C14">
        <w:rPr>
          <w:b/>
          <w:bCs/>
        </w:rPr>
        <w:t>Deletion methods:</w:t>
      </w:r>
    </w:p>
    <w:p w14:paraId="3DFD9859" w14:textId="77777777" w:rsidR="00533C14" w:rsidRPr="00533C14" w:rsidRDefault="00533C14" w:rsidP="00533C14">
      <w:pPr>
        <w:numPr>
          <w:ilvl w:val="1"/>
          <w:numId w:val="5"/>
        </w:numPr>
      </w:pPr>
      <w:r w:rsidRPr="00533C14">
        <w:t>Electronic data: permanently deleted from systems and backups.</w:t>
      </w:r>
    </w:p>
    <w:p w14:paraId="44CA66D3" w14:textId="77777777" w:rsidR="00533C14" w:rsidRPr="00533C14" w:rsidRDefault="00533C14" w:rsidP="00533C14">
      <w:pPr>
        <w:numPr>
          <w:ilvl w:val="1"/>
          <w:numId w:val="5"/>
        </w:numPr>
      </w:pPr>
      <w:r w:rsidRPr="00533C14">
        <w:t>Paper data: shredded or destroyed by a secure, GDPR-compliant service.</w:t>
      </w:r>
    </w:p>
    <w:p w14:paraId="23D773FC" w14:textId="77777777" w:rsidR="00533C14" w:rsidRPr="00533C14" w:rsidRDefault="00533C14" w:rsidP="00533C14">
      <w:pPr>
        <w:numPr>
          <w:ilvl w:val="0"/>
          <w:numId w:val="5"/>
        </w:numPr>
      </w:pPr>
      <w:r w:rsidRPr="00533C14">
        <w:t xml:space="preserve">A </w:t>
      </w:r>
      <w:r w:rsidRPr="00533C14">
        <w:rPr>
          <w:b/>
          <w:bCs/>
        </w:rPr>
        <w:t>deletion log</w:t>
      </w:r>
      <w:r w:rsidRPr="00533C14">
        <w:t xml:space="preserve"> is maintained to record when and how data is disposed of.</w:t>
      </w:r>
    </w:p>
    <w:p w14:paraId="1B896164" w14:textId="77777777" w:rsidR="00533C14" w:rsidRPr="00533C14" w:rsidRDefault="00533C14" w:rsidP="00533C14">
      <w:r w:rsidRPr="00533C14">
        <w:pict w14:anchorId="0C4227D6">
          <v:rect id="_x0000_i1104" style="width:0;height:1.5pt" o:hralign="center" o:hrstd="t" o:hr="t" fillcolor="#a0a0a0" stroked="f"/>
        </w:pict>
      </w:r>
    </w:p>
    <w:p w14:paraId="006A00D0" w14:textId="77777777" w:rsidR="00533C14" w:rsidRPr="00533C14" w:rsidRDefault="00533C14" w:rsidP="00533C14">
      <w:pPr>
        <w:rPr>
          <w:b/>
          <w:bCs/>
        </w:rPr>
      </w:pPr>
      <w:r w:rsidRPr="00533C14">
        <w:rPr>
          <w:b/>
          <w:bCs/>
        </w:rPr>
        <w:t>8. Safeguarding and Vulnerable Young People</w:t>
      </w:r>
    </w:p>
    <w:p w14:paraId="7DADE9F9" w14:textId="77777777" w:rsidR="00533C14" w:rsidRPr="00533C14" w:rsidRDefault="00533C14" w:rsidP="00533C14">
      <w:pPr>
        <w:numPr>
          <w:ilvl w:val="0"/>
          <w:numId w:val="6"/>
        </w:numPr>
      </w:pPr>
      <w:r w:rsidRPr="00533C14">
        <w:t xml:space="preserve">Records concerning vulnerable young people are treated as </w:t>
      </w:r>
      <w:r w:rsidRPr="00533C14">
        <w:rPr>
          <w:b/>
          <w:bCs/>
        </w:rPr>
        <w:t>highly confidential</w:t>
      </w:r>
      <w:r w:rsidRPr="00533C14">
        <w:t>.</w:t>
      </w:r>
    </w:p>
    <w:p w14:paraId="13F6016D" w14:textId="77777777" w:rsidR="00533C14" w:rsidRPr="00533C14" w:rsidRDefault="00533C14" w:rsidP="00533C14">
      <w:pPr>
        <w:numPr>
          <w:ilvl w:val="0"/>
          <w:numId w:val="6"/>
        </w:numPr>
      </w:pPr>
      <w:r w:rsidRPr="00533C14">
        <w:t>Access is restricted to safeguarding leads and relevant senior staff only.</w:t>
      </w:r>
    </w:p>
    <w:p w14:paraId="5FA18026" w14:textId="77777777" w:rsidR="00533C14" w:rsidRPr="00533C14" w:rsidRDefault="00533C14" w:rsidP="00533C14">
      <w:pPr>
        <w:numPr>
          <w:ilvl w:val="0"/>
          <w:numId w:val="6"/>
        </w:numPr>
      </w:pPr>
      <w:r w:rsidRPr="00533C14">
        <w:t>Data sharing will only occur in accordance with safeguarding procedures and statutory duties.</w:t>
      </w:r>
    </w:p>
    <w:p w14:paraId="51BE0B91" w14:textId="77777777" w:rsidR="00533C14" w:rsidRPr="00533C14" w:rsidRDefault="00533C14" w:rsidP="00533C14">
      <w:pPr>
        <w:numPr>
          <w:ilvl w:val="0"/>
          <w:numId w:val="6"/>
        </w:numPr>
      </w:pPr>
      <w:r w:rsidRPr="00533C14">
        <w:t>Extended retention (to age 25) applies to ensure protection and reference in potential future safeguarding reviews.</w:t>
      </w:r>
    </w:p>
    <w:p w14:paraId="02CEAABF" w14:textId="77777777" w:rsidR="00533C14" w:rsidRPr="00533C14" w:rsidRDefault="00533C14" w:rsidP="00533C14">
      <w:r w:rsidRPr="00533C14">
        <w:pict w14:anchorId="60FEECFF">
          <v:rect id="_x0000_i1105" style="width:0;height:1.5pt" o:hralign="center" o:hrstd="t" o:hr="t" fillcolor="#a0a0a0" stroked="f"/>
        </w:pict>
      </w:r>
    </w:p>
    <w:p w14:paraId="4D791889" w14:textId="77777777" w:rsidR="00533C14" w:rsidRPr="00533C14" w:rsidRDefault="00533C14" w:rsidP="00533C14">
      <w:pPr>
        <w:rPr>
          <w:b/>
          <w:bCs/>
        </w:rPr>
      </w:pPr>
      <w:r w:rsidRPr="00533C14">
        <w:rPr>
          <w:b/>
          <w:bCs/>
        </w:rPr>
        <w:t>9. Data Subject Rights</w:t>
      </w:r>
    </w:p>
    <w:p w14:paraId="39AF0DA0" w14:textId="77777777" w:rsidR="00533C14" w:rsidRPr="00533C14" w:rsidRDefault="00533C14" w:rsidP="00533C14">
      <w:r w:rsidRPr="00533C14">
        <w:t>Individuals (or parents/guardians for under-18s) have the right to:</w:t>
      </w:r>
    </w:p>
    <w:p w14:paraId="0BAA730B" w14:textId="77777777" w:rsidR="00533C14" w:rsidRPr="00533C14" w:rsidRDefault="00533C14" w:rsidP="00533C14">
      <w:pPr>
        <w:numPr>
          <w:ilvl w:val="0"/>
          <w:numId w:val="7"/>
        </w:numPr>
      </w:pPr>
      <w:r w:rsidRPr="00533C14">
        <w:t>Request access to their personal data</w:t>
      </w:r>
    </w:p>
    <w:p w14:paraId="250C1E27" w14:textId="77777777" w:rsidR="00533C14" w:rsidRPr="00533C14" w:rsidRDefault="00533C14" w:rsidP="00533C14">
      <w:pPr>
        <w:numPr>
          <w:ilvl w:val="0"/>
          <w:numId w:val="7"/>
        </w:numPr>
      </w:pPr>
      <w:r w:rsidRPr="00533C14">
        <w:t>Request correction or erasure of inaccurate data</w:t>
      </w:r>
    </w:p>
    <w:p w14:paraId="5CED77A3" w14:textId="77777777" w:rsidR="00533C14" w:rsidRPr="00533C14" w:rsidRDefault="00533C14" w:rsidP="00533C14">
      <w:pPr>
        <w:numPr>
          <w:ilvl w:val="0"/>
          <w:numId w:val="7"/>
        </w:numPr>
      </w:pPr>
      <w:r w:rsidRPr="00533C14">
        <w:t>Withdraw consent for photos or communication</w:t>
      </w:r>
    </w:p>
    <w:p w14:paraId="1D138E45" w14:textId="77777777" w:rsidR="00533C14" w:rsidRPr="00533C14" w:rsidRDefault="00533C14" w:rsidP="00533C14">
      <w:pPr>
        <w:numPr>
          <w:ilvl w:val="0"/>
          <w:numId w:val="7"/>
        </w:numPr>
      </w:pPr>
      <w:r w:rsidRPr="00533C14">
        <w:t>Request information about how long their data will be retained</w:t>
      </w:r>
    </w:p>
    <w:p w14:paraId="1245AFAE" w14:textId="77777777" w:rsidR="00533C14" w:rsidRPr="00533C14" w:rsidRDefault="00533C14" w:rsidP="00533C14">
      <w:r w:rsidRPr="00533C14">
        <w:t xml:space="preserve">Requests will be handled within one month, in line with the organisation’s </w:t>
      </w:r>
      <w:r w:rsidRPr="00533C14">
        <w:rPr>
          <w:b/>
          <w:bCs/>
        </w:rPr>
        <w:t>Data Protection Policy</w:t>
      </w:r>
      <w:r w:rsidRPr="00533C14">
        <w:t>.</w:t>
      </w:r>
    </w:p>
    <w:p w14:paraId="16716C0C" w14:textId="77777777" w:rsidR="00533C14" w:rsidRPr="00533C14" w:rsidRDefault="00533C14" w:rsidP="00533C14">
      <w:r w:rsidRPr="00533C14">
        <w:pict w14:anchorId="2ED6CB94">
          <v:rect id="_x0000_i1106" style="width:0;height:1.5pt" o:hralign="center" o:hrstd="t" o:hr="t" fillcolor="#a0a0a0" stroked="f"/>
        </w:pict>
      </w:r>
    </w:p>
    <w:p w14:paraId="184AC6ED" w14:textId="77777777" w:rsidR="00533C14" w:rsidRPr="00533C14" w:rsidRDefault="00533C14" w:rsidP="00533C14">
      <w:pPr>
        <w:rPr>
          <w:b/>
          <w:bCs/>
        </w:rPr>
      </w:pPr>
      <w:r w:rsidRPr="00533C14">
        <w:rPr>
          <w:b/>
          <w:bCs/>
        </w:rPr>
        <w:t>10. Review and Compliance</w:t>
      </w:r>
    </w:p>
    <w:p w14:paraId="07BE3F47" w14:textId="77777777" w:rsidR="00533C14" w:rsidRPr="00533C14" w:rsidRDefault="00533C14" w:rsidP="00533C14">
      <w:r w:rsidRPr="00533C14">
        <w:t>This policy will be reviewed annually or sooner if required by changes in legislation or organisational practice.</w:t>
      </w:r>
      <w:r w:rsidRPr="00533C14">
        <w:br/>
        <w:t>Failure to follow this policy may result in disciplinary action.</w:t>
      </w:r>
    </w:p>
    <w:p w14:paraId="288E3DB8" w14:textId="77777777" w:rsidR="00533C14" w:rsidRPr="00533C14" w:rsidRDefault="00533C14" w:rsidP="00533C14">
      <w:r w:rsidRPr="00533C14">
        <w:pict w14:anchorId="014CB78C">
          <v:rect id="_x0000_i1107" style="width:0;height:1.5pt" o:hralign="center" o:hrstd="t" o:hr="t" fillcolor="#a0a0a0" stroked="f"/>
        </w:pict>
      </w:r>
    </w:p>
    <w:p w14:paraId="73E274C9" w14:textId="77777777" w:rsidR="00533C14" w:rsidRPr="00533C14" w:rsidRDefault="00533C14" w:rsidP="00533C14">
      <w:pPr>
        <w:rPr>
          <w:b/>
          <w:bCs/>
        </w:rPr>
      </w:pPr>
      <w:r w:rsidRPr="00533C14">
        <w:rPr>
          <w:b/>
          <w:bCs/>
        </w:rPr>
        <w:t>Version Control</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97"/>
        <w:gridCol w:w="1308"/>
        <w:gridCol w:w="1669"/>
        <w:gridCol w:w="1867"/>
      </w:tblGrid>
      <w:tr w:rsidR="00533C14" w:rsidRPr="00533C14" w14:paraId="13EEA04B" w14:textId="77777777">
        <w:trPr>
          <w:tblHeader/>
          <w:tblCellSpacing w:w="15" w:type="dxa"/>
        </w:trPr>
        <w:tc>
          <w:tcPr>
            <w:tcW w:w="0" w:type="auto"/>
            <w:vAlign w:val="center"/>
            <w:hideMark/>
          </w:tcPr>
          <w:p w14:paraId="51A74505" w14:textId="77777777" w:rsidR="00533C14" w:rsidRPr="00533C14" w:rsidRDefault="00533C14" w:rsidP="00533C14">
            <w:pPr>
              <w:rPr>
                <w:b/>
                <w:bCs/>
              </w:rPr>
            </w:pPr>
            <w:r w:rsidRPr="00533C14">
              <w:rPr>
                <w:b/>
                <w:bCs/>
              </w:rPr>
              <w:t>Version</w:t>
            </w:r>
          </w:p>
        </w:tc>
        <w:tc>
          <w:tcPr>
            <w:tcW w:w="0" w:type="auto"/>
            <w:vAlign w:val="center"/>
            <w:hideMark/>
          </w:tcPr>
          <w:p w14:paraId="190FB05A" w14:textId="77777777" w:rsidR="00533C14" w:rsidRPr="00533C14" w:rsidRDefault="00533C14" w:rsidP="00533C14">
            <w:pPr>
              <w:rPr>
                <w:b/>
                <w:bCs/>
              </w:rPr>
            </w:pPr>
            <w:r w:rsidRPr="00533C14">
              <w:rPr>
                <w:b/>
                <w:bCs/>
              </w:rPr>
              <w:t>Date</w:t>
            </w:r>
          </w:p>
        </w:tc>
        <w:tc>
          <w:tcPr>
            <w:tcW w:w="0" w:type="auto"/>
            <w:vAlign w:val="center"/>
            <w:hideMark/>
          </w:tcPr>
          <w:p w14:paraId="09ED36E1" w14:textId="77777777" w:rsidR="00533C14" w:rsidRPr="00533C14" w:rsidRDefault="00533C14" w:rsidP="00533C14">
            <w:pPr>
              <w:rPr>
                <w:b/>
                <w:bCs/>
              </w:rPr>
            </w:pPr>
            <w:r w:rsidRPr="00533C14">
              <w:rPr>
                <w:b/>
                <w:bCs/>
              </w:rPr>
              <w:t>Changes Made</w:t>
            </w:r>
          </w:p>
        </w:tc>
        <w:tc>
          <w:tcPr>
            <w:tcW w:w="0" w:type="auto"/>
            <w:vAlign w:val="center"/>
            <w:hideMark/>
          </w:tcPr>
          <w:p w14:paraId="6C5F0278" w14:textId="77777777" w:rsidR="00533C14" w:rsidRPr="00533C14" w:rsidRDefault="00533C14" w:rsidP="00533C14">
            <w:pPr>
              <w:rPr>
                <w:b/>
                <w:bCs/>
              </w:rPr>
            </w:pPr>
            <w:r w:rsidRPr="00533C14">
              <w:rPr>
                <w:b/>
                <w:bCs/>
              </w:rPr>
              <w:t>Approved By</w:t>
            </w:r>
          </w:p>
        </w:tc>
      </w:tr>
      <w:tr w:rsidR="00533C14" w:rsidRPr="00533C14" w14:paraId="50DF10B7" w14:textId="77777777">
        <w:trPr>
          <w:tblCellSpacing w:w="15" w:type="dxa"/>
        </w:trPr>
        <w:tc>
          <w:tcPr>
            <w:tcW w:w="0" w:type="auto"/>
            <w:vAlign w:val="center"/>
            <w:hideMark/>
          </w:tcPr>
          <w:p w14:paraId="448829E6" w14:textId="77777777" w:rsidR="00533C14" w:rsidRPr="00533C14" w:rsidRDefault="00533C14" w:rsidP="00533C14">
            <w:r w:rsidRPr="00533C14">
              <w:t>1.0</w:t>
            </w:r>
          </w:p>
        </w:tc>
        <w:tc>
          <w:tcPr>
            <w:tcW w:w="0" w:type="auto"/>
            <w:vAlign w:val="center"/>
            <w:hideMark/>
          </w:tcPr>
          <w:p w14:paraId="36BC2F6D" w14:textId="77777777" w:rsidR="00533C14" w:rsidRPr="00533C14" w:rsidRDefault="00533C14" w:rsidP="00533C14">
            <w:r w:rsidRPr="00533C14">
              <w:t>[Insert date]</w:t>
            </w:r>
          </w:p>
        </w:tc>
        <w:tc>
          <w:tcPr>
            <w:tcW w:w="0" w:type="auto"/>
            <w:vAlign w:val="center"/>
            <w:hideMark/>
          </w:tcPr>
          <w:p w14:paraId="6C743E63" w14:textId="77777777" w:rsidR="00533C14" w:rsidRPr="00533C14" w:rsidRDefault="00533C14" w:rsidP="00533C14">
            <w:r w:rsidRPr="00533C14">
              <w:t>Initial issue</w:t>
            </w:r>
          </w:p>
        </w:tc>
        <w:tc>
          <w:tcPr>
            <w:tcW w:w="0" w:type="auto"/>
            <w:vAlign w:val="center"/>
            <w:hideMark/>
          </w:tcPr>
          <w:p w14:paraId="428A5B58" w14:textId="77777777" w:rsidR="00533C14" w:rsidRPr="00533C14" w:rsidRDefault="00533C14" w:rsidP="00533C14">
            <w:r w:rsidRPr="00533C14">
              <w:t>[Director’s name]</w:t>
            </w:r>
          </w:p>
        </w:tc>
      </w:tr>
    </w:tbl>
    <w:p w14:paraId="18911CD7" w14:textId="77777777" w:rsidR="00533C14" w:rsidRPr="00533C14" w:rsidRDefault="00533C14" w:rsidP="00533C14">
      <w:r w:rsidRPr="00533C14">
        <w:pict w14:anchorId="772A33F9">
          <v:rect id="_x0000_i1108" style="width:0;height:1.5pt" o:hralign="center" o:hrstd="t" o:hr="t" fillcolor="#a0a0a0" stroked="f"/>
        </w:pict>
      </w:r>
    </w:p>
    <w:p w14:paraId="120C2E36" w14:textId="77777777" w:rsidR="00533C14" w:rsidRPr="00533C14" w:rsidRDefault="00533C14" w:rsidP="00533C14">
      <w:r w:rsidRPr="00533C14">
        <w:t xml:space="preserve">Would you like me to also provide a </w:t>
      </w:r>
      <w:r w:rsidRPr="00533C14">
        <w:rPr>
          <w:b/>
          <w:bCs/>
        </w:rPr>
        <w:t>shorter “Retention Schedule Summary Table”</w:t>
      </w:r>
      <w:r w:rsidRPr="00533C14">
        <w:t xml:space="preserve"> (for internal reference and staff training), or would you prefer to keep just the full policy version above?</w:t>
      </w:r>
      <w:r w:rsidRPr="00533C14">
        <w:br/>
        <w:t xml:space="preserve">I can also format this into a </w:t>
      </w:r>
      <w:r w:rsidRPr="00533C14">
        <w:rPr>
          <w:b/>
          <w:bCs/>
        </w:rPr>
        <w:t>Word (.docx)</w:t>
      </w:r>
      <w:r w:rsidRPr="00533C14">
        <w:t xml:space="preserve"> or </w:t>
      </w:r>
      <w:r w:rsidRPr="00533C14">
        <w:rPr>
          <w:b/>
          <w:bCs/>
        </w:rPr>
        <w:t>PDF</w:t>
      </w:r>
      <w:r w:rsidRPr="00533C14">
        <w:t xml:space="preserve"> version for board approval.</w:t>
      </w:r>
    </w:p>
    <w:p w14:paraId="167044F0" w14:textId="77777777" w:rsidR="00533C14" w:rsidRDefault="00533C14"/>
    <w:sectPr w:rsidR="00533C1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6F3AF8"/>
    <w:multiLevelType w:val="multilevel"/>
    <w:tmpl w:val="10CA98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75271AE"/>
    <w:multiLevelType w:val="multilevel"/>
    <w:tmpl w:val="0616C4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8F62894"/>
    <w:multiLevelType w:val="multilevel"/>
    <w:tmpl w:val="CDB88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275724A"/>
    <w:multiLevelType w:val="multilevel"/>
    <w:tmpl w:val="A790A8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AD5433F"/>
    <w:multiLevelType w:val="multilevel"/>
    <w:tmpl w:val="01D6D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2AF7BB6"/>
    <w:multiLevelType w:val="multilevel"/>
    <w:tmpl w:val="907C8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8A93115"/>
    <w:multiLevelType w:val="multilevel"/>
    <w:tmpl w:val="5498B7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3837961">
    <w:abstractNumId w:val="6"/>
  </w:num>
  <w:num w:numId="2" w16cid:durableId="1417823235">
    <w:abstractNumId w:val="4"/>
  </w:num>
  <w:num w:numId="3" w16cid:durableId="521015678">
    <w:abstractNumId w:val="3"/>
  </w:num>
  <w:num w:numId="4" w16cid:durableId="265581612">
    <w:abstractNumId w:val="1"/>
  </w:num>
  <w:num w:numId="5" w16cid:durableId="1136295213">
    <w:abstractNumId w:val="0"/>
  </w:num>
  <w:num w:numId="6" w16cid:durableId="814251638">
    <w:abstractNumId w:val="5"/>
  </w:num>
  <w:num w:numId="7" w16cid:durableId="71782548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3C14"/>
    <w:rsid w:val="003370AC"/>
    <w:rsid w:val="00533C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91D26"/>
  <w15:chartTrackingRefBased/>
  <w15:docId w15:val="{E4CB40D6-E6E0-4728-9B2C-0A8C45E603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33C1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33C1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33C1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33C1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33C1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33C1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33C1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33C1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33C1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33C1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33C1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33C1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33C1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33C1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33C1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33C1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33C1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33C14"/>
    <w:rPr>
      <w:rFonts w:eastAsiaTheme="majorEastAsia" w:cstheme="majorBidi"/>
      <w:color w:val="272727" w:themeColor="text1" w:themeTint="D8"/>
    </w:rPr>
  </w:style>
  <w:style w:type="paragraph" w:styleId="Title">
    <w:name w:val="Title"/>
    <w:basedOn w:val="Normal"/>
    <w:next w:val="Normal"/>
    <w:link w:val="TitleChar"/>
    <w:uiPriority w:val="10"/>
    <w:qFormat/>
    <w:rsid w:val="00533C1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33C1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33C1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33C1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33C14"/>
    <w:pPr>
      <w:spacing w:before="160"/>
      <w:jc w:val="center"/>
    </w:pPr>
    <w:rPr>
      <w:i/>
      <w:iCs/>
      <w:color w:val="404040" w:themeColor="text1" w:themeTint="BF"/>
    </w:rPr>
  </w:style>
  <w:style w:type="character" w:customStyle="1" w:styleId="QuoteChar">
    <w:name w:val="Quote Char"/>
    <w:basedOn w:val="DefaultParagraphFont"/>
    <w:link w:val="Quote"/>
    <w:uiPriority w:val="29"/>
    <w:rsid w:val="00533C14"/>
    <w:rPr>
      <w:i/>
      <w:iCs/>
      <w:color w:val="404040" w:themeColor="text1" w:themeTint="BF"/>
    </w:rPr>
  </w:style>
  <w:style w:type="paragraph" w:styleId="ListParagraph">
    <w:name w:val="List Paragraph"/>
    <w:basedOn w:val="Normal"/>
    <w:uiPriority w:val="34"/>
    <w:qFormat/>
    <w:rsid w:val="00533C14"/>
    <w:pPr>
      <w:ind w:left="720"/>
      <w:contextualSpacing/>
    </w:pPr>
  </w:style>
  <w:style w:type="character" w:styleId="IntenseEmphasis">
    <w:name w:val="Intense Emphasis"/>
    <w:basedOn w:val="DefaultParagraphFont"/>
    <w:uiPriority w:val="21"/>
    <w:qFormat/>
    <w:rsid w:val="00533C14"/>
    <w:rPr>
      <w:i/>
      <w:iCs/>
      <w:color w:val="0F4761" w:themeColor="accent1" w:themeShade="BF"/>
    </w:rPr>
  </w:style>
  <w:style w:type="paragraph" w:styleId="IntenseQuote">
    <w:name w:val="Intense Quote"/>
    <w:basedOn w:val="Normal"/>
    <w:next w:val="Normal"/>
    <w:link w:val="IntenseQuoteChar"/>
    <w:uiPriority w:val="30"/>
    <w:qFormat/>
    <w:rsid w:val="00533C1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33C14"/>
    <w:rPr>
      <w:i/>
      <w:iCs/>
      <w:color w:val="0F4761" w:themeColor="accent1" w:themeShade="BF"/>
    </w:rPr>
  </w:style>
  <w:style w:type="character" w:styleId="IntenseReference">
    <w:name w:val="Intense Reference"/>
    <w:basedOn w:val="DefaultParagraphFont"/>
    <w:uiPriority w:val="32"/>
    <w:qFormat/>
    <w:rsid w:val="00533C1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728</Words>
  <Characters>4153</Characters>
  <Application>Microsoft Office Word</Application>
  <DocSecurity>0</DocSecurity>
  <Lines>34</Lines>
  <Paragraphs>9</Paragraphs>
  <ScaleCrop>false</ScaleCrop>
  <Company/>
  <LinksUpToDate>false</LinksUpToDate>
  <CharactersWithSpaces>4872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 Phillips</dc:creator>
  <cp:keywords/>
  <dc:description/>
  <cp:lastModifiedBy>Anthony Phillips</cp:lastModifiedBy>
  <cp:revision>1</cp:revision>
  <dcterms:created xsi:type="dcterms:W3CDTF">2025-10-13T10:25:00Z</dcterms:created>
  <dcterms:modified xsi:type="dcterms:W3CDTF">2025-10-13T10:25:00Z</dcterms:modified>
</cp:coreProperties>
</file>