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A7B" w14:textId="77777777" w:rsidR="00C91BCE" w:rsidRDefault="00C91BCE" w:rsidP="00C91BCE">
      <w:pPr>
        <w:pStyle w:val="Title"/>
        <w:jc w:val="center"/>
      </w:pPr>
      <w:r>
        <w:t xml:space="preserve">Ready Rosie 2025-2026 </w:t>
      </w:r>
    </w:p>
    <w:p w14:paraId="4C76B311" w14:textId="087906DB" w:rsidR="00C91BCE" w:rsidRPr="00C91BCE" w:rsidRDefault="00C91BCE" w:rsidP="00C91BCE">
      <w:pPr>
        <w:pStyle w:val="Title"/>
        <w:jc w:val="center"/>
      </w:pPr>
      <w:r>
        <w:t xml:space="preserve">Learning &amp; Family </w:t>
      </w:r>
      <w:r>
        <w:t>Outcomes</w:t>
      </w:r>
    </w:p>
    <w:p w14:paraId="3A7FA12D" w14:textId="647250ED" w:rsidR="00427BE1" w:rsidRDefault="00321C6B" w:rsidP="00C91BCE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B09937" wp14:editId="213B29FE">
                <wp:simplePos x="0" y="0"/>
                <wp:positionH relativeFrom="column">
                  <wp:posOffset>2105025</wp:posOffset>
                </wp:positionH>
                <wp:positionV relativeFrom="page">
                  <wp:posOffset>5257800</wp:posOffset>
                </wp:positionV>
                <wp:extent cx="4010025" cy="1943100"/>
                <wp:effectExtent l="19050" t="19050" r="47625" b="38100"/>
                <wp:wrapTight wrapText="bothSides">
                  <wp:wrapPolygon edited="0">
                    <wp:start x="-103" y="-212"/>
                    <wp:lineTo x="-103" y="21812"/>
                    <wp:lineTo x="21754" y="21812"/>
                    <wp:lineTo x="21754" y="-212"/>
                    <wp:lineTo x="-103" y="-212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99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6A7D" w14:textId="6655EBB0" w:rsidR="00321C6B" w:rsidRPr="00C91BCE" w:rsidRDefault="00321C6B" w:rsidP="00C91BC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1BCE"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Learning Outcome</w:t>
                            </w:r>
                            <w:r w:rsidR="00C91BCE" w:rsidRPr="00C91BCE"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Pr="00C91BCE">
                              <w:rPr>
                                <w:rFonts w:ascii="Aptos Display" w:hAnsi="Aptos Display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C91BCE" w:rsidRPr="00C91BCE">
                              <w:rPr>
                                <w:rFonts w:ascii="Aptos Display" w:hAnsi="Aptos Display"/>
                                <w:sz w:val="32"/>
                                <w:szCs w:val="32"/>
                                <w:u w:val="single"/>
                              </w:rPr>
                              <w:t xml:space="preserve">       </w:t>
                            </w:r>
                            <w:r w:rsidRPr="00C91BCE">
                              <w:rPr>
                                <w:rFonts w:ascii="Aptos Display" w:hAnsi="Aptos Display"/>
                                <w:sz w:val="32"/>
                                <w:szCs w:val="32"/>
                                <w:u w:val="single"/>
                              </w:rPr>
                              <w:t xml:space="preserve">    </w:t>
                            </w:r>
                            <w:r w:rsidRPr="00C91BCE">
                              <w:rPr>
                                <w:rFonts w:ascii="Aptos Display" w:hAnsi="Aptos Display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# of Opportunities</w:t>
                            </w:r>
                          </w:p>
                          <w:p w14:paraId="48C7CC26" w14:textId="636BB307" w:rsidR="00321C6B" w:rsidRPr="00321C6B" w:rsidRDefault="00321C6B">
                            <w:pPr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</w:pP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Language and Literacy    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157</w:t>
                            </w:r>
                          </w:p>
                          <w:p w14:paraId="5FA8C106" w14:textId="310ACFC5" w:rsidR="00321C6B" w:rsidRPr="00321C6B" w:rsidRDefault="00321C6B">
                            <w:pPr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</w:pP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Math                                   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   89</w:t>
                            </w:r>
                          </w:p>
                          <w:p w14:paraId="4D3CC8B3" w14:textId="2C9EF5E7" w:rsidR="00321C6B" w:rsidRPr="00321C6B" w:rsidRDefault="00321C6B">
                            <w:pPr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</w:pP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Social Emotional         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145</w:t>
                            </w:r>
                          </w:p>
                          <w:p w14:paraId="6BAD5B0A" w14:textId="7704E222" w:rsidR="00321C6B" w:rsidRPr="00321C6B" w:rsidRDefault="00321C6B">
                            <w:pPr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</w:pP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Health and Well Being 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1BCE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21C6B">
                              <w:rPr>
                                <w:rFonts w:ascii="Aptos Display" w:hAnsi="Aptos Display"/>
                                <w:sz w:val="32"/>
                                <w:szCs w:val="32"/>
                              </w:rPr>
                              <w:t xml:space="preserve">      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9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75pt;margin-top:414pt;width:315.75pt;height:15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UjFAIAACE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" strokecolor="#09c" strokeweight="4.5pt">
                <v:textbox>
                  <w:txbxContent>
                    <w:p w14:paraId="1CCB6A7D" w14:textId="6655EBB0" w:rsidR="00321C6B" w:rsidRPr="00C91BCE" w:rsidRDefault="00321C6B" w:rsidP="00C91BCE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91BCE"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u w:val="single"/>
                        </w:rPr>
                        <w:t>Learning Outcome</w:t>
                      </w:r>
                      <w:r w:rsidR="00C91BCE" w:rsidRPr="00C91BCE"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u w:val="single"/>
                        </w:rPr>
                        <w:t>s</w:t>
                      </w:r>
                      <w:r w:rsidRPr="00C91BCE">
                        <w:rPr>
                          <w:rFonts w:ascii="Aptos Display" w:hAnsi="Aptos Display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C91BCE" w:rsidRPr="00C91BCE">
                        <w:rPr>
                          <w:rFonts w:ascii="Aptos Display" w:hAnsi="Aptos Display"/>
                          <w:sz w:val="32"/>
                          <w:szCs w:val="32"/>
                          <w:u w:val="single"/>
                        </w:rPr>
                        <w:t xml:space="preserve">       </w:t>
                      </w:r>
                      <w:r w:rsidRPr="00C91BCE">
                        <w:rPr>
                          <w:rFonts w:ascii="Aptos Display" w:hAnsi="Aptos Display"/>
                          <w:sz w:val="32"/>
                          <w:szCs w:val="32"/>
                          <w:u w:val="single"/>
                        </w:rPr>
                        <w:t xml:space="preserve">    </w:t>
                      </w:r>
                      <w:r w:rsidRPr="00C91BCE">
                        <w:rPr>
                          <w:rFonts w:ascii="Aptos Display" w:hAnsi="Aptos Display"/>
                          <w:b/>
                          <w:bCs/>
                          <w:sz w:val="32"/>
                          <w:szCs w:val="32"/>
                          <w:u w:val="single"/>
                        </w:rPr>
                        <w:t># of Opportunities</w:t>
                      </w:r>
                    </w:p>
                    <w:p w14:paraId="48C7CC26" w14:textId="636BB307" w:rsidR="00321C6B" w:rsidRPr="00321C6B" w:rsidRDefault="00321C6B">
                      <w:pPr>
                        <w:rPr>
                          <w:rFonts w:ascii="Aptos Display" w:hAnsi="Aptos Display"/>
                          <w:sz w:val="32"/>
                          <w:szCs w:val="32"/>
                        </w:rPr>
                      </w:pP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Language and Literacy    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     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157</w:t>
                      </w:r>
                    </w:p>
                    <w:p w14:paraId="5FA8C106" w14:textId="310ACFC5" w:rsidR="00321C6B" w:rsidRPr="00321C6B" w:rsidRDefault="00321C6B">
                      <w:pPr>
                        <w:rPr>
                          <w:rFonts w:ascii="Aptos Display" w:hAnsi="Aptos Display"/>
                          <w:sz w:val="32"/>
                          <w:szCs w:val="32"/>
                        </w:rPr>
                      </w:pP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Math                                   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      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   89</w:t>
                      </w:r>
                    </w:p>
                    <w:p w14:paraId="4D3CC8B3" w14:textId="2C9EF5E7" w:rsidR="00321C6B" w:rsidRPr="00321C6B" w:rsidRDefault="00321C6B">
                      <w:pPr>
                        <w:rPr>
                          <w:rFonts w:ascii="Aptos Display" w:hAnsi="Aptos Display"/>
                          <w:sz w:val="32"/>
                          <w:szCs w:val="32"/>
                        </w:rPr>
                      </w:pP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Social Emotional         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145</w:t>
                      </w:r>
                    </w:p>
                    <w:p w14:paraId="6BAD5B0A" w14:textId="7704E222" w:rsidR="00321C6B" w:rsidRPr="00321C6B" w:rsidRDefault="00321C6B">
                      <w:pPr>
                        <w:rPr>
                          <w:rFonts w:ascii="Aptos Display" w:hAnsi="Aptos Display"/>
                          <w:sz w:val="32"/>
                          <w:szCs w:val="32"/>
                        </w:rPr>
                      </w:pP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Health and Well Being 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</w:t>
                      </w:r>
                      <w:r w:rsidR="00C91BCE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</w:t>
                      </w:r>
                      <w:r w:rsidRPr="00321C6B">
                        <w:rPr>
                          <w:rFonts w:ascii="Aptos Display" w:hAnsi="Aptos Display"/>
                          <w:sz w:val="32"/>
                          <w:szCs w:val="32"/>
                        </w:rPr>
                        <w:t xml:space="preserve">      291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21C6B">
        <w:drawing>
          <wp:inline distT="0" distB="0" distL="0" distR="0" wp14:anchorId="7FED5CBD" wp14:editId="50482E61">
            <wp:extent cx="5619115" cy="3763466"/>
            <wp:effectExtent l="0" t="0" r="635" b="8890"/>
            <wp:docPr id="133821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124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6062" cy="378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5C1D" w14:textId="3AB8D09F" w:rsidR="00C91BCE" w:rsidRDefault="00C91BCE" w:rsidP="00C91BCE">
      <w:pPr>
        <w:jc w:val="center"/>
        <w:rPr>
          <w:noProof/>
        </w:rPr>
      </w:pPr>
    </w:p>
    <w:p w14:paraId="4F062910" w14:textId="5F283428" w:rsidR="00321C6B" w:rsidRDefault="00C91BCE" w:rsidP="00C91BC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F3D447A" wp14:editId="672C1B1F">
                <wp:simplePos x="0" y="0"/>
                <wp:positionH relativeFrom="page">
                  <wp:posOffset>2686050</wp:posOffset>
                </wp:positionH>
                <wp:positionV relativeFrom="paragraph">
                  <wp:posOffset>0</wp:posOffset>
                </wp:positionV>
                <wp:extent cx="5305425" cy="1403985"/>
                <wp:effectExtent l="0" t="0" r="28575" b="2730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398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D4EC" w14:textId="00DBD1E3" w:rsidR="00C91BCE" w:rsidRDefault="00321C6B" w:rsidP="00321C6B">
                            <w:pPr>
                              <w:pStyle w:val="Heading4"/>
                              <w:shd w:val="clear" w:color="auto" w:fill="FFFFFF"/>
                              <w:spacing w:before="0" w:after="0"/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 w:rsidRPr="00C91BCE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Family Outcom</w:t>
                            </w:r>
                            <w:r w:rsidR="00C91BCE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es                  </w:t>
                            </w:r>
                            <w:r w:rsidR="00C91BCE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                            </w:t>
                            </w:r>
                            <w:r w:rsidR="00C91BCE" w:rsidRPr="00C91BCE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# of Opportunities</w:t>
                            </w:r>
                            <w:r w:rsidR="00C91BCE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                                              </w:t>
                            </w:r>
                          </w:p>
                          <w:p w14:paraId="15E6B55E" w14:textId="26B44925" w:rsidR="00321C6B" w:rsidRPr="00321C6B" w:rsidRDefault="00321C6B" w:rsidP="00321C6B">
                            <w:pPr>
                              <w:pStyle w:val="Heading4"/>
                              <w:shd w:val="clear" w:color="auto" w:fill="FFFFFF"/>
                              <w:spacing w:before="0" w:after="0"/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auto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333333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Family Well-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Being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i w:val="0"/>
                                <w:iCs w:val="0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245       </w:t>
                            </w:r>
                          </w:p>
                          <w:p w14:paraId="4EC8903E" w14:textId="0262FD44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Positive Parent-Child Relationships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419       </w:t>
                            </w:r>
                          </w:p>
                          <w:p w14:paraId="7F528418" w14:textId="787C461A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Families as Lifelong Educators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421           </w:t>
                            </w:r>
                          </w:p>
                          <w:p w14:paraId="1BA28A4D" w14:textId="529A3EAB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Families as Learners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408      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2B7D7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A06FEF" w14:textId="112B3EF7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Family Engagement in Transition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7       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2B7D7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6F2F400" w14:textId="2869D863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Family Connections to Peers and Community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23     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b/>
                                <w:bCs/>
                                <w:kern w:val="0"/>
                                <w:sz w:val="32"/>
                                <w:szCs w:val="32"/>
                                <w:shd w:val="clear" w:color="auto" w:fill="2B7D7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187651D" w14:textId="0320B726" w:rsidR="00321C6B" w:rsidRPr="00321C6B" w:rsidRDefault="00321C6B" w:rsidP="00321C6B">
                            <w:pPr>
                              <w:shd w:val="clear" w:color="auto" w:fill="FFFFFF"/>
                              <w:spacing w:after="0" w:line="240" w:lineRule="auto"/>
                              <w:outlineLvl w:val="3"/>
                              <w:rPr>
                                <w:rFonts w:ascii="Aptos Display" w:eastAsia="Times New Roman" w:hAnsi="Aptos Display" w:cs="IrisUPC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21C6B">
                              <w:rPr>
                                <w:rFonts w:ascii="Aptos Display" w:eastAsia="Times New Roman" w:hAnsi="Aptos Display" w:cs="IrisUPC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Families as Advocates and Leaders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ptos Display" w:eastAsia="Times New Roman" w:hAnsi="Aptos Display" w:cs="IrisUPC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321C6B">
                              <w:rPr>
                                <w:rFonts w:ascii="Aptos Display" w:eastAsia="Times New Roman" w:hAnsi="Aptos Display" w:cs="IrisUPC"/>
                                <w:color w:val="000000" w:themeColor="text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     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D447A" id="_x0000_s1027" type="#_x0000_t202" style="position:absolute;left:0;text-align:left;margin-left:211.5pt;margin-top:0;width:41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" fillcolor="#09c" strokecolor="white [3212]">
                <v:textbox style="mso-fit-shape-to-text:t">
                  <w:txbxContent>
                    <w:p w14:paraId="6D66D4EC" w14:textId="00DBD1E3" w:rsidR="00C91BCE" w:rsidRDefault="00321C6B" w:rsidP="00321C6B">
                      <w:pPr>
                        <w:pStyle w:val="Heading4"/>
                        <w:shd w:val="clear" w:color="auto" w:fill="FFFFFF"/>
                        <w:spacing w:before="0" w:after="0"/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 w:rsidRPr="00C91BCE">
                        <w:rPr>
                          <w:rFonts w:ascii="Aptos Display" w:eastAsia="Times New Roman" w:hAnsi="Aptos Display" w:cs="IrisUPC"/>
                          <w:b/>
                          <w:bCs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>Family Outcom</w:t>
                      </w:r>
                      <w:r w:rsidR="00C91BCE">
                        <w:rPr>
                          <w:rFonts w:ascii="Aptos Display" w:eastAsia="Times New Roman" w:hAnsi="Aptos Display" w:cs="IrisUPC"/>
                          <w:b/>
                          <w:bCs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es                  </w:t>
                      </w:r>
                      <w:r w:rsidR="00C91BCE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                            </w:t>
                      </w:r>
                      <w:r w:rsidR="00C91BCE" w:rsidRPr="00C91BCE">
                        <w:rPr>
                          <w:rFonts w:ascii="Aptos Display" w:eastAsia="Times New Roman" w:hAnsi="Aptos Display" w:cs="IrisUPC"/>
                          <w:b/>
                          <w:bCs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># of Opportunities</w:t>
                      </w:r>
                      <w:r w:rsidR="00C91BCE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 </w:t>
                      </w:r>
                      <w:r w:rsidRPr="00321C6B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                                              </w:t>
                      </w:r>
                    </w:p>
                    <w:p w14:paraId="15E6B55E" w14:textId="26B44925" w:rsidR="00321C6B" w:rsidRPr="00321C6B" w:rsidRDefault="00321C6B" w:rsidP="00321C6B">
                      <w:pPr>
                        <w:pStyle w:val="Heading4"/>
                        <w:shd w:val="clear" w:color="auto" w:fill="FFFFFF"/>
                        <w:spacing w:before="0" w:after="0"/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auto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333333"/>
                          <w:kern w:val="0"/>
                          <w:sz w:val="32"/>
                          <w:szCs w:val="32"/>
                          <w14:ligatures w14:val="none"/>
                        </w:rPr>
                        <w:t>Family Well-</w:t>
                      </w:r>
                      <w:r w:rsidRPr="00321C6B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>Being</w:t>
                      </w:r>
                      <w:r w:rsidRPr="00321C6B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i w:val="0"/>
                          <w:iCs w:val="0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245       </w:t>
                      </w:r>
                    </w:p>
                    <w:p w14:paraId="4EC8903E" w14:textId="0262FD44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>Positive Parent-Child Relationships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419       </w:t>
                      </w:r>
                    </w:p>
                    <w:p w14:paraId="7F528418" w14:textId="787C461A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>Families as Lifelong Educators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        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421           </w:t>
                      </w:r>
                    </w:p>
                    <w:p w14:paraId="1BA28A4D" w14:textId="529A3EAB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>Families as Learners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408      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2B7D7B"/>
                          <w14:ligatures w14:val="none"/>
                        </w:rPr>
                        <w:t xml:space="preserve"> </w:t>
                      </w:r>
                    </w:p>
                    <w:p w14:paraId="45A06FEF" w14:textId="112B3EF7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>Family Engagement in Transition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       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7       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2B7D7B"/>
                          <w14:ligatures w14:val="none"/>
                        </w:rPr>
                        <w:t xml:space="preserve"> </w:t>
                      </w:r>
                    </w:p>
                    <w:p w14:paraId="36F2F400" w14:textId="2869D863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>Family Connections to Peers and Community</w:t>
                      </w:r>
                      <w:r w:rsidRPr="00321C6B">
                        <w:rPr>
                          <w:rFonts w:ascii="Aptos Display" w:eastAsia="Times New Roman" w:hAnsi="Aptos Display" w:cs="IrisUPC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23      </w:t>
                      </w:r>
                      <w:r w:rsidRPr="00321C6B">
                        <w:rPr>
                          <w:rFonts w:ascii="Aptos Display" w:eastAsia="Times New Roman" w:hAnsi="Aptos Display" w:cs="IrisUPC"/>
                          <w:b/>
                          <w:bCs/>
                          <w:kern w:val="0"/>
                          <w:sz w:val="32"/>
                          <w:szCs w:val="32"/>
                          <w:shd w:val="clear" w:color="auto" w:fill="2B7D7B"/>
                          <w14:ligatures w14:val="none"/>
                        </w:rPr>
                        <w:t xml:space="preserve"> </w:t>
                      </w:r>
                    </w:p>
                    <w:p w14:paraId="2187651D" w14:textId="0320B726" w:rsidR="00321C6B" w:rsidRPr="00321C6B" w:rsidRDefault="00321C6B" w:rsidP="00321C6B">
                      <w:pPr>
                        <w:shd w:val="clear" w:color="auto" w:fill="FFFFFF"/>
                        <w:spacing w:after="0" w:line="240" w:lineRule="auto"/>
                        <w:outlineLvl w:val="3"/>
                        <w:rPr>
                          <w:rFonts w:ascii="Aptos Display" w:eastAsia="Times New Roman" w:hAnsi="Aptos Display" w:cs="IrisUPC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321C6B">
                        <w:rPr>
                          <w:rFonts w:ascii="Aptos Display" w:eastAsia="Times New Roman" w:hAnsi="Aptos Display" w:cs="IrisUPC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>Families as Advocates and Leaders</w:t>
                      </w:r>
                      <w:r w:rsidRPr="00321C6B">
                        <w:rPr>
                          <w:rFonts w:ascii="Aptos Display" w:eastAsia="Times New Roman" w:hAnsi="Aptos Display" w:cs="IrisUPC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               </w:t>
                      </w:r>
                      <w:r>
                        <w:rPr>
                          <w:rFonts w:ascii="Aptos Display" w:eastAsia="Times New Roman" w:hAnsi="Aptos Display" w:cs="IrisUPC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321C6B">
                        <w:rPr>
                          <w:rFonts w:ascii="Aptos Display" w:eastAsia="Times New Roman" w:hAnsi="Aptos Display" w:cs="IrisUPC"/>
                          <w:color w:val="000000" w:themeColor="text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        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1C6B">
        <w:rPr>
          <w:noProof/>
        </w:rPr>
        <w:drawing>
          <wp:inline distT="0" distB="0" distL="0" distR="0" wp14:anchorId="1C309A66" wp14:editId="12EDE07F">
            <wp:extent cx="6924675" cy="3880987"/>
            <wp:effectExtent l="0" t="0" r="0" b="5715"/>
            <wp:docPr id="770094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913" cy="388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C6B" w:rsidSect="00C91BCE">
      <w:pgSz w:w="15840" w:h="12240" w:orient="landscape"/>
      <w:pgMar w:top="540" w:right="1440" w:bottom="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9E74" w14:textId="77777777" w:rsidR="005F2D78" w:rsidRDefault="005F2D78" w:rsidP="00C91BCE">
      <w:pPr>
        <w:spacing w:after="0" w:line="240" w:lineRule="auto"/>
      </w:pPr>
      <w:r>
        <w:separator/>
      </w:r>
    </w:p>
  </w:endnote>
  <w:endnote w:type="continuationSeparator" w:id="0">
    <w:p w14:paraId="05EE7CEE" w14:textId="77777777" w:rsidR="005F2D78" w:rsidRDefault="005F2D78" w:rsidP="00C9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2CD9" w14:textId="77777777" w:rsidR="005F2D78" w:rsidRDefault="005F2D78" w:rsidP="00C91BCE">
      <w:pPr>
        <w:spacing w:after="0" w:line="240" w:lineRule="auto"/>
      </w:pPr>
      <w:r>
        <w:separator/>
      </w:r>
    </w:p>
  </w:footnote>
  <w:footnote w:type="continuationSeparator" w:id="0">
    <w:p w14:paraId="5BDA7493" w14:textId="77777777" w:rsidR="005F2D78" w:rsidRDefault="005F2D78" w:rsidP="00C9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6B"/>
    <w:rsid w:val="001956A6"/>
    <w:rsid w:val="00321C6B"/>
    <w:rsid w:val="00427BE1"/>
    <w:rsid w:val="00443AA8"/>
    <w:rsid w:val="005F2D78"/>
    <w:rsid w:val="00865A92"/>
    <w:rsid w:val="00B51EDA"/>
    <w:rsid w:val="00C9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79AF0"/>
  <w15:chartTrackingRefBased/>
  <w15:docId w15:val="{B7726D87-695D-4708-B6C7-94595AF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BCE"/>
  </w:style>
  <w:style w:type="paragraph" w:styleId="Footer">
    <w:name w:val="footer"/>
    <w:basedOn w:val="Normal"/>
    <w:link w:val="FooterChar"/>
    <w:uiPriority w:val="99"/>
    <w:unhideWhenUsed/>
    <w:rsid w:val="00C9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Burk</dc:creator>
  <cp:keywords/>
  <dc:description/>
  <cp:lastModifiedBy>Angie Burk</cp:lastModifiedBy>
  <cp:revision>1</cp:revision>
  <dcterms:created xsi:type="dcterms:W3CDTF">2026-05-05T00:46:00Z</dcterms:created>
  <dcterms:modified xsi:type="dcterms:W3CDTF">2026-05-05T01:04:00Z</dcterms:modified>
</cp:coreProperties>
</file>