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0807" w14:textId="3FBFAC87" w:rsidR="00F500DE" w:rsidRPr="00611151" w:rsidRDefault="00F500DE" w:rsidP="00F500DE"/>
    <w:tbl>
      <w:tblPr>
        <w:tblStyle w:val="TableGrid"/>
        <w:tblpPr w:leftFromText="180" w:rightFromText="180" w:vertAnchor="text" w:tblpX="2603" w:tblpY="1"/>
        <w:tblOverlap w:val="never"/>
        <w:tblW w:w="7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tblGrid>
      <w:tr w:rsidR="00F500DE" w14:paraId="53A1CD85" w14:textId="77777777" w:rsidTr="00E56C7D">
        <w:trPr>
          <w:trHeight w:val="3289"/>
        </w:trPr>
        <w:tc>
          <w:tcPr>
            <w:tcW w:w="7428" w:type="dxa"/>
          </w:tcPr>
          <w:p w14:paraId="3531D414" w14:textId="77777777" w:rsidR="00F500DE" w:rsidRPr="00334C89" w:rsidRDefault="00F500DE" w:rsidP="00296871"/>
        </w:tc>
      </w:tr>
      <w:tr w:rsidR="00F500DE" w:rsidRPr="00E2011B" w14:paraId="65170CD0" w14:textId="77777777" w:rsidTr="00E56C7D">
        <w:trPr>
          <w:trHeight w:hRule="exact" w:val="2370"/>
        </w:trPr>
        <w:sdt>
          <w:sdtPr>
            <w:rPr>
              <w:color w:val="002A5E"/>
            </w:rPr>
            <w:alias w:val="Title"/>
            <w:tag w:val=""/>
            <w:id w:val="-387340701"/>
            <w:placeholder>
              <w:docPart w:val="1E99840385404FC3A90681511D7643C3"/>
            </w:placeholder>
            <w:dataBinding w:prefixMappings="xmlns:ns0='http://purl.org/dc/elements/1.1/' xmlns:ns1='http://schemas.openxmlformats.org/package/2006/metadata/core-properties' " w:xpath="/ns1:coreProperties[1]/ns0:title[1]" w:storeItemID="{6C3C8BC8-F283-45AE-878A-BAB7291924A1}"/>
            <w:text/>
          </w:sdtPr>
          <w:sdtEndPr/>
          <w:sdtContent>
            <w:tc>
              <w:tcPr>
                <w:tcW w:w="7428" w:type="dxa"/>
                <w:vAlign w:val="center"/>
              </w:tcPr>
              <w:p w14:paraId="01564162" w14:textId="4A1C5BB3" w:rsidR="00F500DE" w:rsidRPr="009B6DD5" w:rsidRDefault="00DF378A" w:rsidP="00296871">
                <w:pPr>
                  <w:pStyle w:val="Documenttitle"/>
                </w:pPr>
                <w:r>
                  <w:rPr>
                    <w:color w:val="002A5E"/>
                  </w:rPr>
                  <w:t>Fair Value Statement – V1 July 2023</w:t>
                </w:r>
              </w:p>
            </w:tc>
          </w:sdtContent>
        </w:sdt>
      </w:tr>
      <w:tr w:rsidR="00F500DE" w:rsidRPr="00E2011B" w14:paraId="7A90EAAC" w14:textId="77777777" w:rsidTr="00E56C7D">
        <w:trPr>
          <w:trHeight w:val="1831"/>
        </w:trPr>
        <w:tc>
          <w:tcPr>
            <w:tcW w:w="7428" w:type="dxa"/>
          </w:tcPr>
          <w:p w14:paraId="7CB65051" w14:textId="77777777" w:rsidR="00F500DE" w:rsidRDefault="00FC52AA" w:rsidP="000B4FA0">
            <w:pPr>
              <w:pStyle w:val="BodyTextB17"/>
              <w:rPr>
                <w:rFonts w:asciiTheme="majorHAnsi" w:hAnsiTheme="majorHAnsi"/>
                <w:color w:val="002A5E"/>
                <w:sz w:val="44"/>
                <w:szCs w:val="44"/>
              </w:rPr>
            </w:pPr>
            <w:r w:rsidRPr="001F4202">
              <w:rPr>
                <w:rFonts w:asciiTheme="majorHAnsi" w:hAnsiTheme="majorHAnsi"/>
                <w:color w:val="002A5E"/>
                <w:sz w:val="44"/>
                <w:szCs w:val="44"/>
              </w:rPr>
              <w:t>Firm Name:</w:t>
            </w:r>
            <w:r w:rsidR="000B4FA0">
              <w:rPr>
                <w:rFonts w:asciiTheme="majorHAnsi" w:hAnsiTheme="majorHAnsi"/>
                <w:color w:val="002A5E"/>
                <w:sz w:val="44"/>
                <w:szCs w:val="44"/>
              </w:rPr>
              <w:t xml:space="preserve"> Whelan Wealth Management Limited</w:t>
            </w:r>
          </w:p>
          <w:p w14:paraId="5DA0BD74" w14:textId="771F58A7" w:rsidR="000B4FA0" w:rsidRPr="000B4FA0" w:rsidRDefault="000B4FA0" w:rsidP="000B4FA0">
            <w:pPr>
              <w:pStyle w:val="BodyTextB17"/>
              <w:rPr>
                <w:rFonts w:asciiTheme="majorHAnsi" w:hAnsiTheme="majorHAnsi"/>
                <w:color w:val="002A5E"/>
                <w:sz w:val="44"/>
                <w:szCs w:val="44"/>
              </w:rPr>
            </w:pPr>
            <w:r>
              <w:rPr>
                <w:rFonts w:asciiTheme="majorHAnsi" w:hAnsiTheme="majorHAnsi"/>
                <w:color w:val="002A5E"/>
                <w:sz w:val="44"/>
                <w:szCs w:val="44"/>
              </w:rPr>
              <w:t>June 2023</w:t>
            </w:r>
          </w:p>
        </w:tc>
      </w:tr>
    </w:tbl>
    <w:p w14:paraId="2487B907" w14:textId="77777777" w:rsidR="00F500DE" w:rsidRDefault="00F500DE" w:rsidP="00F500DE">
      <w:pPr>
        <w:pStyle w:val="BodytextRegular"/>
        <w:rPr>
          <w:lang w:val="fr-FR"/>
        </w:rPr>
      </w:pPr>
      <w:r>
        <w:rPr>
          <w:lang w:val="fr-FR"/>
        </w:rPr>
        <w:br w:type="textWrapping" w:clear="all"/>
      </w:r>
    </w:p>
    <w:p w14:paraId="05D214CB" w14:textId="77777777" w:rsidR="00F500DE" w:rsidRPr="005B67EA" w:rsidRDefault="00F500DE" w:rsidP="00F500DE">
      <w:pPr>
        <w:pStyle w:val="BodytextRegular"/>
      </w:pPr>
    </w:p>
    <w:p w14:paraId="67745BA7" w14:textId="77777777" w:rsidR="00F500DE" w:rsidRDefault="00F500DE" w:rsidP="00F500DE">
      <w:pPr>
        <w:pStyle w:val="BodytextRegular"/>
      </w:pPr>
    </w:p>
    <w:p w14:paraId="7D7A2274" w14:textId="77777777" w:rsidR="005B0EF7" w:rsidRDefault="005B0EF7">
      <w:pPr>
        <w:spacing w:after="200" w:line="276" w:lineRule="auto"/>
      </w:pPr>
    </w:p>
    <w:p w14:paraId="071E3D2A" w14:textId="77777777" w:rsidR="005B0EF7" w:rsidRDefault="005B0EF7">
      <w:pPr>
        <w:spacing w:after="200" w:line="276" w:lineRule="auto"/>
      </w:pPr>
    </w:p>
    <w:p w14:paraId="31F42D2A" w14:textId="77777777" w:rsidR="005B0EF7" w:rsidRDefault="005B0EF7">
      <w:pPr>
        <w:spacing w:after="200" w:line="276" w:lineRule="auto"/>
      </w:pPr>
    </w:p>
    <w:p w14:paraId="75ED0070" w14:textId="4AE258AA" w:rsidR="00F500DE" w:rsidRDefault="00F500DE">
      <w:pPr>
        <w:spacing w:after="200" w:line="276" w:lineRule="auto"/>
      </w:pPr>
    </w:p>
    <w:p w14:paraId="37BA96A0" w14:textId="77777777" w:rsidR="009831D6" w:rsidRDefault="009831D6">
      <w:pPr>
        <w:spacing w:after="200" w:line="276" w:lineRule="auto"/>
      </w:pPr>
    </w:p>
    <w:p w14:paraId="591FB98D" w14:textId="77777777" w:rsidR="009831D6" w:rsidRDefault="009831D6">
      <w:pPr>
        <w:spacing w:after="200" w:line="276" w:lineRule="auto"/>
      </w:pPr>
    </w:p>
    <w:p w14:paraId="09830112" w14:textId="77777777" w:rsidR="009831D6" w:rsidRDefault="009831D6">
      <w:pPr>
        <w:spacing w:after="200" w:line="276" w:lineRule="auto"/>
      </w:pPr>
    </w:p>
    <w:p w14:paraId="29A9C7E0" w14:textId="77777777" w:rsidR="009831D6" w:rsidRDefault="009831D6">
      <w:pPr>
        <w:spacing w:after="200" w:line="276" w:lineRule="auto"/>
      </w:pPr>
    </w:p>
    <w:p w14:paraId="6419C6AB" w14:textId="77777777" w:rsidR="00F500DE" w:rsidRDefault="00F500DE">
      <w:pPr>
        <w:spacing w:after="200" w:line="276" w:lineRule="auto"/>
        <w:sectPr w:rsidR="00F500DE" w:rsidSect="00245CDF">
          <w:footerReference w:type="even" r:id="rId11"/>
          <w:footerReference w:type="default" r:id="rId12"/>
          <w:headerReference w:type="first" r:id="rId13"/>
          <w:footerReference w:type="first" r:id="rId14"/>
          <w:pgSz w:w="11906" w:h="16838" w:code="9"/>
          <w:pgMar w:top="992" w:right="992" w:bottom="624" w:left="992" w:header="709" w:footer="284" w:gutter="0"/>
          <w:cols w:space="708"/>
          <w:titlePg/>
          <w:docGrid w:linePitch="360"/>
        </w:sectPr>
      </w:pPr>
    </w:p>
    <w:p w14:paraId="5848B879" w14:textId="77777777" w:rsidR="00221FC1" w:rsidRPr="005E52B2" w:rsidRDefault="00221FC1" w:rsidP="00221FC1">
      <w:pPr>
        <w:pStyle w:val="SectionTitleToCB17"/>
        <w:jc w:val="both"/>
        <w:rPr>
          <w:szCs w:val="36"/>
        </w:rPr>
      </w:pPr>
      <w:r>
        <w:rPr>
          <w:szCs w:val="36"/>
        </w:rPr>
        <w:lastRenderedPageBreak/>
        <w:t>About Us</w:t>
      </w:r>
    </w:p>
    <w:p w14:paraId="78D9DA76" w14:textId="77777777" w:rsidR="00221FC1" w:rsidRPr="005E52B2" w:rsidRDefault="00221FC1" w:rsidP="00221FC1">
      <w:pPr>
        <w:pStyle w:val="BodyTextB17"/>
        <w:spacing w:after="0" w:line="360" w:lineRule="auto"/>
        <w:jc w:val="both"/>
        <w:rPr>
          <w:rFonts w:cstheme="minorHAnsi"/>
          <w:b/>
          <w:color w:val="0074B7"/>
          <w:szCs w:val="21"/>
        </w:rPr>
      </w:pPr>
      <w:r w:rsidRPr="005E52B2">
        <w:rPr>
          <w:rFonts w:cstheme="minorHAnsi"/>
          <w:b/>
          <w:color w:val="0074B7"/>
          <w:szCs w:val="21"/>
        </w:rPr>
        <w:t>Introduction</w:t>
      </w:r>
    </w:p>
    <w:p w14:paraId="589EDF45" w14:textId="316E147A" w:rsidR="00221FC1" w:rsidRDefault="00221FC1" w:rsidP="001222EF">
      <w:pPr>
        <w:spacing w:line="259" w:lineRule="auto"/>
        <w:rPr>
          <w:rFonts w:eastAsia="Calibri" w:cstheme="minorHAnsi"/>
          <w:sz w:val="20"/>
          <w:szCs w:val="20"/>
        </w:rPr>
      </w:pPr>
      <w:r w:rsidRPr="00221FC1">
        <w:rPr>
          <w:rFonts w:eastAsia="Calibri" w:cstheme="minorHAnsi"/>
          <w:sz w:val="20"/>
          <w:szCs w:val="20"/>
        </w:rPr>
        <w:t xml:space="preserve">This document is aimed at providing you with a brief overview of our firm and to introduce </w:t>
      </w:r>
      <w:r w:rsidR="006B31B9">
        <w:rPr>
          <w:rFonts w:eastAsia="Calibri" w:cstheme="minorHAnsi"/>
          <w:sz w:val="20"/>
          <w:szCs w:val="20"/>
        </w:rPr>
        <w:t>our</w:t>
      </w:r>
      <w:r>
        <w:rPr>
          <w:rFonts w:eastAsia="Calibri" w:cstheme="minorHAnsi"/>
          <w:sz w:val="20"/>
          <w:szCs w:val="20"/>
        </w:rPr>
        <w:t xml:space="preserve"> services</w:t>
      </w:r>
      <w:r w:rsidR="001222EF">
        <w:rPr>
          <w:rFonts w:eastAsia="Calibri" w:cstheme="minorHAnsi"/>
          <w:sz w:val="20"/>
          <w:szCs w:val="20"/>
        </w:rPr>
        <w:t>.</w:t>
      </w:r>
    </w:p>
    <w:p w14:paraId="1489059B" w14:textId="77777777" w:rsidR="001222EF" w:rsidRDefault="001222EF" w:rsidP="001222EF">
      <w:pPr>
        <w:spacing w:line="259" w:lineRule="auto"/>
        <w:rPr>
          <w:rFonts w:eastAsia="Calibri" w:cstheme="minorHAnsi"/>
          <w:sz w:val="20"/>
          <w:szCs w:val="20"/>
        </w:rPr>
      </w:pPr>
    </w:p>
    <w:p w14:paraId="65832C97" w14:textId="3CCF360B" w:rsidR="00652F54" w:rsidRDefault="00652F54" w:rsidP="001222EF">
      <w:pPr>
        <w:spacing w:line="259" w:lineRule="auto"/>
        <w:rPr>
          <w:rFonts w:cstheme="minorHAnsi"/>
          <w:szCs w:val="19"/>
        </w:rPr>
      </w:pPr>
      <w:r>
        <w:rPr>
          <w:rFonts w:ascii="Noto Sans" w:hAnsi="Noto Sans" w:cs="Noto Sans"/>
          <w:sz w:val="20"/>
        </w:rPr>
        <w:t>In this document, we intend to</w:t>
      </w:r>
      <w:r>
        <w:rPr>
          <w:rFonts w:cstheme="minorHAnsi"/>
          <w:szCs w:val="19"/>
        </w:rPr>
        <w:t xml:space="preserve"> illustrate how we assess value and whether there is fair value between the total price of the service and the benefits and their quality that our clients receive.</w:t>
      </w:r>
    </w:p>
    <w:p w14:paraId="72A9DB5A" w14:textId="77777777" w:rsidR="001222EF" w:rsidRDefault="001222EF" w:rsidP="001222EF">
      <w:pPr>
        <w:spacing w:line="259" w:lineRule="auto"/>
        <w:rPr>
          <w:rFonts w:eastAsia="Calibri" w:cstheme="minorHAnsi"/>
          <w:sz w:val="20"/>
          <w:szCs w:val="20"/>
        </w:rPr>
      </w:pPr>
    </w:p>
    <w:p w14:paraId="5E76AFED" w14:textId="4C1609ED" w:rsidR="00EE41F5" w:rsidRDefault="000B4FA0" w:rsidP="001222EF">
      <w:pPr>
        <w:spacing w:line="259" w:lineRule="auto"/>
        <w:rPr>
          <w:rFonts w:ascii="Roboto" w:hAnsi="Roboto"/>
          <w:shd w:val="clear" w:color="auto" w:fill="FFFFFF"/>
        </w:rPr>
      </w:pPr>
      <w:r w:rsidRPr="001222EF">
        <w:rPr>
          <w:rFonts w:eastAsia="Calibri" w:cstheme="minorHAnsi"/>
          <w:sz w:val="20"/>
          <w:szCs w:val="20"/>
        </w:rPr>
        <w:t>Whelan Wealth Management Limited (WWM) is located on the Hertfordshire and Bedfordshire border</w:t>
      </w:r>
      <w:r w:rsidR="00CC6BCE">
        <w:rPr>
          <w:rFonts w:eastAsia="Calibri" w:cstheme="minorHAnsi"/>
          <w:sz w:val="20"/>
          <w:szCs w:val="20"/>
        </w:rPr>
        <w:t>s</w:t>
      </w:r>
      <w:r w:rsidRPr="001222EF">
        <w:rPr>
          <w:rFonts w:eastAsia="Calibri" w:cstheme="minorHAnsi"/>
          <w:sz w:val="20"/>
          <w:szCs w:val="20"/>
        </w:rPr>
        <w:t xml:space="preserve"> and was established in 2009 by Dermott Whelan. </w:t>
      </w:r>
      <w:r w:rsidRPr="001222EF">
        <w:rPr>
          <w:rFonts w:ascii="Roboto" w:hAnsi="Roboto"/>
          <w:shd w:val="clear" w:color="auto" w:fill="FFFFFF"/>
        </w:rPr>
        <w:t xml:space="preserve">We offer bespoke, independent financial advice. We never settle for second best and always have our clients as our top priority. It is a professional and personal </w:t>
      </w:r>
      <w:r w:rsidR="00F77082" w:rsidRPr="001222EF">
        <w:rPr>
          <w:rFonts w:ascii="Roboto" w:hAnsi="Roboto"/>
          <w:shd w:val="clear" w:color="auto" w:fill="FFFFFF"/>
        </w:rPr>
        <w:t>service,</w:t>
      </w:r>
      <w:r w:rsidRPr="001222EF">
        <w:rPr>
          <w:rFonts w:ascii="Roboto" w:hAnsi="Roboto"/>
          <w:shd w:val="clear" w:color="auto" w:fill="FFFFFF"/>
        </w:rPr>
        <w:t xml:space="preserve"> and we take pride in all we </w:t>
      </w:r>
      <w:r w:rsidR="00EE41F5" w:rsidRPr="001222EF">
        <w:rPr>
          <w:rFonts w:ascii="Roboto" w:hAnsi="Roboto"/>
          <w:shd w:val="clear" w:color="auto" w:fill="FFFFFF"/>
        </w:rPr>
        <w:t>do.</w:t>
      </w:r>
    </w:p>
    <w:p w14:paraId="4ECBC0C7" w14:textId="77777777" w:rsidR="001222EF" w:rsidRPr="001222EF" w:rsidRDefault="001222EF" w:rsidP="001222EF">
      <w:pPr>
        <w:spacing w:line="259" w:lineRule="auto"/>
        <w:rPr>
          <w:rFonts w:ascii="Roboto" w:hAnsi="Roboto"/>
          <w:shd w:val="clear" w:color="auto" w:fill="FFFFFF"/>
        </w:rPr>
      </w:pPr>
    </w:p>
    <w:p w14:paraId="181FA5FB" w14:textId="38779407" w:rsidR="00EE41F5" w:rsidRPr="001222EF" w:rsidRDefault="00EE41F5" w:rsidP="001222EF">
      <w:pPr>
        <w:spacing w:line="259" w:lineRule="auto"/>
        <w:rPr>
          <w:rFonts w:ascii="Noto Sans" w:hAnsi="Noto Sans" w:cs="Noto Sans"/>
          <w:sz w:val="20"/>
          <w:szCs w:val="20"/>
          <w:shd w:val="clear" w:color="auto" w:fill="FFFFFF"/>
        </w:rPr>
      </w:pPr>
      <w:r w:rsidRPr="001222EF">
        <w:rPr>
          <w:rFonts w:ascii="Noto Sans" w:hAnsi="Noto Sans" w:cs="Noto Sans"/>
          <w:sz w:val="20"/>
          <w:szCs w:val="20"/>
          <w:shd w:val="clear" w:color="auto" w:fill="FFFFFF"/>
        </w:rPr>
        <w:t xml:space="preserve">The business is led by Dermott, who qualified as an accountant and investment analyst with US investment bank Morgan Stanley in 1990 and has also qualified as a Chartered Financial Analyst and Chartered Financial Planner. He has used his 30 years of financial and investment experience to create a family office for a small group of clients on a referral basis. Support is provided by his assistant, Sally Fowler, who has valuable experience from her training at Coutts and Dresdner Bank in London. Best Practice provide IT, legal and compliance support and Timebank provide paraplanning services. </w:t>
      </w:r>
    </w:p>
    <w:p w14:paraId="2A1295FA" w14:textId="0018BF18" w:rsidR="00221FC1" w:rsidRDefault="00221FC1" w:rsidP="00221FC1">
      <w:pPr>
        <w:jc w:val="both"/>
        <w:rPr>
          <w:rFonts w:eastAsia="Calibri" w:cstheme="minorHAnsi"/>
          <w:szCs w:val="21"/>
          <w:lang w:eastAsia="en-GB"/>
        </w:rPr>
      </w:pPr>
    </w:p>
    <w:p w14:paraId="6FD32259" w14:textId="76433096" w:rsidR="00D821A2" w:rsidRPr="001222EF" w:rsidRDefault="00CC064E" w:rsidP="00236020">
      <w:pPr>
        <w:pStyle w:val="BodyTextB17"/>
        <w:spacing w:after="0" w:line="360" w:lineRule="auto"/>
        <w:jc w:val="both"/>
        <w:rPr>
          <w:rFonts w:cstheme="minorHAnsi"/>
          <w:b/>
          <w:color w:val="002A5E"/>
          <w:szCs w:val="21"/>
        </w:rPr>
      </w:pPr>
      <w:r w:rsidRPr="001222EF">
        <w:rPr>
          <w:rFonts w:cstheme="minorHAnsi"/>
          <w:b/>
          <w:color w:val="002A5E"/>
          <w:szCs w:val="21"/>
        </w:rPr>
        <w:t>The Value of our Service</w:t>
      </w:r>
    </w:p>
    <w:tbl>
      <w:tblPr>
        <w:tblStyle w:val="TableGridLight"/>
        <w:tblW w:w="5000" w:type="pct"/>
        <w:tblLook w:val="0680" w:firstRow="0" w:lastRow="0" w:firstColumn="1" w:lastColumn="0" w:noHBand="1" w:noVBand="1"/>
      </w:tblPr>
      <w:tblGrid>
        <w:gridCol w:w="2547"/>
        <w:gridCol w:w="7365"/>
      </w:tblGrid>
      <w:tr w:rsidR="001222EF" w14:paraId="0CF8419D" w14:textId="77777777" w:rsidTr="001222EF">
        <w:trPr>
          <w:trHeight w:val="358"/>
        </w:trPr>
        <w:tc>
          <w:tcPr>
            <w:tcW w:w="5000" w:type="pct"/>
            <w:gridSpan w:val="2"/>
            <w:shd w:val="clear" w:color="auto" w:fill="002060"/>
            <w:vAlign w:val="center"/>
          </w:tcPr>
          <w:p w14:paraId="672B8E20" w14:textId="7B2B876E" w:rsidR="001222EF" w:rsidRPr="001222EF" w:rsidRDefault="001222EF" w:rsidP="00197D52">
            <w:pPr>
              <w:autoSpaceDE w:val="0"/>
              <w:autoSpaceDN w:val="0"/>
              <w:adjustRightInd w:val="0"/>
              <w:rPr>
                <w:rFonts w:ascii="Noto Sans" w:eastAsia="Times New Roman" w:hAnsi="Noto Sans" w:cs="Noto Sans"/>
                <w:b/>
                <w:bCs/>
                <w:sz w:val="20"/>
                <w:szCs w:val="20"/>
              </w:rPr>
            </w:pPr>
            <w:r w:rsidRPr="001222EF">
              <w:rPr>
                <w:b/>
                <w:bCs/>
              </w:rPr>
              <w:t>Chartered</w:t>
            </w:r>
          </w:p>
        </w:tc>
      </w:tr>
      <w:tr w:rsidR="00D76E4F" w14:paraId="6FA82981" w14:textId="77777777" w:rsidTr="00197D52">
        <w:trPr>
          <w:trHeight w:val="1979"/>
        </w:trPr>
        <w:tc>
          <w:tcPr>
            <w:tcW w:w="1285" w:type="pct"/>
          </w:tcPr>
          <w:p w14:paraId="47F68FB5" w14:textId="7F9FFB74" w:rsidR="00D76E4F" w:rsidRPr="001222EF" w:rsidRDefault="00D76E4F" w:rsidP="001222EF">
            <w:pPr>
              <w:pStyle w:val="Tabletext"/>
              <w:spacing w:before="120"/>
              <w:rPr>
                <w:szCs w:val="19"/>
              </w:rPr>
            </w:pPr>
            <w:r w:rsidRPr="001222EF">
              <w:rPr>
                <w:szCs w:val="19"/>
              </w:rPr>
              <w:t>Why we choose to be a Chartered Financial Planning Firm – and how does that translate to value for our clients.</w:t>
            </w:r>
          </w:p>
          <w:p w14:paraId="58F3DE35" w14:textId="77777777" w:rsidR="00D76E4F" w:rsidRPr="001222EF" w:rsidRDefault="00D76E4F" w:rsidP="00197D52">
            <w:pPr>
              <w:pStyle w:val="Tabletext"/>
              <w:rPr>
                <w:szCs w:val="19"/>
              </w:rPr>
            </w:pPr>
          </w:p>
          <w:p w14:paraId="1EA06DB9" w14:textId="77777777" w:rsidR="00D76E4F" w:rsidRPr="001222EF" w:rsidRDefault="00D76E4F" w:rsidP="00197D52">
            <w:pPr>
              <w:pStyle w:val="TabletextBold0"/>
              <w:rPr>
                <w:b w:val="0"/>
                <w:bCs w:val="0"/>
                <w:color w:val="FFFFFF" w:themeColor="background1"/>
                <w:szCs w:val="19"/>
              </w:rPr>
            </w:pPr>
            <w:r w:rsidRPr="001222EF">
              <w:rPr>
                <w:b w:val="0"/>
                <w:bCs w:val="0"/>
                <w:szCs w:val="19"/>
              </w:rPr>
              <w:t>Describing our commitment to the highest level of professionalism in our industry.</w:t>
            </w:r>
          </w:p>
        </w:tc>
        <w:tc>
          <w:tcPr>
            <w:tcW w:w="3715" w:type="pct"/>
          </w:tcPr>
          <w:p w14:paraId="0B9E1D37" w14:textId="77777777" w:rsidR="00D76E4F" w:rsidRPr="001222EF" w:rsidRDefault="00D76E4F" w:rsidP="00197D52">
            <w:pPr>
              <w:autoSpaceDE w:val="0"/>
              <w:autoSpaceDN w:val="0"/>
              <w:adjustRightInd w:val="0"/>
              <w:rPr>
                <w:rFonts w:ascii="Noto Sans" w:eastAsia="Times New Roman" w:hAnsi="Noto Sans" w:cs="Noto Sans"/>
                <w:szCs w:val="19"/>
              </w:rPr>
            </w:pPr>
          </w:p>
          <w:p w14:paraId="0A0817F3" w14:textId="0CD951FD" w:rsidR="00D76E4F" w:rsidRPr="001222EF" w:rsidRDefault="00EE41F5" w:rsidP="00197D52">
            <w:pPr>
              <w:autoSpaceDE w:val="0"/>
              <w:autoSpaceDN w:val="0"/>
              <w:adjustRightInd w:val="0"/>
              <w:rPr>
                <w:rFonts w:ascii="Noto Sans" w:eastAsia="Times New Roman" w:hAnsi="Noto Sans" w:cs="Noto Sans"/>
                <w:b/>
                <w:bCs/>
                <w:szCs w:val="19"/>
              </w:rPr>
            </w:pPr>
            <w:r w:rsidRPr="001222EF">
              <w:rPr>
                <w:rFonts w:ascii="Noto Sans" w:eastAsia="Times New Roman" w:hAnsi="Noto Sans" w:cs="Noto Sans"/>
                <w:b/>
                <w:bCs/>
                <w:szCs w:val="19"/>
              </w:rPr>
              <w:t>Chartered Financial Planner</w:t>
            </w:r>
          </w:p>
          <w:p w14:paraId="79C0E106" w14:textId="77777777" w:rsidR="00EE41F5" w:rsidRPr="001222EF" w:rsidRDefault="00EE41F5" w:rsidP="00197D52">
            <w:pPr>
              <w:autoSpaceDE w:val="0"/>
              <w:autoSpaceDN w:val="0"/>
              <w:adjustRightInd w:val="0"/>
              <w:rPr>
                <w:rFonts w:ascii="Noto Sans" w:eastAsia="Times New Roman" w:hAnsi="Noto Sans" w:cs="Noto Sans"/>
                <w:szCs w:val="19"/>
              </w:rPr>
            </w:pPr>
          </w:p>
          <w:p w14:paraId="738B6FAF" w14:textId="77777777" w:rsidR="00D76E4F" w:rsidRPr="001222EF" w:rsidRDefault="00D76E4F" w:rsidP="00D76E4F">
            <w:pPr>
              <w:pStyle w:val="ListParagraph"/>
              <w:numPr>
                <w:ilvl w:val="0"/>
                <w:numId w:val="25"/>
              </w:numPr>
              <w:autoSpaceDE w:val="0"/>
              <w:autoSpaceDN w:val="0"/>
              <w:adjustRightInd w:val="0"/>
              <w:rPr>
                <w:rFonts w:ascii="Noto Sans" w:hAnsi="Noto Sans" w:cs="Noto Sans"/>
                <w:szCs w:val="19"/>
              </w:rPr>
            </w:pPr>
            <w:r w:rsidRPr="001222EF">
              <w:rPr>
                <w:rFonts w:ascii="Noto Sans" w:hAnsi="Noto Sans" w:cs="Noto Sans"/>
                <w:szCs w:val="19"/>
              </w:rPr>
              <w:t>Being recognised as a Chartered Financial Planning Firm means we are committed to the highest standards of professional competency,</w:t>
            </w:r>
            <w:r w:rsidRPr="001222EF">
              <w:rPr>
                <w:szCs w:val="19"/>
              </w:rPr>
              <w:t xml:space="preserve"> </w:t>
            </w:r>
            <w:r w:rsidRPr="001222EF">
              <w:rPr>
                <w:rFonts w:ascii="Noto Sans" w:hAnsi="Noto Sans" w:cs="Noto Sans"/>
                <w:szCs w:val="19"/>
              </w:rPr>
              <w:t>ethical standards, and integrity. We represent the gold standard in financial planning.  We know this gives our clients a great deal of comfort.</w:t>
            </w:r>
          </w:p>
          <w:p w14:paraId="4748856F" w14:textId="77777777" w:rsidR="00D76E4F" w:rsidRPr="001222EF" w:rsidRDefault="00D76E4F" w:rsidP="00197D52">
            <w:pPr>
              <w:autoSpaceDE w:val="0"/>
              <w:autoSpaceDN w:val="0"/>
              <w:adjustRightInd w:val="0"/>
              <w:rPr>
                <w:rFonts w:ascii="Noto Sans" w:hAnsi="Noto Sans" w:cs="Noto Sans"/>
                <w:szCs w:val="19"/>
              </w:rPr>
            </w:pPr>
          </w:p>
          <w:p w14:paraId="4433CCB7" w14:textId="77777777" w:rsidR="00D76E4F" w:rsidRPr="001222EF" w:rsidRDefault="00D76E4F" w:rsidP="00D76E4F">
            <w:pPr>
              <w:pStyle w:val="ListParagraph"/>
              <w:numPr>
                <w:ilvl w:val="0"/>
                <w:numId w:val="26"/>
              </w:numPr>
              <w:autoSpaceDE w:val="0"/>
              <w:autoSpaceDN w:val="0"/>
              <w:adjustRightInd w:val="0"/>
              <w:rPr>
                <w:rFonts w:ascii="Noto Sans" w:hAnsi="Noto Sans" w:cs="Noto Sans"/>
                <w:szCs w:val="19"/>
              </w:rPr>
            </w:pPr>
            <w:r w:rsidRPr="001222EF">
              <w:rPr>
                <w:rFonts w:ascii="Noto Sans" w:hAnsi="Noto Sans" w:cs="Noto Sans"/>
                <w:szCs w:val="19"/>
              </w:rPr>
              <w:t xml:space="preserve">The requirement to become a chartered financial planner with the Chartered Insurance Institute, is the culmination of years of learning and professional practice.  </w:t>
            </w:r>
          </w:p>
          <w:p w14:paraId="124156B5" w14:textId="77777777" w:rsidR="00D76E4F" w:rsidRPr="001222EF" w:rsidRDefault="00D76E4F" w:rsidP="00197D52">
            <w:pPr>
              <w:autoSpaceDE w:val="0"/>
              <w:autoSpaceDN w:val="0"/>
              <w:adjustRightInd w:val="0"/>
              <w:rPr>
                <w:szCs w:val="19"/>
              </w:rPr>
            </w:pPr>
          </w:p>
        </w:tc>
      </w:tr>
    </w:tbl>
    <w:p w14:paraId="28A5A7ED"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74768433" w14:textId="77777777" w:rsidTr="00197D52">
        <w:trPr>
          <w:trHeight w:val="402"/>
        </w:trPr>
        <w:tc>
          <w:tcPr>
            <w:tcW w:w="5000" w:type="pct"/>
            <w:gridSpan w:val="2"/>
            <w:shd w:val="clear" w:color="auto" w:fill="002A5E" w:themeFill="background2"/>
          </w:tcPr>
          <w:p w14:paraId="7627EB30" w14:textId="012D2B80" w:rsidR="00D76E4F" w:rsidRPr="00C935A7" w:rsidRDefault="00D76E4F" w:rsidP="00197D52">
            <w:pPr>
              <w:pStyle w:val="TabletextBold0"/>
              <w:rPr>
                <w:b w:val="0"/>
                <w:bCs w:val="0"/>
                <w:color w:val="FFFFFF" w:themeColor="background1"/>
              </w:rPr>
            </w:pPr>
            <w:r w:rsidRPr="001A103F">
              <w:rPr>
                <w:bCs w:val="0"/>
                <w:color w:val="auto"/>
              </w:rPr>
              <w:t xml:space="preserve">Best Practice Member Firm Business </w:t>
            </w:r>
          </w:p>
        </w:tc>
      </w:tr>
      <w:tr w:rsidR="00D76E4F" w14:paraId="0CA5F31D" w14:textId="77777777" w:rsidTr="00197D52">
        <w:trPr>
          <w:trHeight w:val="1979"/>
        </w:trPr>
        <w:tc>
          <w:tcPr>
            <w:tcW w:w="1285" w:type="pct"/>
          </w:tcPr>
          <w:p w14:paraId="01BA8ACC" w14:textId="0F3DE160" w:rsidR="00D76E4F" w:rsidRPr="001222EF" w:rsidRDefault="00D76E4F" w:rsidP="001222EF">
            <w:pPr>
              <w:pStyle w:val="Tabletext"/>
              <w:spacing w:before="120"/>
              <w:rPr>
                <w:szCs w:val="19"/>
              </w:rPr>
            </w:pPr>
            <w:r w:rsidRPr="001222EF">
              <w:rPr>
                <w:szCs w:val="19"/>
              </w:rPr>
              <w:t>Being an Appointed Representative of Best Practice – a “Member Firm”.</w:t>
            </w:r>
          </w:p>
          <w:p w14:paraId="6C6B67BC" w14:textId="77777777" w:rsidR="00D76E4F" w:rsidRPr="001222EF" w:rsidRDefault="00D76E4F" w:rsidP="00197D52">
            <w:pPr>
              <w:pStyle w:val="Tabletext"/>
              <w:rPr>
                <w:szCs w:val="19"/>
              </w:rPr>
            </w:pPr>
          </w:p>
          <w:p w14:paraId="6F7776E8" w14:textId="77777777" w:rsidR="00D76E4F" w:rsidRPr="001222EF" w:rsidRDefault="00D76E4F" w:rsidP="00197D52">
            <w:pPr>
              <w:pStyle w:val="Tabletext"/>
              <w:rPr>
                <w:szCs w:val="19"/>
              </w:rPr>
            </w:pPr>
            <w:r w:rsidRPr="001222EF">
              <w:rPr>
                <w:szCs w:val="19"/>
              </w:rPr>
              <w:t>Why did we choose Best Practice to work with?</w:t>
            </w:r>
          </w:p>
          <w:p w14:paraId="55198A81" w14:textId="77777777" w:rsidR="00D76E4F" w:rsidRPr="001222EF" w:rsidRDefault="00D76E4F" w:rsidP="00197D52">
            <w:pPr>
              <w:pStyle w:val="Tabletext"/>
              <w:rPr>
                <w:szCs w:val="19"/>
              </w:rPr>
            </w:pPr>
          </w:p>
          <w:p w14:paraId="4FE36A2D" w14:textId="77777777" w:rsidR="00D76E4F" w:rsidRPr="001222EF" w:rsidRDefault="00D76E4F" w:rsidP="00197D52">
            <w:pPr>
              <w:pStyle w:val="TabletextBold0"/>
              <w:rPr>
                <w:b w:val="0"/>
                <w:bCs w:val="0"/>
                <w:color w:val="FFFFFF" w:themeColor="background1"/>
                <w:szCs w:val="19"/>
              </w:rPr>
            </w:pPr>
            <w:r w:rsidRPr="001222EF">
              <w:rPr>
                <w:b w:val="0"/>
                <w:bCs w:val="0"/>
                <w:szCs w:val="19"/>
              </w:rPr>
              <w:t>How does working with Benchmark benefit our clients?</w:t>
            </w:r>
          </w:p>
        </w:tc>
        <w:tc>
          <w:tcPr>
            <w:tcW w:w="3715" w:type="pct"/>
          </w:tcPr>
          <w:p w14:paraId="626D2F17" w14:textId="77777777" w:rsidR="00D76E4F" w:rsidRPr="001222EF" w:rsidRDefault="00D76E4F" w:rsidP="00197D52">
            <w:pPr>
              <w:rPr>
                <w:rFonts w:ascii="Noto Sans" w:eastAsia="Times New Roman" w:hAnsi="Noto Sans" w:cs="Noto Sans"/>
                <w:color w:val="002060"/>
                <w:szCs w:val="19"/>
              </w:rPr>
            </w:pPr>
          </w:p>
          <w:p w14:paraId="11B47108" w14:textId="5DE4ED15" w:rsidR="00D76E4F" w:rsidRPr="001222EF" w:rsidRDefault="00EE41F5" w:rsidP="00197D52">
            <w:pPr>
              <w:rPr>
                <w:rFonts w:ascii="Noto Sans" w:eastAsia="Times New Roman" w:hAnsi="Noto Sans" w:cs="Noto Sans"/>
                <w:b/>
                <w:bCs/>
                <w:szCs w:val="19"/>
              </w:rPr>
            </w:pPr>
            <w:r w:rsidRPr="001222EF">
              <w:rPr>
                <w:rFonts w:ascii="Noto Sans" w:eastAsia="Times New Roman" w:hAnsi="Noto Sans" w:cs="Noto Sans"/>
                <w:b/>
                <w:bCs/>
                <w:szCs w:val="19"/>
              </w:rPr>
              <w:t>Best Practice Member Firm</w:t>
            </w:r>
          </w:p>
          <w:p w14:paraId="5260F40E" w14:textId="77777777" w:rsidR="00D76E4F" w:rsidRPr="001222EF" w:rsidRDefault="00D76E4F" w:rsidP="00197D52">
            <w:pPr>
              <w:rPr>
                <w:rFonts w:ascii="Noto Sans" w:eastAsia="Times New Roman" w:hAnsi="Noto Sans" w:cs="Noto Sans"/>
                <w:szCs w:val="19"/>
              </w:rPr>
            </w:pPr>
          </w:p>
          <w:p w14:paraId="6C7FA71B" w14:textId="77777777" w:rsidR="00D76E4F" w:rsidRPr="001222EF" w:rsidRDefault="00D76E4F" w:rsidP="00D76E4F">
            <w:pPr>
              <w:pStyle w:val="ListParagraph"/>
              <w:numPr>
                <w:ilvl w:val="0"/>
                <w:numId w:val="27"/>
              </w:numPr>
              <w:rPr>
                <w:rFonts w:ascii="Noto Sans" w:eastAsia="Times New Roman" w:hAnsi="Noto Sans" w:cs="Noto Sans"/>
                <w:szCs w:val="19"/>
              </w:rPr>
            </w:pPr>
            <w:r w:rsidRPr="001222EF">
              <w:rPr>
                <w:rFonts w:ascii="Noto Sans" w:eastAsia="Times New Roman" w:hAnsi="Noto Sans" w:cs="Noto Sans"/>
                <w:szCs w:val="19"/>
              </w:rPr>
              <w:t xml:space="preserve">Best Practice provide an institutional regulatory supervision and compliance framework service which provides us with a high level of regulatory assurance and leading-edge client management systems.  </w:t>
            </w:r>
          </w:p>
          <w:p w14:paraId="783AB7D5" w14:textId="77777777" w:rsidR="00D76E4F" w:rsidRPr="001222EF" w:rsidRDefault="00D76E4F" w:rsidP="00197D52">
            <w:pPr>
              <w:rPr>
                <w:rFonts w:ascii="Noto Sans" w:eastAsia="Times New Roman" w:hAnsi="Noto Sans" w:cs="Noto Sans"/>
                <w:szCs w:val="19"/>
              </w:rPr>
            </w:pPr>
          </w:p>
          <w:p w14:paraId="7FAB5E7C" w14:textId="77777777" w:rsidR="00D76E4F" w:rsidRPr="001222EF" w:rsidRDefault="00D76E4F" w:rsidP="00D76E4F">
            <w:pPr>
              <w:pStyle w:val="ListParagraph"/>
              <w:numPr>
                <w:ilvl w:val="0"/>
                <w:numId w:val="27"/>
              </w:numPr>
              <w:rPr>
                <w:rFonts w:ascii="Noto Sans" w:eastAsia="Times New Roman" w:hAnsi="Noto Sans" w:cs="Noto Sans"/>
                <w:szCs w:val="19"/>
              </w:rPr>
            </w:pPr>
            <w:r w:rsidRPr="001222EF">
              <w:rPr>
                <w:rFonts w:ascii="Noto Sans" w:eastAsia="Times New Roman" w:hAnsi="Noto Sans" w:cs="Noto Sans"/>
                <w:szCs w:val="19"/>
              </w:rPr>
              <w:t xml:space="preserve">This high quality and financially sound organisation ultimately provide us with a high level of assurance and comfort around the regulatory framework of the proposition and services we deliver to you, our clients.  </w:t>
            </w:r>
          </w:p>
          <w:p w14:paraId="6C54C1D7" w14:textId="77777777" w:rsidR="00D76E4F" w:rsidRPr="001222EF" w:rsidRDefault="00D76E4F" w:rsidP="00197D52">
            <w:pPr>
              <w:tabs>
                <w:tab w:val="left" w:pos="5630"/>
              </w:tabs>
              <w:rPr>
                <w:rFonts w:ascii="Noto Sans" w:eastAsia="Times New Roman" w:hAnsi="Noto Sans" w:cs="Noto Sans"/>
                <w:szCs w:val="19"/>
              </w:rPr>
            </w:pPr>
          </w:p>
          <w:p w14:paraId="0A9D4C9F" w14:textId="77777777" w:rsidR="00D76E4F" w:rsidRPr="001222EF" w:rsidRDefault="00D76E4F" w:rsidP="00D76E4F">
            <w:pPr>
              <w:pStyle w:val="ListParagraph"/>
              <w:numPr>
                <w:ilvl w:val="0"/>
                <w:numId w:val="27"/>
              </w:numPr>
              <w:tabs>
                <w:tab w:val="left" w:pos="5630"/>
              </w:tabs>
              <w:rPr>
                <w:rFonts w:ascii="Noto Sans" w:eastAsia="Times New Roman" w:hAnsi="Noto Sans" w:cs="Noto Sans"/>
                <w:szCs w:val="19"/>
              </w:rPr>
            </w:pPr>
            <w:r w:rsidRPr="001222EF">
              <w:rPr>
                <w:rFonts w:ascii="Noto Sans" w:eastAsia="Times New Roman" w:hAnsi="Noto Sans" w:cs="Noto Sans"/>
                <w:szCs w:val="19"/>
              </w:rPr>
              <w:t xml:space="preserve">By leveraging the quality and services of an organisation like Benchmark, a Schroders plc group company, we have comfort that we </w:t>
            </w:r>
            <w:r w:rsidRPr="001222EF">
              <w:rPr>
                <w:rFonts w:ascii="Noto Sans" w:eastAsia="Times New Roman" w:hAnsi="Noto Sans" w:cs="Noto Sans"/>
                <w:szCs w:val="19"/>
              </w:rPr>
              <w:lastRenderedPageBreak/>
              <w:t>will remain at the leading edge of our profession, ensuring we maintain a “Best Practice” approach to serving our clients.  Many of the benefits we derive, we see as having direct value add relevance for our clients, including:</w:t>
            </w:r>
          </w:p>
          <w:p w14:paraId="4F911872" w14:textId="77777777" w:rsidR="00D76E4F" w:rsidRPr="001222EF" w:rsidRDefault="00D76E4F" w:rsidP="00197D52">
            <w:pPr>
              <w:tabs>
                <w:tab w:val="left" w:pos="5630"/>
              </w:tabs>
              <w:rPr>
                <w:rFonts w:ascii="Noto Sans" w:eastAsia="Times New Roman" w:hAnsi="Noto Sans" w:cs="Noto Sans"/>
                <w:szCs w:val="19"/>
              </w:rPr>
            </w:pPr>
          </w:p>
          <w:p w14:paraId="0C63BF75" w14:textId="77777777" w:rsidR="00D76E4F" w:rsidRPr="001222EF" w:rsidRDefault="00D76E4F" w:rsidP="00D76E4F">
            <w:pPr>
              <w:pStyle w:val="ListParagraph"/>
              <w:numPr>
                <w:ilvl w:val="0"/>
                <w:numId w:val="28"/>
              </w:numPr>
              <w:tabs>
                <w:tab w:val="left" w:pos="5630"/>
              </w:tabs>
              <w:contextualSpacing w:val="0"/>
              <w:rPr>
                <w:rFonts w:ascii="Noto Sans" w:eastAsia="Times New Roman" w:hAnsi="Noto Sans" w:cs="Noto Sans"/>
                <w:szCs w:val="19"/>
              </w:rPr>
            </w:pPr>
            <w:r w:rsidRPr="001222EF">
              <w:rPr>
                <w:rFonts w:ascii="Noto Sans" w:eastAsia="Times New Roman" w:hAnsi="Noto Sans" w:cs="Noto Sans"/>
                <w:szCs w:val="19"/>
              </w:rPr>
              <w:t xml:space="preserve">The provision of an independent complaints handling process for </w:t>
            </w:r>
            <w:proofErr w:type="gramStart"/>
            <w:r w:rsidRPr="001222EF">
              <w:rPr>
                <w:rFonts w:ascii="Noto Sans" w:eastAsia="Times New Roman" w:hAnsi="Noto Sans" w:cs="Noto Sans"/>
                <w:szCs w:val="19"/>
              </w:rPr>
              <w:t>all of</w:t>
            </w:r>
            <w:proofErr w:type="gramEnd"/>
            <w:r w:rsidRPr="001222EF">
              <w:rPr>
                <w:rFonts w:ascii="Noto Sans" w:eastAsia="Times New Roman" w:hAnsi="Noto Sans" w:cs="Noto Sans"/>
                <w:szCs w:val="19"/>
              </w:rPr>
              <w:t xml:space="preserve"> our clients, </w:t>
            </w:r>
          </w:p>
          <w:p w14:paraId="69B4B083" w14:textId="77777777" w:rsidR="00D76E4F" w:rsidRPr="001222EF" w:rsidRDefault="00D76E4F" w:rsidP="00D76E4F">
            <w:pPr>
              <w:pStyle w:val="ListParagraph"/>
              <w:numPr>
                <w:ilvl w:val="0"/>
                <w:numId w:val="28"/>
              </w:numPr>
              <w:tabs>
                <w:tab w:val="left" w:pos="5630"/>
              </w:tabs>
              <w:contextualSpacing w:val="0"/>
              <w:rPr>
                <w:rFonts w:ascii="Noto Sans" w:eastAsia="Times New Roman" w:hAnsi="Noto Sans" w:cs="Noto Sans"/>
                <w:szCs w:val="19"/>
              </w:rPr>
            </w:pPr>
            <w:r w:rsidRPr="001222EF">
              <w:rPr>
                <w:rFonts w:ascii="Noto Sans" w:eastAsia="Times New Roman" w:hAnsi="Noto Sans" w:cs="Noto Sans"/>
                <w:szCs w:val="19"/>
              </w:rPr>
              <w:t>enhanced professional indemnity insurance</w:t>
            </w:r>
          </w:p>
          <w:p w14:paraId="53E47698" w14:textId="77777777" w:rsidR="00D76E4F" w:rsidRPr="001222EF" w:rsidRDefault="00D76E4F" w:rsidP="00D76E4F">
            <w:pPr>
              <w:pStyle w:val="ListParagraph"/>
              <w:numPr>
                <w:ilvl w:val="0"/>
                <w:numId w:val="28"/>
              </w:numPr>
              <w:tabs>
                <w:tab w:val="left" w:pos="5630"/>
              </w:tabs>
              <w:contextualSpacing w:val="0"/>
              <w:rPr>
                <w:rFonts w:ascii="Noto Sans" w:eastAsia="Times New Roman" w:hAnsi="Noto Sans" w:cs="Noto Sans"/>
                <w:szCs w:val="19"/>
              </w:rPr>
            </w:pPr>
            <w:r w:rsidRPr="001222EF">
              <w:rPr>
                <w:rFonts w:ascii="Noto Sans" w:eastAsia="Times New Roman" w:hAnsi="Noto Sans" w:cs="Noto Sans"/>
                <w:szCs w:val="19"/>
              </w:rPr>
              <w:t>integrated client technology systems, including the Wealth Platform</w:t>
            </w:r>
          </w:p>
          <w:p w14:paraId="7EA6795C" w14:textId="77777777" w:rsidR="00D76E4F" w:rsidRPr="001222EF" w:rsidRDefault="00D76E4F" w:rsidP="00D76E4F">
            <w:pPr>
              <w:pStyle w:val="ListParagraph"/>
              <w:numPr>
                <w:ilvl w:val="0"/>
                <w:numId w:val="28"/>
              </w:numPr>
              <w:tabs>
                <w:tab w:val="left" w:pos="5630"/>
              </w:tabs>
              <w:contextualSpacing w:val="0"/>
              <w:rPr>
                <w:rFonts w:ascii="Noto Sans" w:eastAsia="Times New Roman" w:hAnsi="Noto Sans" w:cs="Noto Sans"/>
                <w:szCs w:val="19"/>
              </w:rPr>
            </w:pPr>
            <w:r w:rsidRPr="001222EF">
              <w:rPr>
                <w:rFonts w:ascii="Noto Sans" w:eastAsia="Times New Roman" w:hAnsi="Noto Sans" w:cs="Noto Sans"/>
                <w:szCs w:val="19"/>
              </w:rPr>
              <w:t>independent compliance supervision of our advisers and the suitability of our client advice.</w:t>
            </w:r>
          </w:p>
          <w:p w14:paraId="538ABDF3" w14:textId="77777777" w:rsidR="00D76E4F" w:rsidRPr="001222EF" w:rsidRDefault="00D76E4F" w:rsidP="00197D52">
            <w:pPr>
              <w:pStyle w:val="Tabletext"/>
              <w:rPr>
                <w:szCs w:val="19"/>
              </w:rPr>
            </w:pPr>
          </w:p>
        </w:tc>
      </w:tr>
    </w:tbl>
    <w:p w14:paraId="556C5F39" w14:textId="77777777" w:rsidR="00D76E4F" w:rsidRDefault="00D76E4F" w:rsidP="00D76E4F">
      <w:pPr>
        <w:pStyle w:val="Sourcetext"/>
        <w:spacing w:before="120"/>
      </w:pPr>
      <w:bookmarkStart w:id="0" w:name="_Hlk139196196"/>
    </w:p>
    <w:tbl>
      <w:tblPr>
        <w:tblStyle w:val="TableGridLight"/>
        <w:tblW w:w="5000" w:type="pct"/>
        <w:tblLook w:val="0680" w:firstRow="0" w:lastRow="0" w:firstColumn="1" w:lastColumn="0" w:noHBand="1" w:noVBand="1"/>
      </w:tblPr>
      <w:tblGrid>
        <w:gridCol w:w="2547"/>
        <w:gridCol w:w="7365"/>
      </w:tblGrid>
      <w:tr w:rsidR="00D76E4F" w14:paraId="163D5D69" w14:textId="77777777" w:rsidTr="00197D52">
        <w:trPr>
          <w:trHeight w:val="402"/>
        </w:trPr>
        <w:tc>
          <w:tcPr>
            <w:tcW w:w="5000" w:type="pct"/>
            <w:gridSpan w:val="2"/>
            <w:shd w:val="clear" w:color="auto" w:fill="002A5E" w:themeFill="background2"/>
          </w:tcPr>
          <w:p w14:paraId="398DF6AF" w14:textId="77777777" w:rsidR="00D76E4F" w:rsidRPr="00C935A7" w:rsidRDefault="00D76E4F" w:rsidP="00197D52">
            <w:pPr>
              <w:pStyle w:val="TabletextBold0"/>
              <w:rPr>
                <w:b w:val="0"/>
                <w:bCs w:val="0"/>
                <w:color w:val="FFFFFF" w:themeColor="background1"/>
              </w:rPr>
            </w:pPr>
            <w:r w:rsidRPr="00B87082">
              <w:rPr>
                <w:bCs w:val="0"/>
                <w:color w:val="auto"/>
              </w:rPr>
              <w:t xml:space="preserve">Your Proposition </w:t>
            </w:r>
            <w:r>
              <w:rPr>
                <w:bCs w:val="0"/>
                <w:color w:val="auto"/>
              </w:rPr>
              <w:t>– Initial Advice (Onboarding)</w:t>
            </w:r>
          </w:p>
        </w:tc>
      </w:tr>
      <w:tr w:rsidR="00D76E4F" w14:paraId="4C202452" w14:textId="77777777" w:rsidTr="00197D52">
        <w:trPr>
          <w:trHeight w:val="1979"/>
        </w:trPr>
        <w:tc>
          <w:tcPr>
            <w:tcW w:w="1285" w:type="pct"/>
          </w:tcPr>
          <w:p w14:paraId="4B3543B6" w14:textId="67BE082C" w:rsidR="00D76E4F" w:rsidRPr="001222EF" w:rsidRDefault="00D76E4F" w:rsidP="001222EF">
            <w:pPr>
              <w:spacing w:before="120"/>
              <w:rPr>
                <w:rFonts w:ascii="Noto Sans" w:hAnsi="Noto Sans" w:cs="Noto Sans"/>
                <w:szCs w:val="19"/>
              </w:rPr>
            </w:pPr>
            <w:r w:rsidRPr="001222EF">
              <w:rPr>
                <w:rFonts w:ascii="Noto Sans" w:hAnsi="Noto Sans" w:cs="Noto Sans"/>
                <w:szCs w:val="19"/>
              </w:rPr>
              <w:t>Our initial advice process and what value will your clients derive from this?</w:t>
            </w:r>
          </w:p>
          <w:p w14:paraId="55736A4B" w14:textId="77777777" w:rsidR="00D76E4F" w:rsidRPr="001222EF" w:rsidRDefault="00D76E4F" w:rsidP="00197D52">
            <w:pPr>
              <w:pStyle w:val="TabletextBold0"/>
              <w:rPr>
                <w:b w:val="0"/>
                <w:bCs w:val="0"/>
                <w:color w:val="FFFFFF" w:themeColor="background1"/>
                <w:szCs w:val="19"/>
              </w:rPr>
            </w:pPr>
          </w:p>
        </w:tc>
        <w:tc>
          <w:tcPr>
            <w:tcW w:w="3715" w:type="pct"/>
          </w:tcPr>
          <w:p w14:paraId="47C19C88" w14:textId="77777777" w:rsidR="00D76E4F" w:rsidRPr="001222EF" w:rsidRDefault="00D76E4F" w:rsidP="00197D52">
            <w:pPr>
              <w:rPr>
                <w:rFonts w:ascii="Noto Sans" w:hAnsi="Noto Sans" w:cs="Noto Sans"/>
                <w:b/>
                <w:bCs/>
                <w:color w:val="0070C0"/>
                <w:szCs w:val="19"/>
                <w:u w:val="single"/>
              </w:rPr>
            </w:pPr>
          </w:p>
          <w:p w14:paraId="699EECB6" w14:textId="77777777" w:rsidR="00D76E4F" w:rsidRPr="00C03BB7" w:rsidRDefault="00D76E4F" w:rsidP="00197D52">
            <w:pPr>
              <w:rPr>
                <w:rFonts w:ascii="Noto Sans" w:hAnsi="Noto Sans" w:cs="Noto Sans"/>
                <w:b/>
                <w:bCs/>
                <w:szCs w:val="19"/>
              </w:rPr>
            </w:pPr>
            <w:r w:rsidRPr="00C03BB7">
              <w:rPr>
                <w:rFonts w:ascii="Noto Sans" w:hAnsi="Noto Sans" w:cs="Noto Sans"/>
                <w:b/>
                <w:bCs/>
                <w:szCs w:val="19"/>
              </w:rPr>
              <w:t>Initial Advice</w:t>
            </w:r>
          </w:p>
          <w:p w14:paraId="10EC041F" w14:textId="77777777" w:rsidR="00D76E4F" w:rsidRPr="001222EF" w:rsidRDefault="00D76E4F" w:rsidP="00197D52">
            <w:pPr>
              <w:rPr>
                <w:rFonts w:ascii="Noto Sans" w:hAnsi="Noto Sans" w:cs="Noto Sans"/>
                <w:color w:val="0070C0"/>
                <w:szCs w:val="19"/>
                <w:u w:val="single"/>
              </w:rPr>
            </w:pPr>
          </w:p>
          <w:p w14:paraId="4966D25B" w14:textId="77777777" w:rsidR="00D76E4F" w:rsidRPr="001222EF" w:rsidRDefault="00D76E4F" w:rsidP="00197D52">
            <w:pPr>
              <w:rPr>
                <w:rFonts w:ascii="Noto Sans" w:hAnsi="Noto Sans" w:cs="Noto Sans"/>
                <w:szCs w:val="19"/>
              </w:rPr>
            </w:pPr>
            <w:r w:rsidRPr="001222EF">
              <w:rPr>
                <w:rFonts w:ascii="Noto Sans" w:hAnsi="Noto Sans" w:cs="Noto Sans"/>
                <w:szCs w:val="19"/>
              </w:rPr>
              <w:t>Our initial advice process is followed with every new client, setting the baseline for an on-going value-based relationship with clients. WWM will:</w:t>
            </w:r>
          </w:p>
          <w:p w14:paraId="08A0D6A3" w14:textId="77777777" w:rsidR="00D76E4F" w:rsidRPr="001222EF" w:rsidRDefault="00D76E4F" w:rsidP="00197D52">
            <w:pPr>
              <w:rPr>
                <w:rFonts w:ascii="Noto Sans" w:hAnsi="Noto Sans" w:cs="Noto Sans"/>
                <w:szCs w:val="19"/>
              </w:rPr>
            </w:pPr>
          </w:p>
          <w:p w14:paraId="1D56DC12"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Have a Discovery Meeting</w:t>
            </w:r>
          </w:p>
          <w:p w14:paraId="28456280"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 xml:space="preserve">Full get you know you meeting and fact finding. </w:t>
            </w:r>
          </w:p>
          <w:p w14:paraId="08E098AD"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Establish your goals and objectives / needs and wants.</w:t>
            </w:r>
          </w:p>
          <w:p w14:paraId="2B4DE5F6"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Establish your priorities</w:t>
            </w:r>
          </w:p>
          <w:p w14:paraId="667BE249"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Establish your attitude to risk and capacity for loss</w:t>
            </w:r>
          </w:p>
          <w:p w14:paraId="39A4F525"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Provide an engagement Letter and Service Charter and proceed to</w:t>
            </w:r>
          </w:p>
          <w:p w14:paraId="085D5221"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Analysis of existing planning</w:t>
            </w:r>
          </w:p>
          <w:p w14:paraId="7F246C9D"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Research of potential solutions</w:t>
            </w:r>
          </w:p>
          <w:p w14:paraId="3367BED1"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Construct a holistic financial plan</w:t>
            </w:r>
          </w:p>
          <w:p w14:paraId="2E103477"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Meet to discuss the financial plan and recommendations.</w:t>
            </w:r>
          </w:p>
          <w:p w14:paraId="3EB97938" w14:textId="77777777" w:rsidR="00D76E4F" w:rsidRPr="001222EF" w:rsidRDefault="00D76E4F" w:rsidP="00D76E4F">
            <w:pPr>
              <w:pStyle w:val="ListParagraph"/>
              <w:numPr>
                <w:ilvl w:val="0"/>
                <w:numId w:val="29"/>
              </w:numPr>
              <w:rPr>
                <w:rFonts w:ascii="Noto Sans" w:hAnsi="Noto Sans" w:cs="Noto Sans"/>
                <w:szCs w:val="19"/>
              </w:rPr>
            </w:pPr>
            <w:r w:rsidRPr="001222EF">
              <w:rPr>
                <w:rFonts w:ascii="Noto Sans" w:hAnsi="Noto Sans" w:cs="Noto Sans"/>
                <w:szCs w:val="19"/>
              </w:rPr>
              <w:t xml:space="preserve">Agree implementation. </w:t>
            </w:r>
          </w:p>
          <w:p w14:paraId="6C6C37D3" w14:textId="77777777" w:rsidR="00D76E4F" w:rsidRPr="001222EF" w:rsidRDefault="00D76E4F" w:rsidP="00197D52">
            <w:pPr>
              <w:rPr>
                <w:rFonts w:ascii="Noto Sans" w:hAnsi="Noto Sans" w:cs="Noto Sans"/>
                <w:szCs w:val="19"/>
              </w:rPr>
            </w:pPr>
          </w:p>
          <w:p w14:paraId="7868232D" w14:textId="77777777" w:rsidR="00D76E4F" w:rsidRPr="001222EF" w:rsidRDefault="00D76E4F" w:rsidP="00EE41F5">
            <w:pPr>
              <w:rPr>
                <w:rFonts w:ascii="Noto Sans" w:hAnsi="Noto Sans" w:cs="Noto Sans"/>
                <w:szCs w:val="19"/>
              </w:rPr>
            </w:pPr>
            <w:r w:rsidRPr="001222EF">
              <w:rPr>
                <w:rFonts w:ascii="Noto Sans" w:hAnsi="Noto Sans" w:cs="Noto Sans"/>
                <w:szCs w:val="19"/>
              </w:rPr>
              <w:t>This process provides clarity, includes helpful illustrations and disclosures   and includes an explanation of the services offered by the firm and how we work, our professionalism, as well as our service proposition and fees.</w:t>
            </w:r>
          </w:p>
          <w:p w14:paraId="6EE7C291" w14:textId="7F45CABB" w:rsidR="001222EF" w:rsidRPr="001222EF" w:rsidRDefault="001222EF" w:rsidP="00EE41F5">
            <w:pPr>
              <w:rPr>
                <w:szCs w:val="19"/>
              </w:rPr>
            </w:pPr>
          </w:p>
        </w:tc>
      </w:tr>
    </w:tbl>
    <w:p w14:paraId="2359BA53" w14:textId="77777777" w:rsidR="001222EF" w:rsidRDefault="001222EF" w:rsidP="00D76E4F">
      <w:pPr>
        <w:pStyle w:val="Sourcetext"/>
        <w:spacing w:before="120"/>
      </w:pPr>
      <w:bookmarkStart w:id="1" w:name="_Hlk139196465"/>
      <w:bookmarkEnd w:id="0"/>
    </w:p>
    <w:tbl>
      <w:tblPr>
        <w:tblStyle w:val="TableGridLight"/>
        <w:tblW w:w="5000" w:type="pct"/>
        <w:tblLook w:val="0680" w:firstRow="0" w:lastRow="0" w:firstColumn="1" w:lastColumn="0" w:noHBand="1" w:noVBand="1"/>
      </w:tblPr>
      <w:tblGrid>
        <w:gridCol w:w="2547"/>
        <w:gridCol w:w="7365"/>
      </w:tblGrid>
      <w:tr w:rsidR="00D76E4F" w14:paraId="2C072B2B" w14:textId="77777777" w:rsidTr="00197D52">
        <w:trPr>
          <w:trHeight w:val="402"/>
        </w:trPr>
        <w:tc>
          <w:tcPr>
            <w:tcW w:w="5000" w:type="pct"/>
            <w:gridSpan w:val="2"/>
            <w:shd w:val="clear" w:color="auto" w:fill="002A5E" w:themeFill="background2"/>
          </w:tcPr>
          <w:p w14:paraId="5AB6A5E5"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Annual Review Service</w:t>
            </w:r>
          </w:p>
        </w:tc>
      </w:tr>
      <w:tr w:rsidR="00D76E4F" w14:paraId="417ADBA6" w14:textId="77777777" w:rsidTr="00197D52">
        <w:trPr>
          <w:trHeight w:val="1979"/>
        </w:trPr>
        <w:tc>
          <w:tcPr>
            <w:tcW w:w="1285" w:type="pct"/>
          </w:tcPr>
          <w:p w14:paraId="2A0FD675" w14:textId="77777777" w:rsidR="00D76E4F" w:rsidRPr="001222EF" w:rsidRDefault="00D76E4F" w:rsidP="00197D52">
            <w:pPr>
              <w:rPr>
                <w:rFonts w:ascii="Noto Sans" w:hAnsi="Noto Sans" w:cs="Noto Sans"/>
                <w:szCs w:val="19"/>
              </w:rPr>
            </w:pPr>
          </w:p>
          <w:p w14:paraId="3CA30512" w14:textId="77777777" w:rsidR="00D76E4F" w:rsidRPr="001222EF" w:rsidRDefault="00D76E4F" w:rsidP="00197D52">
            <w:pPr>
              <w:rPr>
                <w:rFonts w:ascii="Noto Sans" w:hAnsi="Noto Sans" w:cs="Noto Sans"/>
                <w:szCs w:val="19"/>
              </w:rPr>
            </w:pPr>
            <w:r w:rsidRPr="001222EF">
              <w:rPr>
                <w:rFonts w:ascii="Noto Sans" w:hAnsi="Noto Sans" w:cs="Noto Sans"/>
                <w:szCs w:val="19"/>
              </w:rPr>
              <w:t>The advisory services we deliver as a Financial Planning Firm are listed here along with the value our clients derive from each of these services.</w:t>
            </w:r>
          </w:p>
          <w:p w14:paraId="550650B7" w14:textId="77777777" w:rsidR="00D76E4F" w:rsidRPr="001222EF" w:rsidRDefault="00D76E4F" w:rsidP="00197D52">
            <w:pPr>
              <w:pStyle w:val="TabletextBold0"/>
              <w:rPr>
                <w:b w:val="0"/>
                <w:bCs w:val="0"/>
                <w:color w:val="FFFFFF" w:themeColor="background1"/>
                <w:szCs w:val="19"/>
              </w:rPr>
            </w:pPr>
          </w:p>
        </w:tc>
        <w:tc>
          <w:tcPr>
            <w:tcW w:w="3715" w:type="pct"/>
          </w:tcPr>
          <w:p w14:paraId="6E5359C4" w14:textId="77777777" w:rsidR="00D76E4F" w:rsidRPr="001222EF" w:rsidRDefault="00D76E4F" w:rsidP="00197D52">
            <w:pPr>
              <w:rPr>
                <w:rFonts w:ascii="Noto Sans" w:hAnsi="Noto Sans" w:cs="Noto Sans"/>
                <w:szCs w:val="19"/>
              </w:rPr>
            </w:pPr>
          </w:p>
          <w:p w14:paraId="0EA79384" w14:textId="4D29E419" w:rsidR="00D76E4F" w:rsidRPr="001222EF" w:rsidRDefault="00D76E4F" w:rsidP="00197D52">
            <w:pPr>
              <w:rPr>
                <w:rFonts w:ascii="Noto Sans" w:hAnsi="Noto Sans" w:cs="Noto Sans"/>
                <w:b/>
                <w:bCs/>
                <w:szCs w:val="19"/>
              </w:rPr>
            </w:pPr>
            <w:r w:rsidRPr="001222EF">
              <w:rPr>
                <w:rFonts w:ascii="Noto Sans" w:hAnsi="Noto Sans" w:cs="Noto Sans"/>
                <w:b/>
                <w:bCs/>
                <w:szCs w:val="19"/>
              </w:rPr>
              <w:t xml:space="preserve">Annual Review </w:t>
            </w:r>
            <w:r w:rsidR="00EE41F5" w:rsidRPr="001222EF">
              <w:rPr>
                <w:rFonts w:ascii="Noto Sans" w:hAnsi="Noto Sans" w:cs="Noto Sans"/>
                <w:b/>
                <w:bCs/>
                <w:szCs w:val="19"/>
              </w:rPr>
              <w:t>Service</w:t>
            </w:r>
          </w:p>
          <w:p w14:paraId="4DD2E43A" w14:textId="77777777" w:rsidR="00D76E4F" w:rsidRPr="001222EF" w:rsidRDefault="00D76E4F" w:rsidP="00197D52">
            <w:pPr>
              <w:rPr>
                <w:rFonts w:ascii="Noto Sans" w:hAnsi="Noto Sans" w:cs="Noto Sans"/>
                <w:szCs w:val="19"/>
              </w:rPr>
            </w:pPr>
          </w:p>
          <w:p w14:paraId="2E8A6488" w14:textId="77777777" w:rsidR="00D76E4F" w:rsidRPr="001222EF" w:rsidRDefault="00D76E4F" w:rsidP="00D76E4F">
            <w:pPr>
              <w:pStyle w:val="ListParagraph"/>
              <w:numPr>
                <w:ilvl w:val="0"/>
                <w:numId w:val="30"/>
              </w:numPr>
              <w:rPr>
                <w:rFonts w:ascii="Noto Sans" w:hAnsi="Noto Sans" w:cs="Noto Sans"/>
                <w:szCs w:val="19"/>
              </w:rPr>
            </w:pPr>
            <w:r w:rsidRPr="001222EF">
              <w:rPr>
                <w:rFonts w:ascii="Noto Sans" w:hAnsi="Noto Sans" w:cs="Noto Sans"/>
                <w:szCs w:val="19"/>
              </w:rPr>
              <w:t>For us and our clients, this is an integral part of the financial planning journey and our annual ongoing advisory service.  It gives us an opportunity to sit down with you and your family, to reflect on the past year and to look forward and consider what might be on the horizon for you in the coming years.  To give you reassurance and peace of mind about how your investments are tracking against your goals and to review our plans in the context of any changing circumstances in your life, new goals, or changes in your objectives.</w:t>
            </w:r>
          </w:p>
          <w:p w14:paraId="0E3F789F" w14:textId="77777777" w:rsidR="00D76E4F" w:rsidRPr="001222EF" w:rsidRDefault="00D76E4F" w:rsidP="00197D52">
            <w:pPr>
              <w:rPr>
                <w:rFonts w:ascii="Noto Sans" w:hAnsi="Noto Sans" w:cs="Noto Sans"/>
                <w:szCs w:val="19"/>
              </w:rPr>
            </w:pPr>
          </w:p>
          <w:p w14:paraId="34031C9E" w14:textId="77777777" w:rsidR="00D76E4F" w:rsidRPr="001222EF" w:rsidRDefault="00D76E4F" w:rsidP="00D76E4F">
            <w:pPr>
              <w:pStyle w:val="ListParagraph"/>
              <w:numPr>
                <w:ilvl w:val="0"/>
                <w:numId w:val="30"/>
              </w:numPr>
              <w:rPr>
                <w:rFonts w:ascii="Noto Sans" w:hAnsi="Noto Sans" w:cs="Noto Sans"/>
                <w:szCs w:val="19"/>
              </w:rPr>
            </w:pPr>
            <w:r w:rsidRPr="001222EF">
              <w:rPr>
                <w:rFonts w:ascii="Noto Sans" w:hAnsi="Noto Sans" w:cs="Noto Sans"/>
                <w:szCs w:val="19"/>
              </w:rPr>
              <w:t xml:space="preserve">We consider the outlook for markets and the economic landscape and changing tax regulations which might impact on your current plans. We </w:t>
            </w:r>
            <w:r w:rsidRPr="001222EF">
              <w:rPr>
                <w:rFonts w:ascii="Noto Sans" w:hAnsi="Noto Sans" w:cs="Noto Sans"/>
                <w:szCs w:val="19"/>
              </w:rPr>
              <w:lastRenderedPageBreak/>
              <w:t xml:space="preserve">make sure everything we are doing remains suitable and is aimed at helping you and your family to achieve your goals. </w:t>
            </w:r>
          </w:p>
          <w:p w14:paraId="766D9D5B" w14:textId="77777777" w:rsidR="00D76E4F" w:rsidRPr="001222EF" w:rsidRDefault="00D76E4F" w:rsidP="00197D52">
            <w:pPr>
              <w:rPr>
                <w:rFonts w:ascii="Noto Sans" w:hAnsi="Noto Sans" w:cs="Noto Sans"/>
                <w:szCs w:val="19"/>
              </w:rPr>
            </w:pPr>
          </w:p>
          <w:p w14:paraId="663AA298" w14:textId="77777777" w:rsidR="00D76E4F" w:rsidRPr="001222EF" w:rsidRDefault="00D76E4F" w:rsidP="00D76E4F">
            <w:pPr>
              <w:pStyle w:val="ListParagraph"/>
              <w:numPr>
                <w:ilvl w:val="0"/>
                <w:numId w:val="30"/>
              </w:numPr>
              <w:rPr>
                <w:rFonts w:ascii="Noto Sans" w:hAnsi="Noto Sans" w:cs="Noto Sans"/>
                <w:szCs w:val="19"/>
              </w:rPr>
            </w:pPr>
            <w:r w:rsidRPr="001222EF">
              <w:rPr>
                <w:rFonts w:ascii="Noto Sans" w:hAnsi="Noto Sans" w:cs="Noto Sans"/>
                <w:szCs w:val="19"/>
              </w:rPr>
              <w:t>An opportunity to think about the coming years, plans for your family, begin to consider key life stages and events and how we might need to adapt our plans for them.</w:t>
            </w:r>
          </w:p>
          <w:p w14:paraId="727C88D8" w14:textId="77777777" w:rsidR="00D76E4F" w:rsidRPr="001222EF" w:rsidRDefault="00D76E4F" w:rsidP="00197D52">
            <w:pPr>
              <w:rPr>
                <w:rFonts w:ascii="Noto Sans" w:hAnsi="Noto Sans" w:cs="Noto Sans"/>
                <w:szCs w:val="19"/>
              </w:rPr>
            </w:pPr>
          </w:p>
          <w:p w14:paraId="2E9AA854" w14:textId="77777777" w:rsidR="00D76E4F" w:rsidRPr="001222EF" w:rsidRDefault="00D76E4F" w:rsidP="00D76E4F">
            <w:pPr>
              <w:pStyle w:val="ListParagraph"/>
              <w:numPr>
                <w:ilvl w:val="0"/>
                <w:numId w:val="30"/>
              </w:numPr>
              <w:rPr>
                <w:rFonts w:ascii="Noto Sans" w:hAnsi="Noto Sans" w:cs="Noto Sans"/>
                <w:szCs w:val="19"/>
              </w:rPr>
            </w:pPr>
            <w:r w:rsidRPr="001222EF">
              <w:rPr>
                <w:rFonts w:ascii="Noto Sans" w:hAnsi="Noto Sans" w:cs="Noto Sans"/>
                <w:szCs w:val="19"/>
              </w:rPr>
              <w:t>Ensures your current position is still appropriate for you.</w:t>
            </w:r>
          </w:p>
          <w:p w14:paraId="7E385AAE" w14:textId="77777777" w:rsidR="00D76E4F" w:rsidRPr="001222EF" w:rsidRDefault="00D76E4F" w:rsidP="00197D52">
            <w:pPr>
              <w:pStyle w:val="ListParagraph"/>
              <w:rPr>
                <w:rFonts w:ascii="Noto Sans" w:hAnsi="Noto Sans" w:cs="Noto Sans"/>
                <w:szCs w:val="19"/>
              </w:rPr>
            </w:pPr>
          </w:p>
          <w:p w14:paraId="1EFF6EC6" w14:textId="5890B2ED" w:rsidR="00D76E4F" w:rsidRPr="001222EF" w:rsidRDefault="00D76E4F" w:rsidP="00835020">
            <w:pPr>
              <w:pStyle w:val="ListParagraph"/>
              <w:numPr>
                <w:ilvl w:val="0"/>
                <w:numId w:val="30"/>
              </w:numPr>
              <w:rPr>
                <w:rFonts w:ascii="Noto Sans" w:hAnsi="Noto Sans" w:cs="Noto Sans"/>
                <w:szCs w:val="19"/>
              </w:rPr>
            </w:pPr>
            <w:r w:rsidRPr="001222EF">
              <w:rPr>
                <w:rFonts w:ascii="Noto Sans" w:hAnsi="Noto Sans" w:cs="Noto Sans"/>
                <w:szCs w:val="19"/>
              </w:rPr>
              <w:t>Include a summary letter to confirm what actions are required such as top ups to existing investments / pensions.</w:t>
            </w:r>
          </w:p>
          <w:p w14:paraId="48495CD3" w14:textId="77777777" w:rsidR="00D76E4F" w:rsidRPr="001222EF" w:rsidRDefault="00D76E4F" w:rsidP="00197D52">
            <w:pPr>
              <w:pStyle w:val="ListParagraph"/>
              <w:tabs>
                <w:tab w:val="left" w:pos="5630"/>
              </w:tabs>
              <w:ind w:left="0"/>
              <w:contextualSpacing w:val="0"/>
              <w:rPr>
                <w:szCs w:val="19"/>
              </w:rPr>
            </w:pPr>
          </w:p>
        </w:tc>
      </w:tr>
    </w:tbl>
    <w:p w14:paraId="15902AB5" w14:textId="77777777" w:rsidR="00D76E4F" w:rsidRDefault="00D76E4F" w:rsidP="00D76E4F">
      <w:pPr>
        <w:pStyle w:val="Sourcetext"/>
        <w:spacing w:before="120"/>
      </w:pPr>
      <w:bookmarkStart w:id="2" w:name="_Hlk139196565"/>
      <w:bookmarkEnd w:id="1"/>
    </w:p>
    <w:tbl>
      <w:tblPr>
        <w:tblStyle w:val="TableGridLight"/>
        <w:tblW w:w="5000" w:type="pct"/>
        <w:tblLook w:val="0680" w:firstRow="0" w:lastRow="0" w:firstColumn="1" w:lastColumn="0" w:noHBand="1" w:noVBand="1"/>
      </w:tblPr>
      <w:tblGrid>
        <w:gridCol w:w="2547"/>
        <w:gridCol w:w="7365"/>
      </w:tblGrid>
      <w:tr w:rsidR="00D76E4F" w14:paraId="18344607" w14:textId="77777777" w:rsidTr="00197D52">
        <w:trPr>
          <w:trHeight w:val="402"/>
        </w:trPr>
        <w:tc>
          <w:tcPr>
            <w:tcW w:w="5000" w:type="pct"/>
            <w:gridSpan w:val="2"/>
            <w:shd w:val="clear" w:color="auto" w:fill="002A5E" w:themeFill="background2"/>
          </w:tcPr>
          <w:p w14:paraId="56C32A22"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Annual Review Service with Cash Flow Planning / Forecasting</w:t>
            </w:r>
          </w:p>
        </w:tc>
      </w:tr>
      <w:tr w:rsidR="00D76E4F" w14:paraId="7CAA2765" w14:textId="77777777" w:rsidTr="00197D52">
        <w:trPr>
          <w:trHeight w:val="1979"/>
        </w:trPr>
        <w:tc>
          <w:tcPr>
            <w:tcW w:w="1285" w:type="pct"/>
          </w:tcPr>
          <w:p w14:paraId="286F2EB2" w14:textId="77777777" w:rsidR="00D76E4F" w:rsidRPr="001222EF" w:rsidRDefault="00D76E4F" w:rsidP="00197D52">
            <w:pPr>
              <w:rPr>
                <w:rFonts w:ascii="Noto Sans" w:hAnsi="Noto Sans" w:cs="Noto Sans"/>
                <w:szCs w:val="19"/>
              </w:rPr>
            </w:pPr>
          </w:p>
          <w:p w14:paraId="4C5F2653" w14:textId="77777777" w:rsidR="00D76E4F" w:rsidRPr="001222EF" w:rsidRDefault="00D76E4F" w:rsidP="00197D52">
            <w:pPr>
              <w:rPr>
                <w:rFonts w:ascii="Noto Sans" w:hAnsi="Noto Sans" w:cs="Noto Sans"/>
                <w:szCs w:val="19"/>
              </w:rPr>
            </w:pPr>
            <w:r w:rsidRPr="001222EF">
              <w:rPr>
                <w:rFonts w:ascii="Noto Sans" w:hAnsi="Noto Sans" w:cs="Noto Sans"/>
                <w:szCs w:val="19"/>
              </w:rPr>
              <w:t>Most clients find a cashflow helpful and is part of the annual review process</w:t>
            </w:r>
          </w:p>
          <w:p w14:paraId="794E18D0" w14:textId="77777777" w:rsidR="00D76E4F" w:rsidRPr="001222EF" w:rsidRDefault="00D76E4F" w:rsidP="00197D52">
            <w:pPr>
              <w:pStyle w:val="TabletextBold0"/>
              <w:rPr>
                <w:b w:val="0"/>
                <w:bCs w:val="0"/>
                <w:color w:val="FFFFFF" w:themeColor="background1"/>
                <w:szCs w:val="19"/>
              </w:rPr>
            </w:pPr>
          </w:p>
        </w:tc>
        <w:tc>
          <w:tcPr>
            <w:tcW w:w="3715" w:type="pct"/>
          </w:tcPr>
          <w:p w14:paraId="441ADB86" w14:textId="77777777" w:rsidR="00D76E4F" w:rsidRPr="001222EF" w:rsidRDefault="00D76E4F" w:rsidP="00197D52">
            <w:pPr>
              <w:rPr>
                <w:rFonts w:ascii="Noto Sans" w:hAnsi="Noto Sans" w:cs="Noto Sans"/>
                <w:color w:val="0070C0"/>
                <w:szCs w:val="19"/>
                <w:u w:val="single"/>
              </w:rPr>
            </w:pPr>
          </w:p>
          <w:p w14:paraId="5564762D"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Cash flow Planning</w:t>
            </w:r>
          </w:p>
          <w:p w14:paraId="0A1675AA" w14:textId="77777777" w:rsidR="00D76E4F" w:rsidRPr="001222EF" w:rsidRDefault="00D76E4F" w:rsidP="00197D52">
            <w:pPr>
              <w:rPr>
                <w:rFonts w:ascii="Noto Sans" w:hAnsi="Noto Sans" w:cs="Noto Sans"/>
                <w:szCs w:val="19"/>
              </w:rPr>
            </w:pPr>
          </w:p>
          <w:p w14:paraId="1AACC204" w14:textId="77777777" w:rsidR="00D76E4F" w:rsidRPr="001222EF" w:rsidRDefault="00D76E4F" w:rsidP="00D76E4F">
            <w:pPr>
              <w:pStyle w:val="ListParagraph"/>
              <w:numPr>
                <w:ilvl w:val="0"/>
                <w:numId w:val="31"/>
              </w:numPr>
              <w:rPr>
                <w:rFonts w:ascii="Noto Sans" w:hAnsi="Noto Sans" w:cs="Noto Sans"/>
                <w:szCs w:val="19"/>
              </w:rPr>
            </w:pPr>
            <w:r w:rsidRPr="001222EF">
              <w:rPr>
                <w:rFonts w:ascii="Noto Sans" w:hAnsi="Noto Sans" w:cs="Noto Sans"/>
                <w:szCs w:val="19"/>
              </w:rPr>
              <w:t>Helps us to show you visually how your plan has been set up to meet your objectives.</w:t>
            </w:r>
          </w:p>
          <w:p w14:paraId="709BE353" w14:textId="77777777" w:rsidR="00D76E4F" w:rsidRPr="001222EF" w:rsidRDefault="00D76E4F" w:rsidP="00197D52">
            <w:pPr>
              <w:rPr>
                <w:rFonts w:ascii="Noto Sans" w:hAnsi="Noto Sans" w:cs="Noto Sans"/>
                <w:szCs w:val="19"/>
              </w:rPr>
            </w:pPr>
          </w:p>
          <w:p w14:paraId="276CD91F" w14:textId="77777777" w:rsidR="00D76E4F" w:rsidRPr="001222EF" w:rsidRDefault="00D76E4F" w:rsidP="00D76E4F">
            <w:pPr>
              <w:pStyle w:val="ListParagraph"/>
              <w:numPr>
                <w:ilvl w:val="0"/>
                <w:numId w:val="31"/>
              </w:numPr>
              <w:rPr>
                <w:rFonts w:ascii="Noto Sans" w:hAnsi="Noto Sans" w:cs="Noto Sans"/>
                <w:szCs w:val="19"/>
              </w:rPr>
            </w:pPr>
            <w:r w:rsidRPr="001222EF">
              <w:rPr>
                <w:rFonts w:ascii="Noto Sans" w:hAnsi="Noto Sans" w:cs="Noto Sans"/>
                <w:szCs w:val="19"/>
              </w:rPr>
              <w:t xml:space="preserve">The cash flow forecasting provides a visual illustration of how a client’s investments and wealth will move over time in relation to the financial plans that we formulate to meet their goals.  This gives clients considerable comfort knowing that there is some mathematical rigour to our advice and how it will help them to meet their goals.  </w:t>
            </w:r>
          </w:p>
          <w:p w14:paraId="15D23861" w14:textId="77777777" w:rsidR="00D76E4F" w:rsidRPr="001222EF" w:rsidRDefault="00D76E4F" w:rsidP="00197D52">
            <w:pPr>
              <w:rPr>
                <w:rFonts w:ascii="Noto Sans" w:hAnsi="Noto Sans" w:cs="Noto Sans"/>
                <w:szCs w:val="19"/>
              </w:rPr>
            </w:pPr>
          </w:p>
          <w:p w14:paraId="5A1F4515" w14:textId="0CE733F9" w:rsidR="00D76E4F" w:rsidRPr="001222EF" w:rsidRDefault="00D76E4F" w:rsidP="00BE63AC">
            <w:pPr>
              <w:pStyle w:val="ListParagraph"/>
              <w:numPr>
                <w:ilvl w:val="0"/>
                <w:numId w:val="31"/>
              </w:numPr>
              <w:rPr>
                <w:szCs w:val="19"/>
              </w:rPr>
            </w:pPr>
            <w:r w:rsidRPr="001222EF">
              <w:rPr>
                <w:rFonts w:ascii="Noto Sans" w:hAnsi="Noto Sans" w:cs="Noto Sans"/>
                <w:szCs w:val="19"/>
              </w:rPr>
              <w:t>Cash flow planning allows us to scenario test your plans against historical market events and simulate how our clients’ goals could be impacted by these types of events.  It allows us to show how risk events might impact portfolios.  It’s a really great way to help you understand more about investment risks and how it translates to the plans you have in place.  It helps you to feel more informed and comfortable about your plans.</w:t>
            </w:r>
          </w:p>
        </w:tc>
      </w:tr>
      <w:bookmarkEnd w:id="2"/>
    </w:tbl>
    <w:p w14:paraId="3736A5A3"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4B0D7794" w14:textId="77777777" w:rsidTr="00197D52">
        <w:trPr>
          <w:trHeight w:val="402"/>
        </w:trPr>
        <w:tc>
          <w:tcPr>
            <w:tcW w:w="5000" w:type="pct"/>
            <w:gridSpan w:val="2"/>
            <w:shd w:val="clear" w:color="auto" w:fill="002A5E" w:themeFill="background2"/>
          </w:tcPr>
          <w:p w14:paraId="467D2BFE"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Family Protection Planning</w:t>
            </w:r>
          </w:p>
        </w:tc>
      </w:tr>
      <w:tr w:rsidR="00D76E4F" w14:paraId="4D9FB34B" w14:textId="77777777" w:rsidTr="00197D52">
        <w:trPr>
          <w:trHeight w:val="1125"/>
        </w:trPr>
        <w:tc>
          <w:tcPr>
            <w:tcW w:w="1285" w:type="pct"/>
          </w:tcPr>
          <w:p w14:paraId="5EB14D78" w14:textId="77777777" w:rsidR="00D76E4F" w:rsidRPr="001222EF" w:rsidRDefault="00D76E4F" w:rsidP="00197D52">
            <w:pPr>
              <w:rPr>
                <w:rFonts w:ascii="Noto Sans" w:hAnsi="Noto Sans" w:cs="Noto Sans"/>
                <w:szCs w:val="19"/>
              </w:rPr>
            </w:pPr>
          </w:p>
          <w:p w14:paraId="52F5D33A"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3BB541B8" w14:textId="77777777" w:rsidR="00D76E4F" w:rsidRPr="001222EF" w:rsidRDefault="00D76E4F" w:rsidP="00197D52">
            <w:pPr>
              <w:pStyle w:val="TabletextBold0"/>
              <w:rPr>
                <w:b w:val="0"/>
                <w:bCs w:val="0"/>
                <w:color w:val="FFFFFF" w:themeColor="background1"/>
                <w:szCs w:val="19"/>
              </w:rPr>
            </w:pPr>
          </w:p>
        </w:tc>
        <w:tc>
          <w:tcPr>
            <w:tcW w:w="3715" w:type="pct"/>
          </w:tcPr>
          <w:p w14:paraId="33A70E08" w14:textId="77777777" w:rsidR="00D76E4F" w:rsidRPr="001222EF" w:rsidRDefault="00D76E4F" w:rsidP="00197D52">
            <w:pPr>
              <w:rPr>
                <w:rFonts w:ascii="Noto Sans" w:hAnsi="Noto Sans" w:cs="Noto Sans"/>
                <w:color w:val="0070C0"/>
                <w:szCs w:val="19"/>
                <w:u w:val="single"/>
              </w:rPr>
            </w:pPr>
          </w:p>
          <w:p w14:paraId="2AD208BF" w14:textId="3AEB8D9F" w:rsidR="00D76E4F" w:rsidRPr="001222EF" w:rsidRDefault="00BE63AC" w:rsidP="00BE63AC">
            <w:pPr>
              <w:rPr>
                <w:rFonts w:ascii="Noto Sans" w:hAnsi="Noto Sans" w:cs="Noto Sans"/>
                <w:b/>
                <w:bCs/>
                <w:szCs w:val="19"/>
              </w:rPr>
            </w:pPr>
            <w:r w:rsidRPr="001222EF">
              <w:rPr>
                <w:rFonts w:ascii="Noto Sans" w:hAnsi="Noto Sans" w:cs="Noto Sans"/>
                <w:b/>
                <w:bCs/>
                <w:szCs w:val="19"/>
              </w:rPr>
              <w:t xml:space="preserve">Family </w:t>
            </w:r>
            <w:r w:rsidR="00D76E4F" w:rsidRPr="001222EF">
              <w:rPr>
                <w:rFonts w:ascii="Noto Sans" w:hAnsi="Noto Sans" w:cs="Noto Sans"/>
                <w:b/>
                <w:bCs/>
                <w:szCs w:val="19"/>
              </w:rPr>
              <w:t>Protection</w:t>
            </w:r>
            <w:r w:rsidRPr="001222EF">
              <w:rPr>
                <w:rFonts w:ascii="Noto Sans" w:hAnsi="Noto Sans" w:cs="Noto Sans"/>
                <w:b/>
                <w:bCs/>
                <w:szCs w:val="19"/>
              </w:rPr>
              <w:t xml:space="preserve"> Planning</w:t>
            </w:r>
          </w:p>
          <w:p w14:paraId="56A657EF" w14:textId="77777777" w:rsidR="00D76E4F" w:rsidRPr="001222EF" w:rsidRDefault="00D76E4F" w:rsidP="00197D52">
            <w:pPr>
              <w:pStyle w:val="ListParagraph"/>
              <w:rPr>
                <w:rFonts w:ascii="Noto Sans" w:hAnsi="Noto Sans" w:cs="Noto Sans"/>
                <w:b/>
                <w:bCs/>
                <w:szCs w:val="19"/>
              </w:rPr>
            </w:pPr>
          </w:p>
          <w:p w14:paraId="46884FC7" w14:textId="77777777" w:rsidR="00D76E4F" w:rsidRPr="001222EF" w:rsidRDefault="00D76E4F" w:rsidP="00D76E4F">
            <w:pPr>
              <w:pStyle w:val="ListParagraph"/>
              <w:numPr>
                <w:ilvl w:val="0"/>
                <w:numId w:val="32"/>
              </w:numPr>
              <w:rPr>
                <w:rFonts w:ascii="Noto Sans" w:hAnsi="Noto Sans" w:cs="Noto Sans"/>
                <w:szCs w:val="19"/>
              </w:rPr>
            </w:pPr>
            <w:r w:rsidRPr="001222EF">
              <w:rPr>
                <w:rFonts w:ascii="Noto Sans" w:hAnsi="Noto Sans" w:cs="Noto Sans"/>
                <w:szCs w:val="19"/>
              </w:rPr>
              <w:t xml:space="preserve">It may be an uncomfortable subject, but we all need to plan for the unforeseen in life and how this would impact ourselves and our family. We can help you to consider different scenarios which could occur and identify if there are any shortfalls in your protection planning. We can explain what options you </w:t>
            </w:r>
            <w:proofErr w:type="gramStart"/>
            <w:r w:rsidRPr="001222EF">
              <w:rPr>
                <w:rFonts w:ascii="Noto Sans" w:hAnsi="Noto Sans" w:cs="Noto Sans"/>
                <w:szCs w:val="19"/>
              </w:rPr>
              <w:t>have to</w:t>
            </w:r>
            <w:proofErr w:type="gramEnd"/>
            <w:r w:rsidRPr="001222EF">
              <w:rPr>
                <w:rFonts w:ascii="Noto Sans" w:hAnsi="Noto Sans" w:cs="Noto Sans"/>
                <w:szCs w:val="19"/>
              </w:rPr>
              <w:t xml:space="preserve"> address these shortfalls and how they would ensure you and your family are able to maintain your lifestyle and still meet your longer-term financial goals, in the event of ill health or death.</w:t>
            </w:r>
          </w:p>
          <w:p w14:paraId="76696AF8" w14:textId="77777777" w:rsidR="00D76E4F" w:rsidRPr="001222EF" w:rsidRDefault="00D76E4F" w:rsidP="00197D52">
            <w:pPr>
              <w:pStyle w:val="ListParagraph"/>
              <w:rPr>
                <w:rFonts w:ascii="Noto Sans" w:hAnsi="Noto Sans" w:cs="Noto Sans"/>
                <w:szCs w:val="19"/>
              </w:rPr>
            </w:pPr>
          </w:p>
          <w:p w14:paraId="5F917C09" w14:textId="38EEF46B" w:rsidR="001222EF" w:rsidRPr="001222EF" w:rsidRDefault="00D76E4F" w:rsidP="002500C5">
            <w:pPr>
              <w:pStyle w:val="ListParagraph"/>
              <w:numPr>
                <w:ilvl w:val="0"/>
                <w:numId w:val="32"/>
              </w:numPr>
              <w:rPr>
                <w:rFonts w:ascii="Noto Sans" w:hAnsi="Noto Sans" w:cs="Noto Sans"/>
                <w:szCs w:val="19"/>
              </w:rPr>
            </w:pPr>
            <w:r w:rsidRPr="001222EF">
              <w:rPr>
                <w:rFonts w:ascii="Noto Sans" w:hAnsi="Noto Sans" w:cs="Noto Sans"/>
                <w:szCs w:val="19"/>
              </w:rPr>
              <w:t xml:space="preserve">Access to professional tools and paraplanning resources/staff to conduct analysis and research to find the best/most suitable product.  Use of trusts to provide ease of access, control etc. </w:t>
            </w:r>
          </w:p>
          <w:p w14:paraId="45399897" w14:textId="77777777" w:rsidR="001222EF" w:rsidRPr="001222EF" w:rsidRDefault="001222EF" w:rsidP="001222EF">
            <w:pPr>
              <w:pStyle w:val="ListParagraph"/>
              <w:rPr>
                <w:rFonts w:ascii="Noto Sans" w:hAnsi="Noto Sans" w:cs="Noto Sans"/>
                <w:szCs w:val="19"/>
              </w:rPr>
            </w:pPr>
          </w:p>
        </w:tc>
      </w:tr>
    </w:tbl>
    <w:p w14:paraId="02AE274E" w14:textId="77777777" w:rsidR="00D76E4F" w:rsidRDefault="00D76E4F" w:rsidP="00D76E4F">
      <w:pPr>
        <w:pStyle w:val="Sourcetext"/>
        <w:spacing w:before="120"/>
      </w:pPr>
    </w:p>
    <w:p w14:paraId="0B110F29" w14:textId="77777777" w:rsidR="001222EF" w:rsidRDefault="001222E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54E1A20C" w14:textId="77777777" w:rsidTr="00197D52">
        <w:trPr>
          <w:trHeight w:val="402"/>
        </w:trPr>
        <w:tc>
          <w:tcPr>
            <w:tcW w:w="5000" w:type="pct"/>
            <w:gridSpan w:val="2"/>
            <w:tcBorders>
              <w:top w:val="nil"/>
            </w:tcBorders>
            <w:shd w:val="clear" w:color="auto" w:fill="002A5E" w:themeFill="background2"/>
          </w:tcPr>
          <w:p w14:paraId="58FF4AB3" w14:textId="77777777" w:rsidR="00D76E4F" w:rsidRPr="00C935A7" w:rsidRDefault="00D76E4F" w:rsidP="00197D52">
            <w:pPr>
              <w:pStyle w:val="TabletextBold0"/>
              <w:rPr>
                <w:b w:val="0"/>
                <w:bCs w:val="0"/>
                <w:color w:val="FFFFFF" w:themeColor="background1"/>
              </w:rPr>
            </w:pPr>
            <w:r w:rsidRPr="00B87082">
              <w:rPr>
                <w:bCs w:val="0"/>
                <w:color w:val="auto"/>
              </w:rPr>
              <w:lastRenderedPageBreak/>
              <w:t xml:space="preserve">Advisory Services </w:t>
            </w:r>
            <w:r>
              <w:rPr>
                <w:bCs w:val="0"/>
                <w:color w:val="auto"/>
              </w:rPr>
              <w:t>– Holistic Financial Planning</w:t>
            </w:r>
          </w:p>
        </w:tc>
      </w:tr>
      <w:tr w:rsidR="00D76E4F" w14:paraId="1A9E048D" w14:textId="77777777" w:rsidTr="00197D52">
        <w:trPr>
          <w:trHeight w:val="1979"/>
        </w:trPr>
        <w:tc>
          <w:tcPr>
            <w:tcW w:w="1285" w:type="pct"/>
          </w:tcPr>
          <w:p w14:paraId="6F128B36" w14:textId="77777777" w:rsidR="00D76E4F" w:rsidRPr="001222EF" w:rsidRDefault="00D76E4F" w:rsidP="00197D52">
            <w:pPr>
              <w:rPr>
                <w:rFonts w:ascii="Noto Sans" w:hAnsi="Noto Sans" w:cs="Noto Sans"/>
                <w:szCs w:val="19"/>
              </w:rPr>
            </w:pPr>
          </w:p>
          <w:p w14:paraId="35738330"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2B7CA9EC" w14:textId="77777777" w:rsidR="00D76E4F" w:rsidRPr="001222EF" w:rsidRDefault="00D76E4F" w:rsidP="00197D52">
            <w:pPr>
              <w:rPr>
                <w:rFonts w:ascii="Noto Sans" w:hAnsi="Noto Sans" w:cs="Noto Sans"/>
                <w:szCs w:val="19"/>
              </w:rPr>
            </w:pPr>
          </w:p>
          <w:p w14:paraId="688F8245" w14:textId="77777777" w:rsidR="00D76E4F" w:rsidRPr="001222EF" w:rsidRDefault="00D76E4F" w:rsidP="00197D52">
            <w:pPr>
              <w:pStyle w:val="TabletextBold0"/>
              <w:rPr>
                <w:b w:val="0"/>
                <w:bCs w:val="0"/>
                <w:color w:val="FFFFFF" w:themeColor="background1"/>
                <w:szCs w:val="19"/>
              </w:rPr>
            </w:pPr>
          </w:p>
        </w:tc>
        <w:tc>
          <w:tcPr>
            <w:tcW w:w="3715" w:type="pct"/>
          </w:tcPr>
          <w:p w14:paraId="64859277" w14:textId="77777777" w:rsidR="00D76E4F" w:rsidRPr="001222EF" w:rsidRDefault="00D76E4F" w:rsidP="00197D52">
            <w:pPr>
              <w:rPr>
                <w:rFonts w:ascii="Noto Sans" w:hAnsi="Noto Sans" w:cs="Noto Sans"/>
                <w:color w:val="0070C0"/>
                <w:szCs w:val="19"/>
                <w:u w:val="single"/>
              </w:rPr>
            </w:pPr>
          </w:p>
          <w:p w14:paraId="7350D3AB"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Holistic Financial Planning</w:t>
            </w:r>
          </w:p>
          <w:p w14:paraId="7ED52B4C" w14:textId="77777777" w:rsidR="00D76E4F" w:rsidRPr="001222EF" w:rsidRDefault="00D76E4F" w:rsidP="00197D52">
            <w:pPr>
              <w:rPr>
                <w:rFonts w:ascii="Noto Sans" w:hAnsi="Noto Sans" w:cs="Noto Sans"/>
                <w:szCs w:val="19"/>
              </w:rPr>
            </w:pPr>
          </w:p>
          <w:p w14:paraId="1C0300E2" w14:textId="331218DC" w:rsidR="00D76E4F" w:rsidRPr="001222EF" w:rsidRDefault="00D76E4F" w:rsidP="003946A6">
            <w:pPr>
              <w:pStyle w:val="ListParagraph"/>
              <w:numPr>
                <w:ilvl w:val="0"/>
                <w:numId w:val="33"/>
              </w:numPr>
              <w:rPr>
                <w:rFonts w:ascii="Noto Sans" w:hAnsi="Noto Sans" w:cs="Noto Sans"/>
                <w:szCs w:val="19"/>
              </w:rPr>
            </w:pPr>
            <w:r w:rsidRPr="001222EF">
              <w:rPr>
                <w:rFonts w:ascii="Noto Sans" w:hAnsi="Noto Sans" w:cs="Noto Sans"/>
                <w:szCs w:val="19"/>
              </w:rPr>
              <w:t>It is not just about monetary goals; this is about life and family and a consultative approach. This enables us to help clients to think about things they may not have considered and how plans can work together to create a cohesive timeline of advice.</w:t>
            </w:r>
          </w:p>
          <w:p w14:paraId="3A459626" w14:textId="77777777" w:rsidR="00D76E4F" w:rsidRPr="001222EF" w:rsidRDefault="00D76E4F" w:rsidP="00197D52">
            <w:pPr>
              <w:rPr>
                <w:szCs w:val="19"/>
              </w:rPr>
            </w:pPr>
          </w:p>
        </w:tc>
      </w:tr>
    </w:tbl>
    <w:p w14:paraId="096FCFDD"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2DA25C51" w14:textId="77777777" w:rsidTr="00197D52">
        <w:trPr>
          <w:trHeight w:val="402"/>
        </w:trPr>
        <w:tc>
          <w:tcPr>
            <w:tcW w:w="5000" w:type="pct"/>
            <w:gridSpan w:val="2"/>
            <w:shd w:val="clear" w:color="auto" w:fill="002A5E" w:themeFill="background2"/>
          </w:tcPr>
          <w:p w14:paraId="21860609"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IHT and Estate Planning</w:t>
            </w:r>
          </w:p>
        </w:tc>
      </w:tr>
      <w:tr w:rsidR="00D76E4F" w14:paraId="26514100" w14:textId="77777777" w:rsidTr="00197D52">
        <w:trPr>
          <w:trHeight w:val="1979"/>
        </w:trPr>
        <w:tc>
          <w:tcPr>
            <w:tcW w:w="1285" w:type="pct"/>
          </w:tcPr>
          <w:p w14:paraId="48BC491F" w14:textId="77777777" w:rsidR="00D76E4F" w:rsidRPr="001222EF" w:rsidRDefault="00D76E4F" w:rsidP="00197D52">
            <w:pPr>
              <w:rPr>
                <w:rFonts w:ascii="Noto Sans" w:hAnsi="Noto Sans" w:cs="Noto Sans"/>
                <w:szCs w:val="19"/>
              </w:rPr>
            </w:pPr>
          </w:p>
          <w:p w14:paraId="7A4DFEDA"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1D36F42C" w14:textId="77777777" w:rsidR="00D76E4F" w:rsidRPr="001222EF" w:rsidRDefault="00D76E4F" w:rsidP="00197D52">
            <w:pPr>
              <w:pStyle w:val="TabletextBold0"/>
              <w:rPr>
                <w:b w:val="0"/>
                <w:bCs w:val="0"/>
                <w:color w:val="FFFFFF" w:themeColor="background1"/>
                <w:szCs w:val="19"/>
              </w:rPr>
            </w:pPr>
          </w:p>
        </w:tc>
        <w:tc>
          <w:tcPr>
            <w:tcW w:w="3715" w:type="pct"/>
          </w:tcPr>
          <w:p w14:paraId="604202F1" w14:textId="77777777" w:rsidR="00D76E4F" w:rsidRPr="001222EF" w:rsidRDefault="00D76E4F" w:rsidP="00197D52">
            <w:pPr>
              <w:rPr>
                <w:rFonts w:ascii="Noto Sans" w:hAnsi="Noto Sans" w:cs="Noto Sans"/>
                <w:color w:val="0070C0"/>
                <w:szCs w:val="19"/>
                <w:u w:val="single"/>
              </w:rPr>
            </w:pPr>
          </w:p>
          <w:p w14:paraId="5F77B1EA"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IHT and Estate Planning</w:t>
            </w:r>
          </w:p>
          <w:p w14:paraId="0DF13A19" w14:textId="77777777" w:rsidR="00D76E4F" w:rsidRPr="001222EF" w:rsidRDefault="00D76E4F" w:rsidP="00197D52">
            <w:pPr>
              <w:rPr>
                <w:rFonts w:ascii="Noto Sans" w:hAnsi="Noto Sans" w:cs="Noto Sans"/>
                <w:szCs w:val="19"/>
              </w:rPr>
            </w:pPr>
          </w:p>
          <w:p w14:paraId="7A4E8D9F" w14:textId="77777777" w:rsidR="00D76E4F" w:rsidRPr="001222EF" w:rsidRDefault="00D76E4F" w:rsidP="00D76E4F">
            <w:pPr>
              <w:pStyle w:val="ListParagraph"/>
              <w:numPr>
                <w:ilvl w:val="0"/>
                <w:numId w:val="33"/>
              </w:numPr>
              <w:rPr>
                <w:rFonts w:ascii="Noto Sans" w:hAnsi="Noto Sans" w:cs="Noto Sans"/>
                <w:szCs w:val="19"/>
              </w:rPr>
            </w:pPr>
            <w:r w:rsidRPr="001222EF">
              <w:rPr>
                <w:rFonts w:ascii="Noto Sans" w:hAnsi="Noto Sans" w:cs="Noto Sans"/>
                <w:szCs w:val="19"/>
              </w:rPr>
              <w:t>We work with your other professionals who have a deep knowledge and understanding of HMRC tax rules in relation to clients and their estate’s assets. We can help to understand the value of future liabilities and design and implement strategies to reduce this burden, often saving clients thousands of pounds in potential tax charges.  This provides real value and peace of mind that your loved ones will be looked after when they are gone.</w:t>
            </w:r>
          </w:p>
          <w:p w14:paraId="329C03F9" w14:textId="77777777" w:rsidR="00D76E4F" w:rsidRPr="001222EF" w:rsidRDefault="00D76E4F" w:rsidP="00197D52">
            <w:pPr>
              <w:rPr>
                <w:szCs w:val="19"/>
              </w:rPr>
            </w:pPr>
          </w:p>
        </w:tc>
      </w:tr>
    </w:tbl>
    <w:p w14:paraId="637045FB"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6EECD444" w14:textId="77777777" w:rsidTr="00197D52">
        <w:trPr>
          <w:trHeight w:val="402"/>
        </w:trPr>
        <w:tc>
          <w:tcPr>
            <w:tcW w:w="5000" w:type="pct"/>
            <w:gridSpan w:val="2"/>
            <w:shd w:val="clear" w:color="auto" w:fill="002A5E" w:themeFill="background2"/>
          </w:tcPr>
          <w:p w14:paraId="6539A146"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Retirement Planning</w:t>
            </w:r>
          </w:p>
        </w:tc>
      </w:tr>
      <w:tr w:rsidR="00D76E4F" w14:paraId="085C4F38" w14:textId="77777777" w:rsidTr="00197D52">
        <w:trPr>
          <w:trHeight w:val="1979"/>
        </w:trPr>
        <w:tc>
          <w:tcPr>
            <w:tcW w:w="1285" w:type="pct"/>
          </w:tcPr>
          <w:p w14:paraId="0E982CBE" w14:textId="77777777" w:rsidR="00D76E4F" w:rsidRPr="001222EF" w:rsidRDefault="00D76E4F" w:rsidP="00197D52">
            <w:pPr>
              <w:rPr>
                <w:rFonts w:ascii="Noto Sans" w:hAnsi="Noto Sans" w:cs="Noto Sans"/>
                <w:szCs w:val="19"/>
              </w:rPr>
            </w:pPr>
          </w:p>
          <w:p w14:paraId="7EF92832" w14:textId="77777777" w:rsidR="00D76E4F" w:rsidRPr="001222EF" w:rsidRDefault="00D76E4F" w:rsidP="00197D52">
            <w:pPr>
              <w:rPr>
                <w:rFonts w:ascii="Noto Sans" w:hAnsi="Noto Sans" w:cs="Noto Sans"/>
                <w:szCs w:val="19"/>
              </w:rPr>
            </w:pPr>
            <w:bookmarkStart w:id="3" w:name="_Hlk139203773"/>
            <w:r w:rsidRPr="001222EF">
              <w:rPr>
                <w:rFonts w:ascii="Noto Sans" w:hAnsi="Noto Sans" w:cs="Noto Sans"/>
                <w:szCs w:val="19"/>
              </w:rPr>
              <w:t>Advisory services we deliver as a Financial Planning Firm and the value clients derive from each of these services.</w:t>
            </w:r>
          </w:p>
          <w:bookmarkEnd w:id="3"/>
          <w:p w14:paraId="378808B1" w14:textId="77777777" w:rsidR="00D76E4F" w:rsidRPr="001222EF" w:rsidRDefault="00D76E4F" w:rsidP="00197D52">
            <w:pPr>
              <w:rPr>
                <w:b/>
                <w:bCs/>
                <w:color w:val="FFFFFF" w:themeColor="background1"/>
                <w:szCs w:val="19"/>
              </w:rPr>
            </w:pPr>
          </w:p>
        </w:tc>
        <w:tc>
          <w:tcPr>
            <w:tcW w:w="3715" w:type="pct"/>
          </w:tcPr>
          <w:p w14:paraId="78C231F5" w14:textId="77777777" w:rsidR="00D76E4F" w:rsidRPr="001222EF" w:rsidRDefault="00D76E4F" w:rsidP="00197D52">
            <w:pPr>
              <w:rPr>
                <w:rFonts w:ascii="Noto Sans" w:hAnsi="Noto Sans" w:cs="Noto Sans"/>
                <w:color w:val="0070C0"/>
                <w:szCs w:val="19"/>
                <w:u w:val="single"/>
              </w:rPr>
            </w:pPr>
          </w:p>
          <w:p w14:paraId="4D038508"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Retirement Planning</w:t>
            </w:r>
          </w:p>
          <w:p w14:paraId="1B1355A8" w14:textId="77777777" w:rsidR="00D76E4F" w:rsidRPr="001222EF" w:rsidRDefault="00D76E4F" w:rsidP="00197D52">
            <w:pPr>
              <w:rPr>
                <w:rFonts w:ascii="Noto Sans" w:hAnsi="Noto Sans" w:cs="Noto Sans"/>
                <w:color w:val="0070C0"/>
                <w:szCs w:val="19"/>
              </w:rPr>
            </w:pPr>
          </w:p>
          <w:p w14:paraId="4FC9C806" w14:textId="77777777" w:rsidR="00D76E4F" w:rsidRPr="001222EF" w:rsidRDefault="00D76E4F" w:rsidP="00D76E4F">
            <w:pPr>
              <w:pStyle w:val="ListParagraph"/>
              <w:numPr>
                <w:ilvl w:val="0"/>
                <w:numId w:val="33"/>
              </w:numPr>
              <w:rPr>
                <w:rFonts w:ascii="Noto Sans" w:hAnsi="Noto Sans" w:cs="Noto Sans"/>
                <w:szCs w:val="19"/>
              </w:rPr>
            </w:pPr>
            <w:r w:rsidRPr="001222EF">
              <w:rPr>
                <w:rFonts w:ascii="Noto Sans" w:hAnsi="Noto Sans" w:cs="Noto Sans"/>
                <w:szCs w:val="19"/>
              </w:rPr>
              <w:t>A key life phase. This is an area of planning which deserves significant time in reviewing for our clients each year.  Often in the background, checking on progress of plans and investments you have made to fund your life in retirement.  Adapting to market swings and modelling various impact scenarios.  Retirement planning is one of the most valuable services we provide our clients.</w:t>
            </w:r>
          </w:p>
          <w:p w14:paraId="0B0B7EA7" w14:textId="77777777" w:rsidR="00D76E4F" w:rsidRPr="001222EF" w:rsidRDefault="00D76E4F" w:rsidP="00197D52">
            <w:pPr>
              <w:rPr>
                <w:rFonts w:ascii="Noto Sans" w:hAnsi="Noto Sans" w:cs="Noto Sans"/>
                <w:szCs w:val="19"/>
              </w:rPr>
            </w:pPr>
          </w:p>
          <w:p w14:paraId="3960D4C8" w14:textId="221AC774" w:rsidR="00D76E4F" w:rsidRPr="001222EF" w:rsidRDefault="00D76E4F" w:rsidP="00604CDF">
            <w:pPr>
              <w:pStyle w:val="ListParagraph"/>
              <w:numPr>
                <w:ilvl w:val="0"/>
                <w:numId w:val="33"/>
              </w:numPr>
              <w:rPr>
                <w:rFonts w:ascii="Noto Sans" w:hAnsi="Noto Sans" w:cs="Noto Sans"/>
                <w:szCs w:val="19"/>
              </w:rPr>
            </w:pPr>
            <w:r w:rsidRPr="001222EF">
              <w:rPr>
                <w:rFonts w:ascii="Noto Sans" w:hAnsi="Noto Sans" w:cs="Noto Sans"/>
                <w:szCs w:val="19"/>
              </w:rPr>
              <w:t>More than 50% of our clients are currently in retirement, following our advice and drawing on their assets to live a stress-free life in retirement.  Our retirement planning takes the worry away from our clients.</w:t>
            </w:r>
          </w:p>
          <w:p w14:paraId="52CFC8EF" w14:textId="77777777" w:rsidR="00D76E4F" w:rsidRPr="001222EF" w:rsidRDefault="00D76E4F" w:rsidP="00197D52">
            <w:pPr>
              <w:rPr>
                <w:rFonts w:ascii="Noto Sans" w:hAnsi="Noto Sans" w:cs="Noto Sans"/>
                <w:szCs w:val="19"/>
              </w:rPr>
            </w:pPr>
          </w:p>
        </w:tc>
      </w:tr>
    </w:tbl>
    <w:p w14:paraId="22F73F98"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3EB54EB1" w14:textId="77777777" w:rsidTr="00197D52">
        <w:trPr>
          <w:trHeight w:val="402"/>
        </w:trPr>
        <w:tc>
          <w:tcPr>
            <w:tcW w:w="5000" w:type="pct"/>
            <w:gridSpan w:val="2"/>
            <w:shd w:val="clear" w:color="auto" w:fill="002A5E" w:themeFill="background2"/>
          </w:tcPr>
          <w:p w14:paraId="024F7E84"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Defined Benefit Pensions</w:t>
            </w:r>
          </w:p>
        </w:tc>
      </w:tr>
      <w:tr w:rsidR="00D76E4F" w14:paraId="08BDC0D2" w14:textId="77777777" w:rsidTr="00197D52">
        <w:trPr>
          <w:trHeight w:val="1979"/>
        </w:trPr>
        <w:tc>
          <w:tcPr>
            <w:tcW w:w="1285" w:type="pct"/>
          </w:tcPr>
          <w:p w14:paraId="4C98B3BE" w14:textId="77777777" w:rsidR="00D76E4F" w:rsidRPr="001222EF" w:rsidRDefault="00D76E4F" w:rsidP="00197D52">
            <w:pPr>
              <w:rPr>
                <w:rFonts w:ascii="Noto Sans" w:hAnsi="Noto Sans" w:cs="Noto Sans"/>
                <w:szCs w:val="19"/>
              </w:rPr>
            </w:pPr>
          </w:p>
          <w:p w14:paraId="19346FE5"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0BB55EF0" w14:textId="77777777" w:rsidR="00D76E4F" w:rsidRPr="001222EF" w:rsidRDefault="00D76E4F" w:rsidP="00197D52">
            <w:pPr>
              <w:rPr>
                <w:b/>
                <w:bCs/>
                <w:color w:val="FFFFFF" w:themeColor="background1"/>
                <w:szCs w:val="19"/>
              </w:rPr>
            </w:pPr>
          </w:p>
        </w:tc>
        <w:tc>
          <w:tcPr>
            <w:tcW w:w="3715" w:type="pct"/>
          </w:tcPr>
          <w:p w14:paraId="4807E040" w14:textId="77777777" w:rsidR="00D76E4F" w:rsidRPr="001222EF" w:rsidRDefault="00D76E4F" w:rsidP="00197D52">
            <w:pPr>
              <w:rPr>
                <w:rFonts w:ascii="Noto Sans" w:hAnsi="Noto Sans" w:cs="Noto Sans"/>
                <w:color w:val="0070C0"/>
                <w:szCs w:val="19"/>
                <w:u w:val="single"/>
              </w:rPr>
            </w:pPr>
          </w:p>
          <w:p w14:paraId="7132C087"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Defined Benefit Pensions</w:t>
            </w:r>
          </w:p>
          <w:p w14:paraId="4310ED9C" w14:textId="77777777" w:rsidR="00D76E4F" w:rsidRPr="001222EF" w:rsidRDefault="00D76E4F" w:rsidP="00197D52">
            <w:pPr>
              <w:rPr>
                <w:rFonts w:ascii="Noto Sans" w:hAnsi="Noto Sans" w:cs="Noto Sans"/>
                <w:szCs w:val="19"/>
              </w:rPr>
            </w:pPr>
          </w:p>
          <w:p w14:paraId="7B78492B" w14:textId="77777777" w:rsidR="00D76E4F" w:rsidRPr="001222EF" w:rsidRDefault="00D76E4F" w:rsidP="00D76E4F">
            <w:pPr>
              <w:pStyle w:val="ListParagraph"/>
              <w:numPr>
                <w:ilvl w:val="0"/>
                <w:numId w:val="33"/>
              </w:numPr>
              <w:rPr>
                <w:rFonts w:ascii="Noto Sans" w:hAnsi="Noto Sans" w:cs="Noto Sans"/>
                <w:szCs w:val="19"/>
              </w:rPr>
            </w:pPr>
            <w:r w:rsidRPr="001222EF">
              <w:rPr>
                <w:rFonts w:ascii="Noto Sans" w:hAnsi="Noto Sans" w:cs="Noto Sans"/>
                <w:szCs w:val="19"/>
              </w:rPr>
              <w:t>If you are fortunate enough to have a defined benefit pension, or final salary pension it is often called, only qualified advisers in this very specialist area can review your options and provide advice on whether you should retain or transfer the pension. This is a complex area of advice and one we can help you with, ensuring any advice is in your best financial interests.</w:t>
            </w:r>
          </w:p>
          <w:p w14:paraId="509BEC1C" w14:textId="77777777" w:rsidR="00D76E4F" w:rsidRPr="001222EF" w:rsidRDefault="00D76E4F" w:rsidP="00197D52">
            <w:pPr>
              <w:pStyle w:val="ListParagraph"/>
              <w:rPr>
                <w:rFonts w:ascii="Noto Sans" w:hAnsi="Noto Sans" w:cs="Noto Sans"/>
                <w:szCs w:val="19"/>
              </w:rPr>
            </w:pPr>
          </w:p>
        </w:tc>
      </w:tr>
    </w:tbl>
    <w:p w14:paraId="3E5618BA"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6C4FEA97" w14:textId="77777777" w:rsidTr="00197D52">
        <w:trPr>
          <w:trHeight w:val="402"/>
        </w:trPr>
        <w:tc>
          <w:tcPr>
            <w:tcW w:w="5000" w:type="pct"/>
            <w:gridSpan w:val="2"/>
            <w:shd w:val="clear" w:color="auto" w:fill="002A5E" w:themeFill="background2"/>
          </w:tcPr>
          <w:p w14:paraId="07FF6846" w14:textId="77777777" w:rsidR="00D76E4F" w:rsidRPr="00C935A7" w:rsidRDefault="00D76E4F" w:rsidP="00197D52">
            <w:pPr>
              <w:pStyle w:val="TabletextBold0"/>
              <w:rPr>
                <w:b w:val="0"/>
                <w:bCs w:val="0"/>
                <w:color w:val="FFFFFF" w:themeColor="background1"/>
              </w:rPr>
            </w:pPr>
            <w:r w:rsidRPr="00B87082">
              <w:rPr>
                <w:bCs w:val="0"/>
                <w:color w:val="auto"/>
              </w:rPr>
              <w:lastRenderedPageBreak/>
              <w:t xml:space="preserve">Advisory Services </w:t>
            </w:r>
            <w:r>
              <w:rPr>
                <w:bCs w:val="0"/>
                <w:color w:val="auto"/>
              </w:rPr>
              <w:t>– Tax Efficiency</w:t>
            </w:r>
          </w:p>
        </w:tc>
      </w:tr>
      <w:tr w:rsidR="00D76E4F" w14:paraId="7813AB4D" w14:textId="77777777" w:rsidTr="00197D52">
        <w:trPr>
          <w:trHeight w:val="1979"/>
        </w:trPr>
        <w:tc>
          <w:tcPr>
            <w:tcW w:w="1285" w:type="pct"/>
          </w:tcPr>
          <w:p w14:paraId="50E7A6A7" w14:textId="77777777" w:rsidR="00D76E4F" w:rsidRPr="001222EF" w:rsidRDefault="00D76E4F" w:rsidP="00197D52">
            <w:pPr>
              <w:rPr>
                <w:rFonts w:ascii="Noto Sans" w:hAnsi="Noto Sans" w:cs="Noto Sans"/>
                <w:szCs w:val="19"/>
              </w:rPr>
            </w:pPr>
          </w:p>
          <w:p w14:paraId="61F141FD"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7F7D6145" w14:textId="77777777" w:rsidR="00D76E4F" w:rsidRPr="001222EF" w:rsidRDefault="00D76E4F" w:rsidP="00197D52">
            <w:pPr>
              <w:rPr>
                <w:b/>
                <w:bCs/>
                <w:color w:val="FFFFFF" w:themeColor="background1"/>
                <w:szCs w:val="19"/>
              </w:rPr>
            </w:pPr>
          </w:p>
        </w:tc>
        <w:tc>
          <w:tcPr>
            <w:tcW w:w="3715" w:type="pct"/>
          </w:tcPr>
          <w:p w14:paraId="08099685" w14:textId="77777777" w:rsidR="00D76E4F" w:rsidRPr="001222EF" w:rsidRDefault="00D76E4F" w:rsidP="00197D52">
            <w:pPr>
              <w:rPr>
                <w:rFonts w:ascii="Noto Sans" w:hAnsi="Noto Sans" w:cs="Noto Sans"/>
                <w:color w:val="0070C0"/>
                <w:szCs w:val="19"/>
                <w:u w:val="single"/>
              </w:rPr>
            </w:pPr>
          </w:p>
          <w:p w14:paraId="72E028EE"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Tax Efficiency</w:t>
            </w:r>
          </w:p>
          <w:p w14:paraId="1C8F30A5" w14:textId="77777777" w:rsidR="00D76E4F" w:rsidRPr="001222EF" w:rsidRDefault="00D76E4F" w:rsidP="00197D52">
            <w:pPr>
              <w:rPr>
                <w:rFonts w:ascii="Noto Sans" w:hAnsi="Noto Sans" w:cs="Noto Sans"/>
                <w:color w:val="0070C0"/>
                <w:szCs w:val="19"/>
              </w:rPr>
            </w:pPr>
          </w:p>
          <w:p w14:paraId="36FF873C" w14:textId="77777777" w:rsidR="00D76E4F" w:rsidRDefault="00D76E4F" w:rsidP="00D76E4F">
            <w:pPr>
              <w:pStyle w:val="ListParagraph"/>
              <w:numPr>
                <w:ilvl w:val="0"/>
                <w:numId w:val="34"/>
              </w:numPr>
              <w:rPr>
                <w:rFonts w:ascii="Noto Sans" w:hAnsi="Noto Sans" w:cs="Noto Sans"/>
                <w:szCs w:val="19"/>
              </w:rPr>
            </w:pPr>
            <w:r w:rsidRPr="001222EF">
              <w:rPr>
                <w:rFonts w:ascii="Noto Sans" w:hAnsi="Noto Sans" w:cs="Noto Sans"/>
                <w:szCs w:val="19"/>
              </w:rPr>
              <w:t xml:space="preserve">Making sure we consider tax reliefs and allowances, enables clients to maximise their after-tax wealth. If you don’t take advantage of annual tax reliefs, then you could quite literally be paying more tax than you need to.  We can evidence the amount you have potentially saved through our planning. </w:t>
            </w:r>
          </w:p>
          <w:p w14:paraId="3C49D8EC" w14:textId="77777777" w:rsidR="001222EF" w:rsidRPr="001222EF" w:rsidRDefault="001222EF" w:rsidP="001222EF">
            <w:pPr>
              <w:pStyle w:val="ListParagraph"/>
              <w:rPr>
                <w:rFonts w:ascii="Noto Sans" w:hAnsi="Noto Sans" w:cs="Noto Sans"/>
                <w:szCs w:val="19"/>
              </w:rPr>
            </w:pPr>
          </w:p>
        </w:tc>
      </w:tr>
    </w:tbl>
    <w:p w14:paraId="75E85A99"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0C614092" w14:textId="77777777" w:rsidTr="00197D52">
        <w:trPr>
          <w:trHeight w:val="402"/>
        </w:trPr>
        <w:tc>
          <w:tcPr>
            <w:tcW w:w="5000" w:type="pct"/>
            <w:gridSpan w:val="2"/>
            <w:shd w:val="clear" w:color="auto" w:fill="002A5E" w:themeFill="background2"/>
          </w:tcPr>
          <w:p w14:paraId="6DE885C8" w14:textId="77777777" w:rsidR="00D76E4F" w:rsidRPr="00C935A7" w:rsidRDefault="00D76E4F" w:rsidP="00197D52">
            <w:pPr>
              <w:pStyle w:val="TabletextBold0"/>
              <w:rPr>
                <w:b w:val="0"/>
                <w:bCs w:val="0"/>
                <w:color w:val="FFFFFF" w:themeColor="background1"/>
              </w:rPr>
            </w:pPr>
            <w:r w:rsidRPr="00B87082">
              <w:rPr>
                <w:bCs w:val="0"/>
                <w:color w:val="auto"/>
              </w:rPr>
              <w:t xml:space="preserve">Advisory Services </w:t>
            </w:r>
            <w:r>
              <w:rPr>
                <w:bCs w:val="0"/>
                <w:color w:val="auto"/>
              </w:rPr>
              <w:t>– Market and Product Research and Analysis</w:t>
            </w:r>
          </w:p>
        </w:tc>
      </w:tr>
      <w:tr w:rsidR="00D76E4F" w14:paraId="64A74CB8" w14:textId="77777777" w:rsidTr="00197D52">
        <w:trPr>
          <w:trHeight w:val="1979"/>
        </w:trPr>
        <w:tc>
          <w:tcPr>
            <w:tcW w:w="1285" w:type="pct"/>
          </w:tcPr>
          <w:p w14:paraId="09F6DEB5" w14:textId="77777777" w:rsidR="00D76E4F" w:rsidRPr="001222EF" w:rsidRDefault="00D76E4F" w:rsidP="00197D52">
            <w:pPr>
              <w:rPr>
                <w:rFonts w:ascii="Noto Sans" w:hAnsi="Noto Sans" w:cs="Noto Sans"/>
                <w:szCs w:val="19"/>
              </w:rPr>
            </w:pPr>
          </w:p>
          <w:p w14:paraId="5ECA8C09" w14:textId="77777777" w:rsidR="00D76E4F" w:rsidRPr="001222EF" w:rsidRDefault="00D76E4F" w:rsidP="00197D52">
            <w:pPr>
              <w:rPr>
                <w:rFonts w:ascii="Noto Sans" w:hAnsi="Noto Sans" w:cs="Noto Sans"/>
                <w:szCs w:val="19"/>
              </w:rPr>
            </w:pPr>
          </w:p>
          <w:p w14:paraId="1B6B1DA6" w14:textId="77777777" w:rsidR="00D76E4F" w:rsidRPr="001222EF" w:rsidRDefault="00D76E4F" w:rsidP="00197D52">
            <w:pPr>
              <w:rPr>
                <w:rFonts w:ascii="Noto Sans" w:hAnsi="Noto Sans" w:cs="Noto Sans"/>
                <w:szCs w:val="19"/>
              </w:rPr>
            </w:pPr>
            <w:r w:rsidRPr="001222EF">
              <w:rPr>
                <w:rFonts w:ascii="Noto Sans" w:hAnsi="Noto Sans" w:cs="Noto Sans"/>
                <w:szCs w:val="19"/>
              </w:rPr>
              <w:t>Advisory services we deliver as a Financial Planning Firm and the value clients derive from each of these services.</w:t>
            </w:r>
          </w:p>
          <w:p w14:paraId="775D1DC0" w14:textId="77777777" w:rsidR="00D76E4F" w:rsidRPr="001222EF" w:rsidRDefault="00D76E4F" w:rsidP="00197D52">
            <w:pPr>
              <w:pStyle w:val="TabletextBold0"/>
              <w:rPr>
                <w:b w:val="0"/>
                <w:bCs w:val="0"/>
                <w:color w:val="FFFFFF" w:themeColor="background1"/>
                <w:szCs w:val="19"/>
              </w:rPr>
            </w:pPr>
          </w:p>
        </w:tc>
        <w:tc>
          <w:tcPr>
            <w:tcW w:w="3715" w:type="pct"/>
          </w:tcPr>
          <w:p w14:paraId="4A4B54A6" w14:textId="77777777" w:rsidR="00D76E4F" w:rsidRPr="001222EF" w:rsidRDefault="00D76E4F" w:rsidP="00197D52">
            <w:pPr>
              <w:rPr>
                <w:rFonts w:ascii="Noto Sans" w:hAnsi="Noto Sans" w:cs="Noto Sans"/>
                <w:color w:val="0070C0"/>
                <w:szCs w:val="19"/>
                <w:u w:val="single"/>
              </w:rPr>
            </w:pPr>
          </w:p>
          <w:p w14:paraId="46FB2E8F" w14:textId="77777777" w:rsidR="00D76E4F" w:rsidRPr="001222EF" w:rsidRDefault="00D76E4F" w:rsidP="00197D52">
            <w:pPr>
              <w:rPr>
                <w:rFonts w:ascii="Noto Sans" w:eastAsia="Times New Roman" w:hAnsi="Noto Sans" w:cs="Noto Sans"/>
                <w:b/>
                <w:bCs/>
                <w:szCs w:val="19"/>
              </w:rPr>
            </w:pPr>
            <w:r w:rsidRPr="001222EF">
              <w:rPr>
                <w:rFonts w:ascii="Noto Sans" w:eastAsia="Times New Roman" w:hAnsi="Noto Sans" w:cs="Noto Sans"/>
                <w:b/>
                <w:bCs/>
                <w:szCs w:val="19"/>
              </w:rPr>
              <w:t>Sample value statements</w:t>
            </w:r>
          </w:p>
          <w:p w14:paraId="2D35FE04" w14:textId="77777777" w:rsidR="00D76E4F" w:rsidRPr="001222EF" w:rsidRDefault="00D76E4F" w:rsidP="00197D52">
            <w:pPr>
              <w:rPr>
                <w:rFonts w:ascii="Noto Sans" w:hAnsi="Noto Sans" w:cs="Noto Sans"/>
                <w:color w:val="0070C0"/>
                <w:szCs w:val="19"/>
              </w:rPr>
            </w:pPr>
          </w:p>
          <w:p w14:paraId="0B5E9FAC" w14:textId="77777777" w:rsidR="00D76E4F" w:rsidRPr="001222EF" w:rsidRDefault="00D76E4F" w:rsidP="00D76E4F">
            <w:pPr>
              <w:pStyle w:val="ListParagraph"/>
              <w:numPr>
                <w:ilvl w:val="0"/>
                <w:numId w:val="34"/>
              </w:numPr>
              <w:rPr>
                <w:rFonts w:ascii="Noto Sans" w:hAnsi="Noto Sans" w:cs="Noto Sans"/>
                <w:szCs w:val="19"/>
              </w:rPr>
            </w:pPr>
            <w:r w:rsidRPr="001222EF">
              <w:rPr>
                <w:rFonts w:ascii="Noto Sans" w:hAnsi="Noto Sans" w:cs="Noto Sans"/>
                <w:szCs w:val="19"/>
              </w:rPr>
              <w:t>To recommend the most suitable solutions for our clients, we use professional tools to conduct research and analysis of provider and product solutions. This ensures we can make recommendations to best meet your needs and goals.</w:t>
            </w:r>
          </w:p>
          <w:p w14:paraId="48203026" w14:textId="77777777" w:rsidR="00D76E4F" w:rsidRPr="001222EF" w:rsidRDefault="00D76E4F" w:rsidP="00D76E4F">
            <w:pPr>
              <w:pStyle w:val="ListParagraph"/>
              <w:numPr>
                <w:ilvl w:val="0"/>
                <w:numId w:val="34"/>
              </w:numPr>
              <w:rPr>
                <w:rFonts w:ascii="Noto Sans" w:hAnsi="Noto Sans" w:cs="Noto Sans"/>
                <w:szCs w:val="19"/>
              </w:rPr>
            </w:pPr>
            <w:r w:rsidRPr="001222EF">
              <w:rPr>
                <w:rFonts w:ascii="Noto Sans" w:hAnsi="Noto Sans" w:cs="Noto Sans"/>
                <w:szCs w:val="19"/>
              </w:rPr>
              <w:t>Tools include Financial Express Analytics (FE is part of the Financial Times Group of Companies), Selecta Pension and CashCalc</w:t>
            </w:r>
          </w:p>
          <w:p w14:paraId="15E3F128" w14:textId="77777777" w:rsidR="00D76E4F" w:rsidRPr="001222EF" w:rsidRDefault="00D76E4F" w:rsidP="00197D52">
            <w:pPr>
              <w:rPr>
                <w:szCs w:val="19"/>
              </w:rPr>
            </w:pPr>
          </w:p>
        </w:tc>
      </w:tr>
    </w:tbl>
    <w:p w14:paraId="58DE5BBF"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76A461F2" w14:textId="77777777" w:rsidTr="00197D52">
        <w:trPr>
          <w:trHeight w:val="402"/>
        </w:trPr>
        <w:tc>
          <w:tcPr>
            <w:tcW w:w="5000" w:type="pct"/>
            <w:gridSpan w:val="2"/>
            <w:shd w:val="clear" w:color="auto" w:fill="002A5E" w:themeFill="background2"/>
          </w:tcPr>
          <w:p w14:paraId="65728D52" w14:textId="77777777" w:rsidR="00D76E4F" w:rsidRPr="00C935A7" w:rsidRDefault="00D76E4F" w:rsidP="00197D52">
            <w:pPr>
              <w:pStyle w:val="TabletextBold0"/>
              <w:rPr>
                <w:b w:val="0"/>
                <w:bCs w:val="0"/>
                <w:color w:val="FFFFFF" w:themeColor="background1"/>
              </w:rPr>
            </w:pPr>
            <w:r w:rsidRPr="00344B34">
              <w:rPr>
                <w:bCs w:val="0"/>
                <w:color w:val="auto"/>
              </w:rPr>
              <w:t>Technolog</w:t>
            </w:r>
            <w:r>
              <w:rPr>
                <w:bCs w:val="0"/>
                <w:color w:val="auto"/>
              </w:rPr>
              <w:t>y</w:t>
            </w:r>
          </w:p>
        </w:tc>
      </w:tr>
      <w:tr w:rsidR="00D76E4F" w14:paraId="182CBC9C" w14:textId="77777777" w:rsidTr="00197D52">
        <w:trPr>
          <w:trHeight w:val="1428"/>
        </w:trPr>
        <w:tc>
          <w:tcPr>
            <w:tcW w:w="1285" w:type="pct"/>
          </w:tcPr>
          <w:p w14:paraId="1B4E74FB" w14:textId="77777777" w:rsidR="00D76E4F" w:rsidRPr="001222EF" w:rsidRDefault="00D76E4F" w:rsidP="00197D52">
            <w:pPr>
              <w:rPr>
                <w:b/>
                <w:bCs/>
                <w:color w:val="FFFFFF" w:themeColor="background1"/>
                <w:szCs w:val="19"/>
              </w:rPr>
            </w:pPr>
          </w:p>
          <w:p w14:paraId="2BEA8299" w14:textId="77777777" w:rsidR="00D76E4F" w:rsidRPr="001222EF" w:rsidRDefault="00D76E4F" w:rsidP="00197D52">
            <w:pPr>
              <w:rPr>
                <w:b/>
                <w:bCs/>
                <w:color w:val="FFFFFF" w:themeColor="background1"/>
                <w:szCs w:val="19"/>
              </w:rPr>
            </w:pPr>
            <w:r w:rsidRPr="001222EF">
              <w:rPr>
                <w:rFonts w:ascii="Noto Sans" w:hAnsi="Noto Sans" w:cs="Noto Sans"/>
                <w:szCs w:val="19"/>
              </w:rPr>
              <w:t>What technology do you use and how does this add value to the client</w:t>
            </w:r>
          </w:p>
        </w:tc>
        <w:tc>
          <w:tcPr>
            <w:tcW w:w="3715" w:type="pct"/>
          </w:tcPr>
          <w:p w14:paraId="5EA0F103" w14:textId="77777777" w:rsidR="00D76E4F" w:rsidRPr="001222EF" w:rsidRDefault="00D76E4F" w:rsidP="00197D52">
            <w:pPr>
              <w:autoSpaceDE w:val="0"/>
              <w:autoSpaceDN w:val="0"/>
              <w:adjustRightInd w:val="0"/>
              <w:rPr>
                <w:rFonts w:ascii="Noto Sans" w:eastAsia="Times New Roman" w:hAnsi="Noto Sans" w:cs="Noto Sans"/>
                <w:b/>
                <w:bCs/>
                <w:szCs w:val="19"/>
              </w:rPr>
            </w:pPr>
          </w:p>
          <w:p w14:paraId="55A2D09D" w14:textId="03F3E470" w:rsidR="00D76E4F" w:rsidRDefault="00D76E4F" w:rsidP="001222EF">
            <w:pPr>
              <w:autoSpaceDE w:val="0"/>
              <w:autoSpaceDN w:val="0"/>
              <w:adjustRightInd w:val="0"/>
              <w:rPr>
                <w:rFonts w:ascii="Noto Sans" w:eastAsia="Times New Roman" w:hAnsi="Noto Sans" w:cs="Noto Sans"/>
                <w:b/>
                <w:bCs/>
                <w:szCs w:val="19"/>
              </w:rPr>
            </w:pPr>
            <w:r w:rsidRPr="001222EF">
              <w:rPr>
                <w:rFonts w:ascii="Noto Sans" w:eastAsia="Times New Roman" w:hAnsi="Noto Sans" w:cs="Noto Sans"/>
                <w:b/>
                <w:bCs/>
                <w:szCs w:val="19"/>
              </w:rPr>
              <w:t>Technology</w:t>
            </w:r>
          </w:p>
          <w:p w14:paraId="1BDAC33C" w14:textId="77777777" w:rsidR="001222EF" w:rsidRPr="001222EF" w:rsidRDefault="001222EF" w:rsidP="001222EF">
            <w:pPr>
              <w:autoSpaceDE w:val="0"/>
              <w:autoSpaceDN w:val="0"/>
              <w:adjustRightInd w:val="0"/>
              <w:rPr>
                <w:rFonts w:eastAsia="Calibri" w:cstheme="minorHAnsi"/>
                <w:szCs w:val="19"/>
              </w:rPr>
            </w:pPr>
          </w:p>
          <w:p w14:paraId="0140AE10" w14:textId="67A70CAF" w:rsidR="00D76E4F" w:rsidRPr="001222EF" w:rsidRDefault="00D76E4F" w:rsidP="00183370">
            <w:pPr>
              <w:pStyle w:val="ListParagraph"/>
              <w:numPr>
                <w:ilvl w:val="0"/>
                <w:numId w:val="38"/>
              </w:numPr>
              <w:spacing w:after="160" w:line="259" w:lineRule="auto"/>
              <w:rPr>
                <w:rFonts w:eastAsia="Calibri" w:cstheme="minorHAnsi"/>
                <w:szCs w:val="19"/>
              </w:rPr>
            </w:pPr>
            <w:r w:rsidRPr="001222EF">
              <w:rPr>
                <w:rFonts w:eastAsia="Calibri" w:cstheme="minorHAnsi"/>
                <w:szCs w:val="19"/>
              </w:rPr>
              <w:t>One of the reasons we chose to work with Benchmark, was their technology.  Something they have won numerous awards for.  Ultimately backed by Schroders, we have every confidence that the security of our client’s information within Benchmark’s client management technology systems, is in very safe hands.  This decision is something we know our clients expect us to get right. It’s incredibly important to them and a reason they feel safe working with us.</w:t>
            </w:r>
          </w:p>
          <w:p w14:paraId="3D0F89F8" w14:textId="0E9E71BD" w:rsidR="00D76E4F" w:rsidRPr="001222EF" w:rsidRDefault="00D76E4F" w:rsidP="001222EF">
            <w:pPr>
              <w:pStyle w:val="ListParagraph"/>
              <w:numPr>
                <w:ilvl w:val="0"/>
                <w:numId w:val="35"/>
              </w:numPr>
              <w:rPr>
                <w:szCs w:val="19"/>
              </w:rPr>
            </w:pPr>
            <w:r w:rsidRPr="001222EF">
              <w:rPr>
                <w:rFonts w:ascii="Noto Sans" w:hAnsi="Noto Sans" w:cs="Noto Sans"/>
                <w:szCs w:val="19"/>
              </w:rPr>
              <w:t>Clients have access to an online portal, where all assets</w:t>
            </w:r>
            <w:r w:rsidR="001D4E36" w:rsidRPr="001222EF">
              <w:rPr>
                <w:rFonts w:ascii="Noto Sans" w:hAnsi="Noto Sans" w:cs="Noto Sans"/>
                <w:szCs w:val="19"/>
              </w:rPr>
              <w:t xml:space="preserve"> and liabilities </w:t>
            </w:r>
            <w:r w:rsidRPr="001222EF">
              <w:rPr>
                <w:rFonts w:ascii="Noto Sans" w:hAnsi="Noto Sans" w:cs="Noto Sans"/>
                <w:szCs w:val="19"/>
              </w:rPr>
              <w:t xml:space="preserve">can be </w:t>
            </w:r>
            <w:r w:rsidR="001D4E36" w:rsidRPr="001222EF">
              <w:rPr>
                <w:rFonts w:ascii="Noto Sans" w:hAnsi="Noto Sans" w:cs="Noto Sans"/>
                <w:szCs w:val="19"/>
              </w:rPr>
              <w:t>recorded,</w:t>
            </w:r>
            <w:r w:rsidRPr="001222EF">
              <w:rPr>
                <w:rFonts w:ascii="Noto Sans" w:hAnsi="Noto Sans" w:cs="Noto Sans"/>
                <w:szCs w:val="19"/>
              </w:rPr>
              <w:t xml:space="preserve"> and values updated on an automated and ad-hoc basis.</w:t>
            </w:r>
          </w:p>
        </w:tc>
      </w:tr>
    </w:tbl>
    <w:p w14:paraId="074C6FD0"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1222EF" w:rsidRPr="00C935A7" w14:paraId="242B8AE0" w14:textId="77777777" w:rsidTr="008778D5">
        <w:trPr>
          <w:trHeight w:val="402"/>
        </w:trPr>
        <w:tc>
          <w:tcPr>
            <w:tcW w:w="5000" w:type="pct"/>
            <w:gridSpan w:val="2"/>
            <w:shd w:val="clear" w:color="auto" w:fill="002A5E" w:themeFill="background2"/>
          </w:tcPr>
          <w:p w14:paraId="0C1F3471" w14:textId="276E76C9" w:rsidR="001222EF" w:rsidRPr="00C935A7" w:rsidRDefault="001222EF" w:rsidP="008778D5">
            <w:pPr>
              <w:pStyle w:val="TabletextBold0"/>
              <w:rPr>
                <w:b w:val="0"/>
                <w:bCs w:val="0"/>
                <w:color w:val="FFFFFF" w:themeColor="background1"/>
              </w:rPr>
            </w:pPr>
            <w:r>
              <w:rPr>
                <w:bCs w:val="0"/>
                <w:color w:val="auto"/>
              </w:rPr>
              <w:t>Non-advisory Services – Other Services</w:t>
            </w:r>
          </w:p>
        </w:tc>
      </w:tr>
      <w:tr w:rsidR="001222EF" w:rsidRPr="00BD41B1" w14:paraId="71FCA0F2" w14:textId="77777777" w:rsidTr="008778D5">
        <w:trPr>
          <w:trHeight w:val="1428"/>
        </w:trPr>
        <w:tc>
          <w:tcPr>
            <w:tcW w:w="1285" w:type="pct"/>
          </w:tcPr>
          <w:p w14:paraId="318BD7DC" w14:textId="77777777" w:rsidR="001222EF" w:rsidRDefault="001222EF" w:rsidP="008778D5"/>
          <w:p w14:paraId="5BFFD587" w14:textId="15BBCBA9" w:rsidR="001222EF" w:rsidRPr="001222EF" w:rsidRDefault="001222EF" w:rsidP="008778D5">
            <w:r>
              <w:t>What non-advisory services do we deliver as a Wealth Advisory firm and what do our clients feel is the value they derive from each of these services?</w:t>
            </w:r>
          </w:p>
        </w:tc>
        <w:tc>
          <w:tcPr>
            <w:tcW w:w="3715" w:type="pct"/>
          </w:tcPr>
          <w:p w14:paraId="46D4F1F4" w14:textId="77777777" w:rsidR="001222EF" w:rsidRDefault="001222EF" w:rsidP="008778D5">
            <w:pPr>
              <w:pStyle w:val="ListParagraph"/>
              <w:ind w:left="0"/>
            </w:pPr>
          </w:p>
          <w:p w14:paraId="11FE7959" w14:textId="77777777" w:rsidR="001222EF" w:rsidRPr="001222EF" w:rsidRDefault="001222EF" w:rsidP="008778D5">
            <w:pPr>
              <w:pStyle w:val="ListParagraph"/>
              <w:ind w:left="0"/>
              <w:rPr>
                <w:b/>
                <w:bCs/>
              </w:rPr>
            </w:pPr>
            <w:r w:rsidRPr="001222EF">
              <w:rPr>
                <w:b/>
                <w:bCs/>
              </w:rPr>
              <w:t>Life Goals Planning</w:t>
            </w:r>
          </w:p>
          <w:p w14:paraId="1BD651CF" w14:textId="77777777" w:rsidR="001222EF" w:rsidRDefault="001222EF" w:rsidP="001222EF">
            <w:pPr>
              <w:pStyle w:val="ListParagraph"/>
              <w:numPr>
                <w:ilvl w:val="0"/>
                <w:numId w:val="35"/>
              </w:numPr>
            </w:pPr>
            <w:r>
              <w:t xml:space="preserve">To help clients consider their short / medium / long term goals in life and provide financial solutions to help them in their plans to achieve these goals. </w:t>
            </w:r>
          </w:p>
          <w:p w14:paraId="7CAA4129" w14:textId="77777777" w:rsidR="001222EF" w:rsidRDefault="001222EF" w:rsidP="008778D5">
            <w:pPr>
              <w:pStyle w:val="ListParagraph"/>
              <w:ind w:left="0"/>
            </w:pPr>
          </w:p>
          <w:p w14:paraId="661FE4C7" w14:textId="77777777" w:rsidR="001222EF" w:rsidRPr="001222EF" w:rsidRDefault="001222EF" w:rsidP="008778D5">
            <w:pPr>
              <w:pStyle w:val="ListParagraph"/>
              <w:ind w:left="0"/>
              <w:rPr>
                <w:b/>
                <w:bCs/>
              </w:rPr>
            </w:pPr>
            <w:r w:rsidRPr="001222EF">
              <w:rPr>
                <w:b/>
                <w:bCs/>
              </w:rPr>
              <w:t>Financial Coaching</w:t>
            </w:r>
          </w:p>
          <w:p w14:paraId="328611DC" w14:textId="77777777" w:rsidR="001222EF" w:rsidRDefault="001222EF" w:rsidP="001222EF">
            <w:pPr>
              <w:pStyle w:val="ListParagraph"/>
              <w:numPr>
                <w:ilvl w:val="0"/>
                <w:numId w:val="35"/>
              </w:numPr>
            </w:pPr>
            <w:r>
              <w:t xml:space="preserve">Financial Coaching can add value at various times throughout the financial planning journey and help them make considered financial decisions. </w:t>
            </w:r>
          </w:p>
          <w:p w14:paraId="7718297D" w14:textId="77777777" w:rsidR="001222EF" w:rsidRDefault="001222EF" w:rsidP="001222EF">
            <w:pPr>
              <w:pStyle w:val="ListParagraph"/>
              <w:numPr>
                <w:ilvl w:val="0"/>
                <w:numId w:val="35"/>
              </w:numPr>
            </w:pPr>
            <w:r>
              <w:t>Amounts to invest to meet their goals.</w:t>
            </w:r>
          </w:p>
          <w:p w14:paraId="3187E8AA" w14:textId="77777777" w:rsidR="001222EF" w:rsidRDefault="001222EF" w:rsidP="001222EF">
            <w:pPr>
              <w:pStyle w:val="ListParagraph"/>
              <w:numPr>
                <w:ilvl w:val="0"/>
                <w:numId w:val="35"/>
              </w:numPr>
            </w:pPr>
            <w:r>
              <w:t>How and when to release capital or take income</w:t>
            </w:r>
          </w:p>
          <w:p w14:paraId="26342EAD" w14:textId="77777777" w:rsidR="001222EF" w:rsidRDefault="001222EF" w:rsidP="001222EF">
            <w:pPr>
              <w:pStyle w:val="ListParagraph"/>
              <w:numPr>
                <w:ilvl w:val="0"/>
                <w:numId w:val="35"/>
              </w:numPr>
            </w:pPr>
            <w:r>
              <w:t>Reassurance in volatile market conditions</w:t>
            </w:r>
          </w:p>
          <w:p w14:paraId="44BAD670" w14:textId="77777777" w:rsidR="001222EF" w:rsidRDefault="001222EF" w:rsidP="001222EF">
            <w:pPr>
              <w:pStyle w:val="ListParagraph"/>
              <w:numPr>
                <w:ilvl w:val="0"/>
                <w:numId w:val="35"/>
              </w:numPr>
            </w:pPr>
            <w:r>
              <w:lastRenderedPageBreak/>
              <w:t>Understand how markets work and the journey they can expect</w:t>
            </w:r>
          </w:p>
          <w:p w14:paraId="321A473A" w14:textId="352B4F51" w:rsidR="001222EF" w:rsidRDefault="001222EF" w:rsidP="001222EF">
            <w:pPr>
              <w:pStyle w:val="ListParagraph"/>
              <w:numPr>
                <w:ilvl w:val="0"/>
                <w:numId w:val="35"/>
              </w:numPr>
            </w:pPr>
            <w:r>
              <w:t>Understanding legislation and tax changes</w:t>
            </w:r>
          </w:p>
          <w:p w14:paraId="50EA9F70" w14:textId="77777777" w:rsidR="001222EF" w:rsidRDefault="001222EF" w:rsidP="001222EF">
            <w:pPr>
              <w:pStyle w:val="ListParagraph"/>
              <w:numPr>
                <w:ilvl w:val="0"/>
                <w:numId w:val="35"/>
              </w:numPr>
            </w:pPr>
            <w:r>
              <w:t xml:space="preserve">Financial coaching – professional sense check – behavioural guidance - we help to take the emotion out of financial decision making and helping clients avoid falling into common mistakes. </w:t>
            </w:r>
          </w:p>
          <w:p w14:paraId="3A9C2873" w14:textId="77777777" w:rsidR="001222EF" w:rsidRDefault="001222EF" w:rsidP="008778D5">
            <w:pPr>
              <w:pStyle w:val="ListParagraph"/>
              <w:ind w:left="0"/>
            </w:pPr>
          </w:p>
          <w:p w14:paraId="2108C423" w14:textId="77777777" w:rsidR="001222EF" w:rsidRPr="001222EF" w:rsidRDefault="001222EF" w:rsidP="008778D5">
            <w:pPr>
              <w:pStyle w:val="ListParagraph"/>
              <w:ind w:left="0"/>
              <w:rPr>
                <w:b/>
                <w:bCs/>
              </w:rPr>
            </w:pPr>
            <w:r w:rsidRPr="001222EF">
              <w:rPr>
                <w:b/>
                <w:bCs/>
              </w:rPr>
              <w:t>Market Briefings and Investment Updates</w:t>
            </w:r>
          </w:p>
          <w:p w14:paraId="6E84E156" w14:textId="47E0CCA5" w:rsidR="001222EF" w:rsidRDefault="001222EF" w:rsidP="001222EF">
            <w:pPr>
              <w:pStyle w:val="ListParagraph"/>
              <w:numPr>
                <w:ilvl w:val="0"/>
                <w:numId w:val="39"/>
              </w:numPr>
            </w:pPr>
            <w:r>
              <w:t xml:space="preserve">We offer regular updates through our </w:t>
            </w:r>
            <w:r w:rsidR="009831D6">
              <w:t xml:space="preserve">Quarterly </w:t>
            </w:r>
            <w:r>
              <w:t xml:space="preserve">newsletter, annual outlook on economy and financial markets, ad hoc updates on markets during periods of extreme volatility, commentary on budgets and tax changes. </w:t>
            </w:r>
          </w:p>
          <w:p w14:paraId="0B49FFEC" w14:textId="77777777" w:rsidR="001222EF" w:rsidRDefault="001222EF" w:rsidP="008778D5">
            <w:pPr>
              <w:pStyle w:val="ListParagraph"/>
              <w:ind w:left="0"/>
            </w:pPr>
          </w:p>
          <w:p w14:paraId="037B477B" w14:textId="77777777" w:rsidR="001222EF" w:rsidRPr="001222EF" w:rsidRDefault="001222EF" w:rsidP="008778D5">
            <w:pPr>
              <w:pStyle w:val="ListParagraph"/>
              <w:ind w:left="0"/>
              <w:rPr>
                <w:b/>
                <w:bCs/>
              </w:rPr>
            </w:pPr>
            <w:r w:rsidRPr="001222EF">
              <w:rPr>
                <w:b/>
                <w:bCs/>
              </w:rPr>
              <w:t>Maintaining professional competency - Annual CPD</w:t>
            </w:r>
          </w:p>
          <w:p w14:paraId="4C3F7418" w14:textId="77777777" w:rsidR="001222EF" w:rsidRDefault="001222EF" w:rsidP="001222EF">
            <w:pPr>
              <w:pStyle w:val="ListParagraph"/>
              <w:numPr>
                <w:ilvl w:val="0"/>
                <w:numId w:val="39"/>
              </w:numPr>
            </w:pPr>
            <w:r>
              <w:t xml:space="preserve">As Wealth Managers, each year we evidence the learning activities we have completed to maintain competence in our role and improve our knowledge This allows us to continue providing suitable and up to date advice to our clients, year on year. </w:t>
            </w:r>
          </w:p>
          <w:p w14:paraId="220AEE4E" w14:textId="77777777" w:rsidR="001222EF" w:rsidRDefault="001222EF" w:rsidP="008778D5">
            <w:pPr>
              <w:pStyle w:val="ListParagraph"/>
              <w:ind w:left="0"/>
            </w:pPr>
          </w:p>
          <w:p w14:paraId="74D3A49C" w14:textId="77777777" w:rsidR="001222EF" w:rsidRPr="001222EF" w:rsidRDefault="001222EF" w:rsidP="008778D5">
            <w:pPr>
              <w:pStyle w:val="ListParagraph"/>
              <w:ind w:left="0"/>
              <w:rPr>
                <w:b/>
                <w:bCs/>
              </w:rPr>
            </w:pPr>
            <w:r w:rsidRPr="001222EF">
              <w:rPr>
                <w:b/>
                <w:bCs/>
              </w:rPr>
              <w:t>Access to other professionals in our network</w:t>
            </w:r>
          </w:p>
          <w:p w14:paraId="4FE8CA6A" w14:textId="30AA2F5B" w:rsidR="001222EF" w:rsidRDefault="001222EF" w:rsidP="001222EF">
            <w:pPr>
              <w:pStyle w:val="ListParagraph"/>
              <w:numPr>
                <w:ilvl w:val="0"/>
                <w:numId w:val="39"/>
              </w:numPr>
            </w:pPr>
            <w:r>
              <w:t>Where clients require professional advice that we cannot help with ourselves (legal, tax, property etc) and they do not have existing relationships, we can offer introductions to professionals in our network.</w:t>
            </w:r>
          </w:p>
          <w:p w14:paraId="25CAD93C" w14:textId="765ED806" w:rsidR="001222EF" w:rsidRPr="00BD41B1" w:rsidRDefault="001222EF" w:rsidP="001222EF">
            <w:pPr>
              <w:pStyle w:val="ListParagraph"/>
            </w:pPr>
          </w:p>
        </w:tc>
      </w:tr>
    </w:tbl>
    <w:p w14:paraId="1A6A2873"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5E6846B8" w14:textId="77777777" w:rsidTr="00197D52">
        <w:trPr>
          <w:trHeight w:val="402"/>
        </w:trPr>
        <w:tc>
          <w:tcPr>
            <w:tcW w:w="5000" w:type="pct"/>
            <w:gridSpan w:val="2"/>
            <w:shd w:val="clear" w:color="auto" w:fill="002A5E" w:themeFill="background2"/>
          </w:tcPr>
          <w:p w14:paraId="759E8BDB" w14:textId="77777777" w:rsidR="00D76E4F" w:rsidRPr="00C935A7" w:rsidRDefault="00D76E4F" w:rsidP="00197D52">
            <w:pPr>
              <w:pStyle w:val="TabletextBold0"/>
              <w:rPr>
                <w:b w:val="0"/>
                <w:bCs w:val="0"/>
                <w:color w:val="FFFFFF" w:themeColor="background1"/>
              </w:rPr>
            </w:pPr>
            <w:r w:rsidRPr="005B272F">
              <w:rPr>
                <w:bCs w:val="0"/>
                <w:color w:val="auto"/>
              </w:rPr>
              <w:t>Your Staff / Adviser Training and Development Programmes</w:t>
            </w:r>
          </w:p>
        </w:tc>
      </w:tr>
      <w:tr w:rsidR="00D76E4F" w14:paraId="7B4AE4F6" w14:textId="77777777" w:rsidTr="00197D52">
        <w:trPr>
          <w:trHeight w:val="1428"/>
        </w:trPr>
        <w:tc>
          <w:tcPr>
            <w:tcW w:w="1285" w:type="pct"/>
          </w:tcPr>
          <w:p w14:paraId="616DEBEA" w14:textId="77777777" w:rsidR="00D76E4F" w:rsidRPr="001222EF" w:rsidRDefault="00D76E4F" w:rsidP="00197D52">
            <w:pPr>
              <w:rPr>
                <w:b/>
                <w:bCs/>
                <w:color w:val="FFFFFF" w:themeColor="background1"/>
                <w:szCs w:val="19"/>
              </w:rPr>
            </w:pPr>
          </w:p>
          <w:p w14:paraId="51005F80" w14:textId="77777777" w:rsidR="00D76E4F" w:rsidRPr="001222EF" w:rsidRDefault="00D76E4F" w:rsidP="00197D52">
            <w:pPr>
              <w:rPr>
                <w:b/>
                <w:bCs/>
                <w:color w:val="FFFFFF" w:themeColor="background1"/>
                <w:szCs w:val="19"/>
              </w:rPr>
            </w:pPr>
            <w:r w:rsidRPr="001222EF">
              <w:rPr>
                <w:rFonts w:ascii="Noto Sans" w:hAnsi="Noto Sans" w:cs="Noto Sans"/>
                <w:szCs w:val="19"/>
              </w:rPr>
              <w:t>Training and Continuing Professional Development (CPD)</w:t>
            </w:r>
          </w:p>
        </w:tc>
        <w:tc>
          <w:tcPr>
            <w:tcW w:w="3715" w:type="pct"/>
          </w:tcPr>
          <w:p w14:paraId="165C9622" w14:textId="77777777" w:rsidR="00D76E4F" w:rsidRPr="001222EF" w:rsidRDefault="00D76E4F" w:rsidP="00197D52">
            <w:pPr>
              <w:pStyle w:val="ListParagraph"/>
              <w:rPr>
                <w:rFonts w:ascii="Noto Sans" w:hAnsi="Noto Sans" w:cs="Noto Sans"/>
                <w:szCs w:val="19"/>
              </w:rPr>
            </w:pPr>
          </w:p>
          <w:p w14:paraId="78F847A7" w14:textId="77777777" w:rsidR="00D76E4F" w:rsidRPr="001222EF" w:rsidRDefault="00D76E4F" w:rsidP="00BE63AC">
            <w:pPr>
              <w:rPr>
                <w:rFonts w:ascii="Noto Sans" w:hAnsi="Noto Sans" w:cs="Noto Sans"/>
                <w:b/>
                <w:bCs/>
                <w:szCs w:val="19"/>
              </w:rPr>
            </w:pPr>
            <w:r w:rsidRPr="001222EF">
              <w:rPr>
                <w:rFonts w:ascii="Noto Sans" w:hAnsi="Noto Sans" w:cs="Noto Sans"/>
                <w:b/>
                <w:bCs/>
                <w:szCs w:val="19"/>
              </w:rPr>
              <w:t>Training and CPD</w:t>
            </w:r>
          </w:p>
          <w:p w14:paraId="67E1BF70" w14:textId="77777777" w:rsidR="00D76E4F" w:rsidRPr="001222EF" w:rsidRDefault="00D76E4F" w:rsidP="00197D52">
            <w:pPr>
              <w:rPr>
                <w:rFonts w:ascii="Noto Sans" w:hAnsi="Noto Sans" w:cs="Noto Sans"/>
                <w:szCs w:val="19"/>
              </w:rPr>
            </w:pPr>
          </w:p>
          <w:p w14:paraId="5A7A0992" w14:textId="77777777" w:rsidR="00D76E4F" w:rsidRPr="001222EF" w:rsidRDefault="00D76E4F" w:rsidP="00D76E4F">
            <w:pPr>
              <w:pStyle w:val="ListParagraph"/>
              <w:numPr>
                <w:ilvl w:val="0"/>
                <w:numId w:val="36"/>
              </w:numPr>
              <w:rPr>
                <w:rFonts w:ascii="Noto Sans" w:hAnsi="Noto Sans" w:cs="Noto Sans"/>
                <w:szCs w:val="19"/>
              </w:rPr>
            </w:pPr>
            <w:r w:rsidRPr="001222EF">
              <w:rPr>
                <w:rFonts w:ascii="Noto Sans" w:hAnsi="Noto Sans" w:cs="Noto Sans"/>
                <w:szCs w:val="19"/>
              </w:rPr>
              <w:t>CPD programmes – maintaining professional knowledge, regulatory and tax change / updates / implications to client solutions.</w:t>
            </w:r>
          </w:p>
          <w:p w14:paraId="16CE16BC" w14:textId="77777777" w:rsidR="00D76E4F" w:rsidRPr="001222EF" w:rsidRDefault="00D76E4F" w:rsidP="00197D52">
            <w:pPr>
              <w:pStyle w:val="ListParagraph"/>
              <w:ind w:left="0"/>
              <w:rPr>
                <w:szCs w:val="19"/>
              </w:rPr>
            </w:pPr>
          </w:p>
        </w:tc>
      </w:tr>
    </w:tbl>
    <w:p w14:paraId="033EBA31" w14:textId="77777777" w:rsidR="00D76E4F" w:rsidRDefault="00D76E4F" w:rsidP="00D76E4F">
      <w:pPr>
        <w:pStyle w:val="Sourcetext"/>
        <w:spacing w:before="120"/>
      </w:pPr>
    </w:p>
    <w:tbl>
      <w:tblPr>
        <w:tblStyle w:val="TableGridLight"/>
        <w:tblW w:w="5000" w:type="pct"/>
        <w:tblLook w:val="0680" w:firstRow="0" w:lastRow="0" w:firstColumn="1" w:lastColumn="0" w:noHBand="1" w:noVBand="1"/>
      </w:tblPr>
      <w:tblGrid>
        <w:gridCol w:w="2547"/>
        <w:gridCol w:w="7365"/>
      </w:tblGrid>
      <w:tr w:rsidR="00D76E4F" w14:paraId="6C4BB58D" w14:textId="77777777" w:rsidTr="00197D52">
        <w:trPr>
          <w:trHeight w:val="402"/>
        </w:trPr>
        <w:tc>
          <w:tcPr>
            <w:tcW w:w="5000" w:type="pct"/>
            <w:gridSpan w:val="2"/>
            <w:shd w:val="clear" w:color="auto" w:fill="002A5E" w:themeFill="background2"/>
          </w:tcPr>
          <w:p w14:paraId="0ABC13AE" w14:textId="77777777" w:rsidR="00D76E4F" w:rsidRPr="00C935A7" w:rsidRDefault="00D76E4F" w:rsidP="00197D52">
            <w:pPr>
              <w:pStyle w:val="TabletextBold0"/>
              <w:rPr>
                <w:b w:val="0"/>
                <w:bCs w:val="0"/>
                <w:color w:val="FFFFFF" w:themeColor="background1"/>
              </w:rPr>
            </w:pPr>
            <w:r w:rsidRPr="00E30581">
              <w:rPr>
                <w:bCs w:val="0"/>
                <w:color w:val="auto"/>
              </w:rPr>
              <w:t>General Value Statements - Working with your Firm / a Financial Adviser – Tangible and Intangible Benefits</w:t>
            </w:r>
          </w:p>
        </w:tc>
      </w:tr>
      <w:tr w:rsidR="00D76E4F" w14:paraId="5E474A53" w14:textId="77777777" w:rsidTr="00197D52">
        <w:trPr>
          <w:trHeight w:val="1428"/>
        </w:trPr>
        <w:tc>
          <w:tcPr>
            <w:tcW w:w="1285" w:type="pct"/>
          </w:tcPr>
          <w:p w14:paraId="2F80DD08" w14:textId="77777777" w:rsidR="00D76E4F" w:rsidRPr="001222EF" w:rsidRDefault="00D76E4F" w:rsidP="00197D52">
            <w:pPr>
              <w:rPr>
                <w:b/>
                <w:bCs/>
                <w:color w:val="FFFFFF" w:themeColor="background1"/>
                <w:szCs w:val="19"/>
              </w:rPr>
            </w:pPr>
          </w:p>
          <w:p w14:paraId="7DAC4AA7" w14:textId="77777777" w:rsidR="00D76E4F" w:rsidRPr="001222EF" w:rsidRDefault="00D76E4F" w:rsidP="00197D52">
            <w:pPr>
              <w:rPr>
                <w:b/>
                <w:bCs/>
                <w:color w:val="FFFFFF" w:themeColor="background1"/>
                <w:szCs w:val="19"/>
              </w:rPr>
            </w:pPr>
            <w:r w:rsidRPr="001222EF">
              <w:rPr>
                <w:rFonts w:ascii="Noto Sans" w:hAnsi="Noto Sans" w:cs="Noto Sans"/>
                <w:szCs w:val="19"/>
              </w:rPr>
              <w:t>General value adding statements</w:t>
            </w:r>
          </w:p>
        </w:tc>
        <w:tc>
          <w:tcPr>
            <w:tcW w:w="3715" w:type="pct"/>
          </w:tcPr>
          <w:p w14:paraId="55B8E533" w14:textId="77777777" w:rsidR="00D76E4F" w:rsidRPr="001222EF" w:rsidRDefault="00D76E4F" w:rsidP="00197D52">
            <w:pPr>
              <w:pStyle w:val="ListParagraph"/>
              <w:rPr>
                <w:rFonts w:ascii="Noto Sans" w:hAnsi="Noto Sans" w:cs="Noto Sans"/>
                <w:szCs w:val="19"/>
              </w:rPr>
            </w:pPr>
          </w:p>
          <w:p w14:paraId="313DAB2C" w14:textId="77777777" w:rsidR="00D76E4F" w:rsidRPr="001222EF" w:rsidRDefault="00D76E4F" w:rsidP="00197D52">
            <w:pPr>
              <w:autoSpaceDE w:val="0"/>
              <w:autoSpaceDN w:val="0"/>
              <w:adjustRightInd w:val="0"/>
              <w:rPr>
                <w:rFonts w:ascii="Noto Sans" w:eastAsia="Times New Roman" w:hAnsi="Noto Sans" w:cs="Noto Sans"/>
                <w:b/>
                <w:bCs/>
                <w:szCs w:val="19"/>
              </w:rPr>
            </w:pPr>
            <w:r w:rsidRPr="001222EF">
              <w:rPr>
                <w:rFonts w:ascii="Noto Sans" w:eastAsia="Times New Roman" w:hAnsi="Noto Sans" w:cs="Noto Sans"/>
                <w:b/>
                <w:bCs/>
                <w:szCs w:val="19"/>
              </w:rPr>
              <w:t>General Value added</w:t>
            </w:r>
          </w:p>
          <w:p w14:paraId="25DC8210" w14:textId="77777777" w:rsidR="00D76E4F" w:rsidRPr="001222EF" w:rsidRDefault="00D76E4F" w:rsidP="00197D52">
            <w:pPr>
              <w:pStyle w:val="ListParagraph"/>
              <w:rPr>
                <w:rFonts w:ascii="Noto Sans" w:hAnsi="Noto Sans" w:cs="Noto Sans"/>
                <w:szCs w:val="19"/>
              </w:rPr>
            </w:pPr>
          </w:p>
          <w:p w14:paraId="177679CE" w14:textId="0B97C654" w:rsidR="00D76E4F" w:rsidRPr="001222EF" w:rsidRDefault="00D76E4F" w:rsidP="00D76E4F">
            <w:pPr>
              <w:pStyle w:val="ListParagraph"/>
              <w:numPr>
                <w:ilvl w:val="0"/>
                <w:numId w:val="37"/>
              </w:numPr>
              <w:rPr>
                <w:rFonts w:ascii="Noto Sans" w:hAnsi="Noto Sans" w:cs="Noto Sans"/>
                <w:szCs w:val="19"/>
              </w:rPr>
            </w:pPr>
            <w:r w:rsidRPr="001222EF">
              <w:rPr>
                <w:rFonts w:ascii="Noto Sans" w:hAnsi="Noto Sans" w:cs="Noto Sans"/>
                <w:szCs w:val="19"/>
              </w:rPr>
              <w:t xml:space="preserve">Working with a professional financial planner provides expertise and peace of </w:t>
            </w:r>
            <w:r w:rsidR="001D4E36" w:rsidRPr="001222EF">
              <w:rPr>
                <w:rFonts w:ascii="Noto Sans" w:hAnsi="Noto Sans" w:cs="Noto Sans"/>
                <w:szCs w:val="19"/>
              </w:rPr>
              <w:t>mind.</w:t>
            </w:r>
          </w:p>
          <w:p w14:paraId="372B8D15" w14:textId="77777777" w:rsidR="00D76E4F" w:rsidRPr="001222EF" w:rsidRDefault="00D76E4F" w:rsidP="00197D52">
            <w:pPr>
              <w:rPr>
                <w:rFonts w:ascii="Noto Sans" w:hAnsi="Noto Sans" w:cs="Noto Sans"/>
                <w:szCs w:val="19"/>
              </w:rPr>
            </w:pPr>
          </w:p>
          <w:p w14:paraId="1CD02FC7" w14:textId="77777777" w:rsidR="00D76E4F" w:rsidRPr="001222EF" w:rsidRDefault="00D76E4F" w:rsidP="00D76E4F">
            <w:pPr>
              <w:pStyle w:val="ListParagraph"/>
              <w:numPr>
                <w:ilvl w:val="0"/>
                <w:numId w:val="37"/>
              </w:numPr>
              <w:rPr>
                <w:rFonts w:ascii="Noto Sans" w:hAnsi="Noto Sans" w:cs="Noto Sans"/>
                <w:szCs w:val="19"/>
              </w:rPr>
            </w:pPr>
            <w:r w:rsidRPr="001222EF">
              <w:rPr>
                <w:rFonts w:ascii="Noto Sans" w:hAnsi="Noto Sans" w:cs="Noto Sans"/>
                <w:szCs w:val="19"/>
              </w:rPr>
              <w:t>We build multi decade trust-based relationships with our clients.  We get to know what really matters most to them and their families.  What they are trying to achieve in life and help them to achieve it.</w:t>
            </w:r>
          </w:p>
          <w:p w14:paraId="79C5B444" w14:textId="77777777" w:rsidR="00D76E4F" w:rsidRPr="001222EF" w:rsidRDefault="00D76E4F" w:rsidP="00197D52">
            <w:pPr>
              <w:rPr>
                <w:rFonts w:ascii="Noto Sans" w:hAnsi="Noto Sans" w:cs="Noto Sans"/>
                <w:szCs w:val="19"/>
              </w:rPr>
            </w:pPr>
          </w:p>
          <w:p w14:paraId="30A17FC7" w14:textId="77777777" w:rsidR="00D76E4F" w:rsidRPr="001222EF" w:rsidRDefault="00D76E4F" w:rsidP="00D76E4F">
            <w:pPr>
              <w:pStyle w:val="ListParagraph"/>
              <w:numPr>
                <w:ilvl w:val="0"/>
                <w:numId w:val="37"/>
              </w:numPr>
              <w:rPr>
                <w:rFonts w:ascii="Noto Sans" w:hAnsi="Noto Sans" w:cs="Noto Sans"/>
                <w:szCs w:val="19"/>
              </w:rPr>
            </w:pPr>
            <w:r w:rsidRPr="001222EF">
              <w:rPr>
                <w:rFonts w:ascii="Noto Sans" w:hAnsi="Noto Sans" w:cs="Noto Sans"/>
                <w:szCs w:val="19"/>
              </w:rPr>
              <w:t xml:space="preserve">Our relationships are often the longest standing relationships our clients have.  They lean on us for so much more than the financial plans we cultivate and manage for them.  This doesn’t happen without trust. </w:t>
            </w:r>
          </w:p>
          <w:p w14:paraId="3EAFBE80" w14:textId="77777777" w:rsidR="00D76E4F" w:rsidRPr="001222EF" w:rsidRDefault="00D76E4F" w:rsidP="00197D52">
            <w:pPr>
              <w:pStyle w:val="ListParagraph"/>
              <w:rPr>
                <w:rFonts w:ascii="Noto Sans" w:hAnsi="Noto Sans" w:cs="Noto Sans"/>
                <w:szCs w:val="19"/>
              </w:rPr>
            </w:pPr>
          </w:p>
          <w:p w14:paraId="772BF9BB" w14:textId="77777777" w:rsidR="00D76E4F" w:rsidRPr="001222EF" w:rsidRDefault="00D76E4F" w:rsidP="00D76E4F">
            <w:pPr>
              <w:pStyle w:val="ListParagraph"/>
              <w:numPr>
                <w:ilvl w:val="0"/>
                <w:numId w:val="37"/>
              </w:numPr>
              <w:rPr>
                <w:rFonts w:ascii="Noto Sans" w:hAnsi="Noto Sans" w:cs="Noto Sans"/>
                <w:szCs w:val="19"/>
              </w:rPr>
            </w:pPr>
            <w:r w:rsidRPr="001222EF">
              <w:rPr>
                <w:rFonts w:ascii="Noto Sans" w:hAnsi="Noto Sans" w:cs="Noto Sans"/>
                <w:szCs w:val="19"/>
              </w:rPr>
              <w:t>We provide a comprehensive quarterly market recap, rebalancing and suggested tactical changes based on the market outlook</w:t>
            </w:r>
          </w:p>
          <w:p w14:paraId="6D1874D7" w14:textId="77777777" w:rsidR="00D76E4F" w:rsidRPr="001222EF" w:rsidRDefault="00D76E4F" w:rsidP="00197D52">
            <w:pPr>
              <w:pStyle w:val="ListParagraph"/>
              <w:rPr>
                <w:szCs w:val="19"/>
              </w:rPr>
            </w:pPr>
          </w:p>
        </w:tc>
      </w:tr>
    </w:tbl>
    <w:p w14:paraId="6FFB337B" w14:textId="77777777" w:rsidR="00D76E4F" w:rsidRDefault="00D76E4F" w:rsidP="00D76E4F">
      <w:pPr>
        <w:pStyle w:val="Sourcetext"/>
        <w:spacing w:before="120"/>
      </w:pPr>
    </w:p>
    <w:p w14:paraId="59BF8215" w14:textId="77777777" w:rsidR="00D76E4F" w:rsidRDefault="00D76E4F" w:rsidP="00236020">
      <w:pPr>
        <w:pStyle w:val="BodyTextB17"/>
        <w:spacing w:after="0" w:line="360" w:lineRule="auto"/>
        <w:jc w:val="both"/>
        <w:rPr>
          <w:rFonts w:eastAsia="Calibri" w:cstheme="minorHAnsi"/>
          <w:color w:val="FF0000"/>
          <w:sz w:val="20"/>
          <w:szCs w:val="20"/>
        </w:rPr>
      </w:pPr>
    </w:p>
    <w:p w14:paraId="2E5043E0" w14:textId="08F1E8D5" w:rsidR="00221FC1" w:rsidRPr="00F10ADD" w:rsidRDefault="00F10ADD" w:rsidP="00F10ADD">
      <w:pPr>
        <w:pStyle w:val="BodyTextB17"/>
        <w:spacing w:after="0" w:line="360" w:lineRule="auto"/>
        <w:jc w:val="both"/>
        <w:rPr>
          <w:rFonts w:cstheme="minorHAnsi"/>
          <w:b/>
          <w:color w:val="0074B7"/>
          <w:szCs w:val="21"/>
        </w:rPr>
      </w:pPr>
      <w:r w:rsidRPr="00F10ADD">
        <w:rPr>
          <w:rFonts w:cstheme="minorHAnsi"/>
          <w:b/>
          <w:color w:val="0074B7"/>
          <w:szCs w:val="21"/>
        </w:rPr>
        <w:lastRenderedPageBreak/>
        <w:t>Summary</w:t>
      </w:r>
    </w:p>
    <w:p w14:paraId="3119FD9A" w14:textId="4D22D296" w:rsidR="001D4E36" w:rsidRDefault="001D4E36" w:rsidP="00BD648C">
      <w:pPr>
        <w:pStyle w:val="BodyTextB17"/>
        <w:rPr>
          <w:sz w:val="20"/>
          <w:szCs w:val="20"/>
        </w:rPr>
      </w:pPr>
      <w:r>
        <w:rPr>
          <w:sz w:val="20"/>
          <w:szCs w:val="20"/>
        </w:rPr>
        <w:t>Every client is unique. We customise our advice to meet your needs exactly. Whether you are planning for retirement, in retirement, or just starting your financial journey, we’ll sit down with you, listen to your objectives and goals and prepare a customised plan to meet your needs.</w:t>
      </w:r>
    </w:p>
    <w:p w14:paraId="4D5D9F5D" w14:textId="2C516BD1" w:rsidR="00594B3F" w:rsidRPr="00BE63AC" w:rsidRDefault="001D4E36" w:rsidP="00BD648C">
      <w:pPr>
        <w:pStyle w:val="BodyTextB17"/>
        <w:rPr>
          <w:sz w:val="20"/>
          <w:szCs w:val="20"/>
        </w:rPr>
      </w:pPr>
      <w:r>
        <w:rPr>
          <w:sz w:val="20"/>
          <w:szCs w:val="20"/>
        </w:rPr>
        <w:t>C</w:t>
      </w:r>
      <w:r w:rsidR="00585578" w:rsidRPr="00BE63AC">
        <w:rPr>
          <w:sz w:val="20"/>
          <w:szCs w:val="20"/>
        </w:rPr>
        <w:t xml:space="preserve">onsidering all areas included in the assessment of value, we believe the service provided is demonstrating value overall and our service proposition along with this value statement has been approved by our network, Best Practice IFA Group Limited.  </w:t>
      </w:r>
    </w:p>
    <w:p w14:paraId="7C17678E" w14:textId="484B56D1" w:rsidR="009220DB" w:rsidRPr="00BE63AC" w:rsidRDefault="009220DB" w:rsidP="009220DB">
      <w:pPr>
        <w:pStyle w:val="BodyTextB17"/>
        <w:spacing w:after="0" w:line="360" w:lineRule="auto"/>
        <w:jc w:val="both"/>
        <w:rPr>
          <w:rFonts w:cstheme="minorHAnsi"/>
          <w:bCs/>
          <w:szCs w:val="21"/>
        </w:rPr>
      </w:pPr>
    </w:p>
    <w:p w14:paraId="0D4E62F3" w14:textId="1336C1A6" w:rsidR="00B65082" w:rsidRPr="00B65082" w:rsidRDefault="00B65082" w:rsidP="00B65082"/>
    <w:p w14:paraId="36AFA7B7" w14:textId="0BC1E9FB" w:rsidR="00B65082" w:rsidRPr="00B65082" w:rsidRDefault="00B65082" w:rsidP="00B65082"/>
    <w:p w14:paraId="2939F523" w14:textId="2F7E06F9" w:rsidR="00B65082" w:rsidRPr="00B65082" w:rsidRDefault="00B65082" w:rsidP="00B65082"/>
    <w:p w14:paraId="10DE4E55" w14:textId="3B6FDE7B" w:rsidR="00B65082" w:rsidRPr="00B65082" w:rsidRDefault="00B65082" w:rsidP="00B65082"/>
    <w:p w14:paraId="4DB6F916" w14:textId="7F7EAA1D" w:rsidR="00B65082" w:rsidRPr="00B65082" w:rsidRDefault="00B65082" w:rsidP="00B65082"/>
    <w:p w14:paraId="395114AB" w14:textId="7692C0F4" w:rsidR="00B65082" w:rsidRPr="00B65082" w:rsidRDefault="00B65082" w:rsidP="00B65082"/>
    <w:p w14:paraId="770152DD" w14:textId="08D4DCCD" w:rsidR="00B65082" w:rsidRPr="00B65082" w:rsidRDefault="00B65082" w:rsidP="00B65082"/>
    <w:p w14:paraId="69276954" w14:textId="2800B8F3" w:rsidR="00B65082" w:rsidRPr="00B65082" w:rsidRDefault="00B65082" w:rsidP="00B65082"/>
    <w:p w14:paraId="3EC3F84D" w14:textId="7F197A62" w:rsidR="00B65082" w:rsidRPr="00B65082" w:rsidRDefault="00B65082" w:rsidP="00B65082"/>
    <w:p w14:paraId="0F790EB2" w14:textId="32357757" w:rsidR="00B65082" w:rsidRPr="00B65082" w:rsidRDefault="00B65082" w:rsidP="00B65082"/>
    <w:p w14:paraId="483012AE" w14:textId="77498163" w:rsidR="00B65082" w:rsidRPr="00B65082" w:rsidRDefault="00B65082" w:rsidP="00B65082"/>
    <w:p w14:paraId="59F5AD8C" w14:textId="410FB3FE" w:rsidR="00B65082" w:rsidRPr="00B65082" w:rsidRDefault="00B65082" w:rsidP="00B65082"/>
    <w:p w14:paraId="1278F2D7" w14:textId="4508D43C" w:rsidR="00B65082" w:rsidRPr="00B65082" w:rsidRDefault="00B65082" w:rsidP="00B65082"/>
    <w:p w14:paraId="7EC2C920" w14:textId="11AACDD5" w:rsidR="00B65082" w:rsidRPr="00B65082" w:rsidRDefault="00B65082" w:rsidP="00B65082"/>
    <w:p w14:paraId="60A72BEF" w14:textId="084D5B93" w:rsidR="00B65082" w:rsidRPr="00B65082" w:rsidRDefault="00B65082" w:rsidP="00B65082"/>
    <w:p w14:paraId="1ABED186" w14:textId="2578C139" w:rsidR="00B65082" w:rsidRPr="00B65082" w:rsidRDefault="00B65082" w:rsidP="00B65082"/>
    <w:p w14:paraId="24995C62" w14:textId="2A79E9AE" w:rsidR="00B65082" w:rsidRPr="00B65082" w:rsidRDefault="00B65082" w:rsidP="00B65082"/>
    <w:p w14:paraId="22067607" w14:textId="6CEABEC3" w:rsidR="00B65082" w:rsidRDefault="00B65082" w:rsidP="00B65082">
      <w:pPr>
        <w:rPr>
          <w:rFonts w:cstheme="minorHAnsi"/>
          <w:bCs/>
          <w:color w:val="0074B7"/>
          <w:sz w:val="21"/>
          <w:szCs w:val="21"/>
        </w:rPr>
      </w:pPr>
    </w:p>
    <w:p w14:paraId="04A51EFA" w14:textId="4DA21218" w:rsidR="00B65082" w:rsidRDefault="00B65082" w:rsidP="00B65082">
      <w:pPr>
        <w:rPr>
          <w:rFonts w:cstheme="minorHAnsi"/>
          <w:bCs/>
          <w:color w:val="0074B7"/>
          <w:sz w:val="21"/>
          <w:szCs w:val="21"/>
        </w:rPr>
      </w:pPr>
    </w:p>
    <w:p w14:paraId="5D9D022D" w14:textId="62083323" w:rsidR="00B65082" w:rsidRDefault="00B65082" w:rsidP="00B65082"/>
    <w:p w14:paraId="6F9EB68E" w14:textId="36CE548E" w:rsidR="00B65082" w:rsidRDefault="00B65082" w:rsidP="00B65082"/>
    <w:p w14:paraId="4C2557B7" w14:textId="77777777" w:rsidR="00E8661F" w:rsidRDefault="00E8661F" w:rsidP="00B65082"/>
    <w:p w14:paraId="36715B0C" w14:textId="77777777" w:rsidR="00E8661F" w:rsidRDefault="00E8661F" w:rsidP="00B65082"/>
    <w:p w14:paraId="71036E25" w14:textId="77777777" w:rsidR="00E8661F" w:rsidRDefault="00E8661F" w:rsidP="00B65082"/>
    <w:p w14:paraId="045D8BDE" w14:textId="77777777" w:rsidR="00E8661F" w:rsidRDefault="00E8661F" w:rsidP="00B65082"/>
    <w:p w14:paraId="01E1DE91" w14:textId="77777777" w:rsidR="00E8661F" w:rsidRDefault="00E8661F" w:rsidP="00B65082"/>
    <w:p w14:paraId="6DE9E793" w14:textId="77777777" w:rsidR="00E8661F" w:rsidRDefault="00E8661F" w:rsidP="00B65082"/>
    <w:p w14:paraId="7EE53861" w14:textId="77777777" w:rsidR="00E8661F" w:rsidRDefault="00E8661F" w:rsidP="00B65082"/>
    <w:p w14:paraId="2F5DD6DF" w14:textId="77777777" w:rsidR="00E8661F" w:rsidRDefault="00E8661F" w:rsidP="00B65082"/>
    <w:p w14:paraId="76B1858D" w14:textId="77777777" w:rsidR="00E8661F" w:rsidRDefault="00E8661F" w:rsidP="00B65082"/>
    <w:p w14:paraId="01A580AA" w14:textId="77777777" w:rsidR="00E8661F" w:rsidRDefault="00E8661F" w:rsidP="00B65082"/>
    <w:p w14:paraId="1BC3579B" w14:textId="77777777" w:rsidR="00E8661F" w:rsidRDefault="00E8661F" w:rsidP="00B65082"/>
    <w:p w14:paraId="382BA243" w14:textId="77777777" w:rsidR="00E8661F" w:rsidRDefault="00E8661F" w:rsidP="00B65082"/>
    <w:p w14:paraId="06BCC086" w14:textId="77777777" w:rsidR="00E8661F" w:rsidRDefault="00E8661F" w:rsidP="00B65082"/>
    <w:p w14:paraId="3A169BC1" w14:textId="77777777" w:rsidR="00E8661F" w:rsidRDefault="00E8661F" w:rsidP="00B65082"/>
    <w:p w14:paraId="1A1610FE" w14:textId="77777777" w:rsidR="00E8661F" w:rsidRDefault="00E8661F" w:rsidP="00B65082"/>
    <w:p w14:paraId="3D32E174" w14:textId="77777777" w:rsidR="00E8661F" w:rsidRDefault="00E8661F" w:rsidP="00B65082"/>
    <w:p w14:paraId="248EA5E0" w14:textId="77777777" w:rsidR="00B65082" w:rsidRDefault="00B65082" w:rsidP="00B65082"/>
    <w:p w14:paraId="44DE71F3" w14:textId="0F7E577F" w:rsidR="00B65082" w:rsidRPr="00B65082" w:rsidRDefault="00B65082" w:rsidP="00B65082">
      <w:pPr>
        <w:jc w:val="both"/>
        <w:rPr>
          <w:rFonts w:ascii="Noto Sans" w:hAnsi="Noto Sans" w:cs="Noto Sans"/>
          <w:sz w:val="16"/>
          <w:szCs w:val="16"/>
        </w:rPr>
      </w:pPr>
      <w:r>
        <w:rPr>
          <w:rFonts w:ascii="Noto Sans" w:hAnsi="Noto Sans" w:cs="Noto Sans"/>
          <w:b/>
          <w:bCs/>
          <w:sz w:val="16"/>
          <w:szCs w:val="16"/>
        </w:rPr>
        <w:t>Important information:</w:t>
      </w:r>
      <w:r>
        <w:rPr>
          <w:rFonts w:ascii="Noto Sans" w:hAnsi="Noto Sans" w:cs="Noto Sans"/>
          <w:sz w:val="16"/>
          <w:szCs w:val="16"/>
        </w:rPr>
        <w:t xml:space="preserve"> Best Practice IFA Group Limited is authorised and regulated by the Financial Conduct Authority, registration number 223112. Registered in England and Wales No 04490633. Evolution Wealth Network Limited is authorised and regulated by the Financial Conduct Authority, registration number 591218. Registered in England and Wales No 08229133. Registered office: Broadlands Business Campus, Langhurst Wood Road, Horsham, West Sussex, England, RH12 4QP.</w:t>
      </w:r>
    </w:p>
    <w:sectPr w:rsidR="00B65082" w:rsidRPr="00B65082" w:rsidSect="00F500DE">
      <w:pgSz w:w="11906" w:h="16838" w:code="9"/>
      <w:pgMar w:top="992" w:right="992" w:bottom="624"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7411" w14:textId="77777777" w:rsidR="00665C1C" w:rsidRDefault="00665C1C" w:rsidP="00EC4E49">
      <w:r>
        <w:separator/>
      </w:r>
    </w:p>
    <w:p w14:paraId="2EBA80BA" w14:textId="77777777" w:rsidR="00665C1C" w:rsidRDefault="00665C1C"/>
    <w:p w14:paraId="43E91D29" w14:textId="77777777" w:rsidR="00665C1C" w:rsidRDefault="00665C1C"/>
    <w:p w14:paraId="61109392" w14:textId="77777777" w:rsidR="00665C1C" w:rsidRDefault="00665C1C"/>
    <w:p w14:paraId="53FA3489" w14:textId="77777777" w:rsidR="00665C1C" w:rsidRDefault="00665C1C"/>
    <w:p w14:paraId="40BE4635" w14:textId="77777777" w:rsidR="00665C1C" w:rsidRDefault="00665C1C"/>
  </w:endnote>
  <w:endnote w:type="continuationSeparator" w:id="0">
    <w:p w14:paraId="1234AF7D" w14:textId="77777777" w:rsidR="00665C1C" w:rsidRDefault="00665C1C" w:rsidP="00EC4E49">
      <w:r>
        <w:continuationSeparator/>
      </w:r>
    </w:p>
    <w:p w14:paraId="0A3CF946" w14:textId="77777777" w:rsidR="00665C1C" w:rsidRDefault="00665C1C"/>
    <w:p w14:paraId="6033A202" w14:textId="77777777" w:rsidR="00665C1C" w:rsidRDefault="00665C1C"/>
    <w:p w14:paraId="37DB0DAE" w14:textId="77777777" w:rsidR="00665C1C" w:rsidRDefault="00665C1C"/>
    <w:p w14:paraId="69A895B7" w14:textId="77777777" w:rsidR="00665C1C" w:rsidRDefault="00665C1C"/>
    <w:p w14:paraId="03846E97" w14:textId="77777777" w:rsidR="00665C1C" w:rsidRDefault="00665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Segoe UI"/>
    <w:panose1 w:val="020B0502040504020204"/>
    <w:charset w:val="00"/>
    <w:family w:val="swiss"/>
    <w:pitch w:val="variable"/>
    <w:sig w:usb0="E00082FF" w:usb1="4000205F" w:usb2="08000029" w:usb3="00000000" w:csb0="0000019F" w:csb1="00000000"/>
  </w:font>
  <w:font w:name="Schroders Circular TT Medium">
    <w:altName w:val="Calibri"/>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Schroders Circular TT Normal">
    <w:charset w:val="00"/>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84E8" w14:textId="77777777" w:rsidR="000B545A" w:rsidRDefault="000B545A" w:rsidP="007235E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1"/>
      <w:gridCol w:w="5065"/>
      <w:gridCol w:w="4486"/>
    </w:tblGrid>
    <w:tr w:rsidR="000B545A" w14:paraId="597D82B8" w14:textId="77777777" w:rsidTr="001C6156">
      <w:trPr>
        <w:trHeight w:hRule="exact" w:val="624"/>
      </w:trPr>
      <w:tc>
        <w:tcPr>
          <w:tcW w:w="397" w:type="dxa"/>
          <w:vAlign w:val="center"/>
        </w:tcPr>
        <w:p w14:paraId="3607647D" w14:textId="77777777" w:rsidR="000B545A" w:rsidRDefault="000B545A" w:rsidP="007E292A">
          <w:pP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sidR="006F3CAA">
            <w:rPr>
              <w:rStyle w:val="PageNumber"/>
              <w:noProof/>
            </w:rPr>
            <w:t>2</w:t>
          </w:r>
          <w:r w:rsidRPr="006D31C5">
            <w:rPr>
              <w:rStyle w:val="PageNumber"/>
            </w:rPr>
            <w:fldChar w:fldCharType="end"/>
          </w:r>
        </w:p>
      </w:tc>
      <w:tc>
        <w:tcPr>
          <w:tcW w:w="5443" w:type="dxa"/>
          <w:vAlign w:val="center"/>
        </w:tcPr>
        <w:sdt>
          <w:sdtPr>
            <w:rPr>
              <w:rStyle w:val="PageNumber"/>
              <w:rFonts w:ascii="Noto Sans" w:hAnsi="Noto Sans"/>
              <w:b w:val="0"/>
              <w:color w:val="F8A908" w:themeColor="accent3"/>
              <w:sz w:val="15"/>
            </w:rPr>
            <w:alias w:val="Category"/>
            <w:tag w:val=""/>
            <w:id w:val="1157026753"/>
            <w:dataBinding w:prefixMappings="xmlns:ns0='http://purl.org/dc/elements/1.1/' xmlns:ns1='http://schemas.openxmlformats.org/package/2006/metadata/core-properties' " w:xpath="/ns1:coreProperties[1]/ns1:category[1]" w:storeItemID="{6C3C8BC8-F283-45AE-878A-BAB7291924A1}"/>
            <w:text/>
          </w:sdtPr>
          <w:sdtEndPr>
            <w:rPr>
              <w:rStyle w:val="PageNumber"/>
            </w:rPr>
          </w:sdtEndPr>
          <w:sdtContent>
            <w:p w14:paraId="54A6EFB1" w14:textId="77777777" w:rsidR="000B545A" w:rsidRPr="00C857E2" w:rsidRDefault="00F44916" w:rsidP="00D77720">
              <w:pPr>
                <w:pStyle w:val="BodyText"/>
                <w:rPr>
                  <w:color w:val="CD7F0B" w:themeColor="accent4"/>
                </w:rPr>
              </w:pPr>
              <w:r>
                <w:rPr>
                  <w:rStyle w:val="PageNumber"/>
                  <w:rFonts w:ascii="Noto Sans" w:hAnsi="Noto Sans"/>
                  <w:b w:val="0"/>
                  <w:color w:val="F8A908" w:themeColor="accent3"/>
                  <w:sz w:val="15"/>
                </w:rPr>
                <w:t>Document title with one line</w:t>
              </w:r>
            </w:p>
          </w:sdtContent>
        </w:sdt>
      </w:tc>
      <w:tc>
        <w:tcPr>
          <w:tcW w:w="4820" w:type="dxa"/>
          <w:vAlign w:val="center"/>
        </w:tcPr>
        <w:p w14:paraId="234642CD" w14:textId="77777777" w:rsidR="000B545A" w:rsidRPr="00D55A12" w:rsidRDefault="000B545A" w:rsidP="004E4F03">
          <w:pPr>
            <w:jc w:val="right"/>
          </w:pPr>
        </w:p>
      </w:tc>
    </w:tr>
  </w:tbl>
  <w:p w14:paraId="3F0CBB4A" w14:textId="77777777" w:rsidR="000B545A" w:rsidRDefault="00DF378A" w:rsidP="005735B5">
    <w:sdt>
      <w:sdtPr>
        <w:rPr>
          <w:vanish/>
          <w:highlight w:val="yellow"/>
        </w:rPr>
        <w:id w:val="-324821578"/>
        <w:docPartObj>
          <w:docPartGallery w:val="Page Numbers (Bottom of Page)"/>
          <w:docPartUnique/>
        </w:docPartObj>
      </w:sdtPr>
      <w:sdtEndPr/>
      <w:sdtContent>
        <w:r w:rsidR="000B545A" w:rsidRPr="004446F0">
          <w:rPr>
            <w:rFonts w:ascii="Times New Roman" w:hAnsi="Times New Roman"/>
            <w:noProof/>
            <w:sz w:val="24"/>
            <w:lang w:eastAsia="en-GB"/>
          </w:rPr>
          <mc:AlternateContent>
            <mc:Choice Requires="wps">
              <w:drawing>
                <wp:anchor distT="0" distB="0" distL="114300" distR="114300" simplePos="0" relativeHeight="251659264" behindDoc="0" locked="1" layoutInCell="1" allowOverlap="1" wp14:anchorId="275D968A" wp14:editId="4C64EA06">
                  <wp:simplePos x="0" y="0"/>
                  <wp:positionH relativeFrom="page">
                    <wp:posOffset>633730</wp:posOffset>
                  </wp:positionH>
                  <wp:positionV relativeFrom="page">
                    <wp:posOffset>10069195</wp:posOffset>
                  </wp:positionV>
                  <wp:extent cx="234000" cy="2340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4000" cy="23400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CF494" id="Freeform 17" o:spid="_x0000_s1026" style="position:absolute;margin-left:49.9pt;margin-top:792.85pt;width:18.45pt;height:1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f8a908 [3206]" stroked="f">
                  <v:path arrowok="t" o:connecttype="custom" o:connectlocs="99641,232958;72648,225491;48866,212119;28816,193886;13366,171311;3645,145436;0,117130;2343,94121;10936,67725;25344,44456;44439,25354;67700,10853;93999,2171;111011,27958;90267,31953;71432,40548;55202,53138;42096,68941;33069,87522;28469,108274;28469,125726;33069,146565;42096,165146;55202,181035;71432,193625;90267,202134;111011,206215;127415,28306;147899,33255;166213,42806;181836,56004;194074,72501;202407,91516;205965,112702;205097,130154;199629,150559;189561,168532;175934,183814;159182,195622;139914,203350;123162,234000;145556,230701;171247,220802;193814,205434;212128,185290;225320,161412;232785,134409;233826,111139;229053,83268;218030,57914;201712,36207;180795,18842;156145,6773;128804,521" o:connectangles="0,0,0,0,0,0,0,0,0,0,0,0,0,0,0,0,0,0,0,0,0,0,0,0,0,0,0,0,0,0,0,0,0,0,0,0,0,0,0,0,0,0,0,0,0,0,0,0,0,0,0,0,0,0"/>
                  <o:lock v:ext="edit" verticies="t"/>
                  <w10:wrap anchorx="page" anchory="page"/>
                  <w10:anchorlock/>
                </v:shape>
              </w:pict>
            </mc:Fallback>
          </mc:AlternateContent>
        </w:r>
      </w:sdtContent>
    </w:sdt>
  </w:p>
  <w:p w14:paraId="6679D5AE" w14:textId="77777777" w:rsidR="002F7A2F" w:rsidRDefault="002F7A2F"/>
  <w:p w14:paraId="6B075F35" w14:textId="77777777" w:rsidR="0062114D" w:rsidRDefault="0062114D"/>
  <w:p w14:paraId="14DC5CC8" w14:textId="77777777" w:rsidR="00867737" w:rsidRDefault="00867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0E87" w14:textId="1D5E5E10" w:rsidR="009B5607" w:rsidRDefault="009B5607" w:rsidP="009B5607">
    <w:pPr>
      <w:jc w:val="both"/>
      <w:rPr>
        <w:rFonts w:ascii="Noto Sans" w:hAnsi="Noto Sans" w:cs="Noto Sans"/>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8"/>
      <w:gridCol w:w="5117"/>
      <w:gridCol w:w="367"/>
    </w:tblGrid>
    <w:tr w:rsidR="006458A7" w14:paraId="6B8B89D8" w14:textId="77777777" w:rsidTr="00492808">
      <w:trPr>
        <w:trHeight w:hRule="exact" w:val="624"/>
      </w:trPr>
      <w:tc>
        <w:tcPr>
          <w:tcW w:w="4438" w:type="dxa"/>
          <w:vAlign w:val="center"/>
        </w:tcPr>
        <w:p w14:paraId="4DF953B4" w14:textId="77777777" w:rsidR="006458A7" w:rsidRPr="00060D93" w:rsidRDefault="006458A7" w:rsidP="006458A7">
          <w:pPr>
            <w:rPr>
              <w:szCs w:val="16"/>
            </w:rPr>
          </w:pPr>
        </w:p>
      </w:tc>
      <w:tc>
        <w:tcPr>
          <w:tcW w:w="5117" w:type="dxa"/>
          <w:vAlign w:val="center"/>
        </w:tcPr>
        <w:p w14:paraId="710CECD1" w14:textId="78B234F8" w:rsidR="006458A7" w:rsidRPr="00FB7FFB" w:rsidRDefault="00DF378A" w:rsidP="006458A7">
          <w:pPr>
            <w:pStyle w:val="Prussianbluefootertextright"/>
          </w:pPr>
          <w:sdt>
            <w:sdtPr>
              <w:rPr>
                <w:rStyle w:val="PageNumber"/>
                <w:b w:val="0"/>
              </w:rPr>
              <w:alias w:val="Title"/>
              <w:tag w:val=""/>
              <w:id w:val="-127240988"/>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r w:rsidR="0062397E">
                <w:rPr>
                  <w:rStyle w:val="PageNumber"/>
                  <w:b w:val="0"/>
                </w:rPr>
                <w:t>Fair Value Statement</w:t>
              </w:r>
              <w:r>
                <w:rPr>
                  <w:rStyle w:val="PageNumber"/>
                  <w:b w:val="0"/>
                </w:rPr>
                <w:t xml:space="preserve"> – V1 July 2023</w:t>
              </w:r>
            </w:sdtContent>
          </w:sdt>
        </w:p>
      </w:tc>
      <w:tc>
        <w:tcPr>
          <w:tcW w:w="367" w:type="dxa"/>
          <w:vAlign w:val="center"/>
        </w:tcPr>
        <w:p w14:paraId="17E5F242" w14:textId="77777777" w:rsidR="006458A7" w:rsidRDefault="006458A7" w:rsidP="006458A7">
          <w:pPr>
            <w:jc w:val="center"/>
          </w:pPr>
          <w:r w:rsidRPr="0025472E">
            <w:rPr>
              <w:rStyle w:val="PageNumber"/>
            </w:rPr>
            <w:fldChar w:fldCharType="begin"/>
          </w:r>
          <w:r w:rsidRPr="0025472E">
            <w:rPr>
              <w:rStyle w:val="PageNumber"/>
            </w:rPr>
            <w:instrText xml:space="preserve"> PAGE   \* MERGEFORMAT </w:instrText>
          </w:r>
          <w:r w:rsidRPr="0025472E">
            <w:rPr>
              <w:rStyle w:val="PageNumber"/>
            </w:rPr>
            <w:fldChar w:fldCharType="separate"/>
          </w:r>
          <w:r w:rsidRPr="0025472E">
            <w:rPr>
              <w:rStyle w:val="PageNumber"/>
              <w:noProof/>
            </w:rPr>
            <w:t>4</w:t>
          </w:r>
          <w:r w:rsidRPr="0025472E">
            <w:rPr>
              <w:rStyle w:val="PageNumber"/>
            </w:rPr>
            <w:fldChar w:fldCharType="end"/>
          </w:r>
        </w:p>
      </w:tc>
    </w:tr>
  </w:tbl>
  <w:p w14:paraId="63340253" w14:textId="77777777" w:rsidR="006458A7" w:rsidRPr="001909D1" w:rsidRDefault="006458A7" w:rsidP="001909D1">
    <w:pPr>
      <w:spacing w:line="200" w:lineRule="exact"/>
      <w:rPr>
        <w:rFonts w:ascii="Noto Sans" w:hAnsi="Noto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B81D" w14:textId="77777777" w:rsidR="00245CDF" w:rsidRPr="001909D1" w:rsidRDefault="00245CDF" w:rsidP="00245CDF">
    <w:pPr>
      <w:spacing w:line="200" w:lineRule="exact"/>
      <w:rPr>
        <w:rFonts w:ascii="Noto Sans" w:hAnsi="Noto Sans"/>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8"/>
      <w:gridCol w:w="5117"/>
      <w:gridCol w:w="367"/>
    </w:tblGrid>
    <w:tr w:rsidR="00245CDF" w14:paraId="7E42AEA4" w14:textId="77777777" w:rsidTr="00FE25D1">
      <w:trPr>
        <w:trHeight w:hRule="exact" w:val="624"/>
      </w:trPr>
      <w:tc>
        <w:tcPr>
          <w:tcW w:w="4768" w:type="dxa"/>
          <w:vAlign w:val="center"/>
        </w:tcPr>
        <w:p w14:paraId="70B60145" w14:textId="77777777" w:rsidR="00245CDF" w:rsidRPr="00060D93" w:rsidRDefault="00245CDF" w:rsidP="00245CDF">
          <w:pPr>
            <w:rPr>
              <w:szCs w:val="16"/>
            </w:rPr>
          </w:pPr>
        </w:p>
      </w:tc>
      <w:tc>
        <w:tcPr>
          <w:tcW w:w="5497" w:type="dxa"/>
          <w:vAlign w:val="center"/>
        </w:tcPr>
        <w:p w14:paraId="115B9643" w14:textId="77777777" w:rsidR="00245CDF" w:rsidRPr="00FB7FFB" w:rsidRDefault="00245CDF" w:rsidP="00FB7FFB">
          <w:pPr>
            <w:pStyle w:val="Prussianbluefootertextright"/>
          </w:pPr>
        </w:p>
      </w:tc>
      <w:tc>
        <w:tcPr>
          <w:tcW w:w="393" w:type="dxa"/>
          <w:vAlign w:val="center"/>
        </w:tcPr>
        <w:p w14:paraId="01A050A6" w14:textId="77777777" w:rsidR="00245CDF" w:rsidRDefault="00245CDF" w:rsidP="00245CDF">
          <w:pPr>
            <w:jc w:val="center"/>
          </w:pPr>
        </w:p>
      </w:tc>
    </w:tr>
  </w:tbl>
  <w:p w14:paraId="5F32CE93" w14:textId="77777777" w:rsidR="000B545A" w:rsidRPr="00245CDF" w:rsidRDefault="000B545A" w:rsidP="00245CDF">
    <w:pPr>
      <w:spacing w:line="200" w:lineRule="exact"/>
      <w:rPr>
        <w:rFonts w:ascii="Noto Sans" w:hAnsi="Noto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F2BD" w14:textId="77777777" w:rsidR="00665C1C" w:rsidRPr="005B67EA" w:rsidRDefault="00665C1C" w:rsidP="005B67EA">
      <w:r w:rsidRPr="005B67EA">
        <w:separator/>
      </w:r>
    </w:p>
  </w:footnote>
  <w:footnote w:type="continuationSeparator" w:id="0">
    <w:p w14:paraId="691A81D9" w14:textId="77777777" w:rsidR="00665C1C" w:rsidRDefault="00665C1C" w:rsidP="00EC4E49">
      <w:r>
        <w:continuationSeparator/>
      </w:r>
    </w:p>
    <w:p w14:paraId="38F44D6E" w14:textId="77777777" w:rsidR="00665C1C" w:rsidRDefault="00665C1C"/>
  </w:footnote>
  <w:footnote w:type="continuationNotice" w:id="1">
    <w:p w14:paraId="56296B02" w14:textId="77777777" w:rsidR="00665C1C" w:rsidRDefault="00665C1C"/>
    <w:p w14:paraId="0DFB0605" w14:textId="77777777" w:rsidR="00665C1C" w:rsidRDefault="00665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3952" w14:textId="77777777" w:rsidR="00245CDF" w:rsidRDefault="001C79DA" w:rsidP="00245CDF">
    <w:pPr>
      <w:pStyle w:val="Header"/>
      <w:jc w:val="right"/>
    </w:pPr>
    <w:r>
      <w:rPr>
        <w:noProof/>
      </w:rPr>
      <w:drawing>
        <wp:anchor distT="0" distB="0" distL="114300" distR="114300" simplePos="0" relativeHeight="251676672" behindDoc="0" locked="0" layoutInCell="1" allowOverlap="1" wp14:anchorId="5672C35E" wp14:editId="0BBDC92A">
          <wp:simplePos x="0" y="0"/>
          <wp:positionH relativeFrom="column">
            <wp:posOffset>6788</wp:posOffset>
          </wp:positionH>
          <wp:positionV relativeFrom="paragraph">
            <wp:posOffset>-47562</wp:posOffset>
          </wp:positionV>
          <wp:extent cx="1779078" cy="2952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rotWithShape="1">
                  <a:blip r:embed="rId1">
                    <a:extLst>
                      <a:ext uri="{28A0092B-C50C-407E-A947-70E740481C1C}">
                        <a14:useLocalDpi xmlns:a14="http://schemas.microsoft.com/office/drawing/2010/main" val="0"/>
                      </a:ext>
                    </a:extLst>
                  </a:blip>
                  <a:srcRect l="9098" t="27250" r="9098" b="28969"/>
                  <a:stretch/>
                </pic:blipFill>
                <pic:spPr bwMode="auto">
                  <a:xfrm>
                    <a:off x="0" y="0"/>
                    <a:ext cx="1779078" cy="29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9B9B783" w14:textId="77777777" w:rsidR="000B545A" w:rsidRDefault="00AE7796" w:rsidP="00245CDF">
    <w:pPr>
      <w:pStyle w:val="Header"/>
    </w:pPr>
    <w:r>
      <w:rPr>
        <w:noProof/>
      </w:rPr>
      <w:drawing>
        <wp:anchor distT="0" distB="0" distL="114300" distR="114300" simplePos="0" relativeHeight="251677696" behindDoc="0" locked="0" layoutInCell="1" allowOverlap="1" wp14:anchorId="0ADB05D6" wp14:editId="0F7B915A">
          <wp:simplePos x="0" y="0"/>
          <wp:positionH relativeFrom="margin">
            <wp:posOffset>-1270</wp:posOffset>
          </wp:positionH>
          <wp:positionV relativeFrom="page">
            <wp:posOffset>3110230</wp:posOffset>
          </wp:positionV>
          <wp:extent cx="1152000" cy="11520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stretch>
                    <a:fillRect/>
                  </a:stretch>
                </pic:blipFill>
                <pic:spPr>
                  <a:xfrm>
                    <a:off x="0" y="0"/>
                    <a:ext cx="11520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F7A1220"/>
    <w:lvl w:ilvl="0">
      <w:start w:val="31"/>
      <w:numFmt w:val="bullet"/>
      <w:pStyle w:val="ListBullet5"/>
      <w:lvlText w:val="–"/>
      <w:lvlJc w:val="left"/>
      <w:pPr>
        <w:ind w:left="4894" w:hanging="360"/>
      </w:pPr>
      <w:rPr>
        <w:rFonts w:ascii="Arial" w:eastAsia="Times New Roman" w:hAnsi="Arial" w:hint="default"/>
      </w:rPr>
    </w:lvl>
  </w:abstractNum>
  <w:abstractNum w:abstractNumId="1" w15:restartNumberingAfterBreak="0">
    <w:nsid w:val="FFFFFF81"/>
    <w:multiLevelType w:val="singleLevel"/>
    <w:tmpl w:val="03A2BA0E"/>
    <w:lvl w:ilvl="0">
      <w:start w:val="31"/>
      <w:numFmt w:val="bullet"/>
      <w:pStyle w:val="ListBullet4"/>
      <w:lvlText w:val="–"/>
      <w:lvlJc w:val="left"/>
      <w:pPr>
        <w:ind w:left="1040" w:hanging="360"/>
      </w:pPr>
      <w:rPr>
        <w:rFonts w:ascii="Arial" w:eastAsia="Times New Roman" w:hAnsi="Arial" w:hint="default"/>
      </w:rPr>
    </w:lvl>
  </w:abstractNum>
  <w:abstractNum w:abstractNumId="2"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3"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4" w15:restartNumberingAfterBreak="0">
    <w:nsid w:val="FFFFFF89"/>
    <w:multiLevelType w:val="singleLevel"/>
    <w:tmpl w:val="6FA8F9A2"/>
    <w:lvl w:ilvl="0">
      <w:start w:val="31"/>
      <w:numFmt w:val="bullet"/>
      <w:pStyle w:val="ListBullet"/>
      <w:lvlText w:val="–"/>
      <w:lvlJc w:val="left"/>
      <w:pPr>
        <w:ind w:left="360" w:hanging="360"/>
      </w:pPr>
      <w:rPr>
        <w:rFonts w:ascii="Arial" w:eastAsia="Times New Roman" w:hAnsi="Arial" w:hint="default"/>
      </w:rPr>
    </w:lvl>
  </w:abstractNum>
  <w:abstractNum w:abstractNumId="5" w15:restartNumberingAfterBreak="0">
    <w:nsid w:val="03477753"/>
    <w:multiLevelType w:val="hybridMultilevel"/>
    <w:tmpl w:val="19CA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B1B34"/>
    <w:multiLevelType w:val="hybridMultilevel"/>
    <w:tmpl w:val="A3487E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0D02E5"/>
    <w:multiLevelType w:val="hybridMultilevel"/>
    <w:tmpl w:val="EB1042F6"/>
    <w:lvl w:ilvl="0" w:tplc="E1AAF8DE">
      <w:start w:val="1"/>
      <w:numFmt w:val="lowerRoman"/>
      <w:pStyle w:val="NumerallistBold"/>
      <w:lvlText w:val="%1."/>
      <w:lvlJc w:val="left"/>
      <w:pPr>
        <w:ind w:left="425" w:hanging="4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F24AD3"/>
    <w:multiLevelType w:val="multilevel"/>
    <w:tmpl w:val="2EE0A220"/>
    <w:styleLink w:val="b17legalnumberedlist"/>
    <w:lvl w:ilvl="0">
      <w:start w:val="1"/>
      <w:numFmt w:val="decimal"/>
      <w:lvlText w:val="%1."/>
      <w:lvlJc w:val="left"/>
      <w:pPr>
        <w:ind w:left="709" w:hanging="709"/>
      </w:pPr>
      <w:rPr>
        <w:rFonts w:ascii="Noto Sans" w:hAnsi="Noto Sans" w:hint="default"/>
        <w:b/>
        <w:i w:val="0"/>
        <w:sz w:val="19"/>
        <w:u w:color="000000" w:themeColor="text1"/>
      </w:rPr>
    </w:lvl>
    <w:lvl w:ilvl="1">
      <w:start w:val="1"/>
      <w:numFmt w:val="decimal"/>
      <w:lvlText w:val="%1.%2"/>
      <w:lvlJc w:val="left"/>
      <w:pPr>
        <w:ind w:left="709" w:hanging="709"/>
      </w:pPr>
      <w:rPr>
        <w:rFonts w:ascii="Noto Sans" w:hAnsi="Noto Sans" w:hint="default"/>
        <w:b w:val="0"/>
        <w:i w:val="0"/>
        <w:sz w:val="19"/>
        <w:u w:color="000000" w:themeColor="text1"/>
      </w:rPr>
    </w:lvl>
    <w:lvl w:ilvl="2">
      <w:start w:val="1"/>
      <w:numFmt w:val="decimal"/>
      <w:lvlText w:val="%1.%2.%3"/>
      <w:lvlJc w:val="left"/>
      <w:pPr>
        <w:ind w:left="709" w:hanging="709"/>
      </w:pPr>
      <w:rPr>
        <w:rFonts w:ascii="Noto Sans" w:hAnsi="Noto Sans" w:hint="default"/>
        <w:b w:val="0"/>
        <w:i w:val="0"/>
        <w:sz w:val="19"/>
        <w:u w:color="000000" w:themeColor="text1"/>
      </w:rPr>
    </w:lvl>
    <w:lvl w:ilvl="3">
      <w:start w:val="1"/>
      <w:numFmt w:val="decimal"/>
      <w:lvlText w:val="%1.%2.%3.%4."/>
      <w:lvlJc w:val="left"/>
      <w:pPr>
        <w:ind w:left="3515" w:hanging="1247"/>
      </w:pPr>
      <w:rPr>
        <w:rFonts w:hint="default"/>
      </w:rPr>
    </w:lvl>
    <w:lvl w:ilvl="4">
      <w:start w:val="1"/>
      <w:numFmt w:val="decimal"/>
      <w:lvlText w:val="%1.%2.%3.%4.%5."/>
      <w:lvlJc w:val="left"/>
      <w:pPr>
        <w:ind w:left="2693" w:hanging="425"/>
      </w:pPr>
      <w:rPr>
        <w:rFonts w:hint="default"/>
      </w:rPr>
    </w:lvl>
    <w:lvl w:ilvl="5">
      <w:start w:val="1"/>
      <w:numFmt w:val="decimal"/>
      <w:lvlText w:val="%1.%2.%3.%4.%5.%6."/>
      <w:lvlJc w:val="left"/>
      <w:pPr>
        <w:ind w:left="3260" w:hanging="425"/>
      </w:pPr>
      <w:rPr>
        <w:rFonts w:hint="default"/>
      </w:rPr>
    </w:lvl>
    <w:lvl w:ilvl="6">
      <w:start w:val="1"/>
      <w:numFmt w:val="decimal"/>
      <w:lvlText w:val="%1.%2.%3.%4.%5.%6.%7."/>
      <w:lvlJc w:val="left"/>
      <w:pPr>
        <w:ind w:left="3827" w:hanging="425"/>
      </w:pPr>
      <w:rPr>
        <w:rFonts w:hint="default"/>
      </w:rPr>
    </w:lvl>
    <w:lvl w:ilvl="7">
      <w:start w:val="1"/>
      <w:numFmt w:val="decimal"/>
      <w:lvlText w:val="%1.%2.%3.%4.%5.%6.%7.%8."/>
      <w:lvlJc w:val="left"/>
      <w:pPr>
        <w:ind w:left="4394" w:hanging="425"/>
      </w:pPr>
      <w:rPr>
        <w:rFonts w:hint="default"/>
      </w:rPr>
    </w:lvl>
    <w:lvl w:ilvl="8">
      <w:start w:val="1"/>
      <w:numFmt w:val="decimal"/>
      <w:lvlText w:val="%1.%2.%3.%4.%5.%6.%7.%8.%9."/>
      <w:lvlJc w:val="left"/>
      <w:pPr>
        <w:ind w:left="4961" w:hanging="425"/>
      </w:pPr>
      <w:rPr>
        <w:rFonts w:hint="default"/>
      </w:rPr>
    </w:lvl>
  </w:abstractNum>
  <w:abstractNum w:abstractNumId="9" w15:restartNumberingAfterBreak="0">
    <w:nsid w:val="199D3ED0"/>
    <w:multiLevelType w:val="hybridMultilevel"/>
    <w:tmpl w:val="039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24020"/>
    <w:multiLevelType w:val="hybridMultilevel"/>
    <w:tmpl w:val="89C2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E5002"/>
    <w:multiLevelType w:val="hybridMultilevel"/>
    <w:tmpl w:val="45BA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124C7"/>
    <w:multiLevelType w:val="hybridMultilevel"/>
    <w:tmpl w:val="F42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23F42"/>
    <w:multiLevelType w:val="hybridMultilevel"/>
    <w:tmpl w:val="52D8931E"/>
    <w:lvl w:ilvl="0" w:tplc="65780C2C">
      <w:start w:val="1"/>
      <w:numFmt w:val="lowerLetter"/>
      <w:pStyle w:val="LetteredlistRegular"/>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1619F"/>
    <w:multiLevelType w:val="hybridMultilevel"/>
    <w:tmpl w:val="9D60F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6134C"/>
    <w:multiLevelType w:val="hybridMultilevel"/>
    <w:tmpl w:val="BFACAD1C"/>
    <w:lvl w:ilvl="0" w:tplc="92AEB1AC">
      <w:start w:val="1"/>
      <w:numFmt w:val="decimal"/>
      <w:pStyle w:val="Numberedlist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E2493"/>
    <w:multiLevelType w:val="hybridMultilevel"/>
    <w:tmpl w:val="449C6A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12BC4"/>
    <w:multiLevelType w:val="hybridMultilevel"/>
    <w:tmpl w:val="6190508C"/>
    <w:lvl w:ilvl="0" w:tplc="A8101D68">
      <w:start w:val="1"/>
      <w:numFmt w:val="lowerLetter"/>
      <w:pStyle w:val="MultilevelletteredlistRegula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E3C1F"/>
    <w:multiLevelType w:val="hybridMultilevel"/>
    <w:tmpl w:val="C572264A"/>
    <w:lvl w:ilvl="0" w:tplc="51DA9F36">
      <w:start w:val="1"/>
      <w:numFmt w:val="lowerRoman"/>
      <w:pStyle w:val="NumerallistRegular"/>
      <w:lvlText w:val="%1."/>
      <w:lvlJc w:val="left"/>
      <w:pPr>
        <w:ind w:left="425" w:hanging="4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493519"/>
    <w:multiLevelType w:val="hybridMultilevel"/>
    <w:tmpl w:val="A7F85860"/>
    <w:lvl w:ilvl="0" w:tplc="F47E1D08">
      <w:start w:val="1"/>
      <w:numFmt w:val="decimal"/>
      <w:pStyle w:val="MultilevelNumberedlist"/>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3B2480C"/>
    <w:multiLevelType w:val="singleLevel"/>
    <w:tmpl w:val="D2EE8D24"/>
    <w:lvl w:ilvl="0">
      <w:start w:val="1"/>
      <w:numFmt w:val="bullet"/>
      <w:pStyle w:val="BulletedtextRegular"/>
      <w:lvlText w:val="–"/>
      <w:lvlJc w:val="left"/>
      <w:pPr>
        <w:ind w:left="425" w:hanging="425"/>
      </w:pPr>
      <w:rPr>
        <w:rFonts w:ascii="Arial" w:hAnsi="Arial" w:hint="default"/>
      </w:rPr>
    </w:lvl>
  </w:abstractNum>
  <w:abstractNum w:abstractNumId="21" w15:restartNumberingAfterBreak="0">
    <w:nsid w:val="45994AB3"/>
    <w:multiLevelType w:val="hybridMultilevel"/>
    <w:tmpl w:val="E544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44C49"/>
    <w:multiLevelType w:val="hybridMultilevel"/>
    <w:tmpl w:val="77F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F2E1C"/>
    <w:multiLevelType w:val="multilevel"/>
    <w:tmpl w:val="CE3E9DD0"/>
    <w:lvl w:ilvl="0">
      <w:start w:val="1"/>
      <w:numFmt w:val="decimal"/>
      <w:pStyle w:val="Multilevellist1ToC"/>
      <w:lvlText w:val="%1."/>
      <w:lvlJc w:val="left"/>
      <w:pPr>
        <w:ind w:left="851" w:hanging="851"/>
      </w:pPr>
      <w:rPr>
        <w:rFonts w:hint="default"/>
      </w:rPr>
    </w:lvl>
    <w:lvl w:ilvl="1">
      <w:start w:val="1"/>
      <w:numFmt w:val="decimal"/>
      <w:pStyle w:val="Multilevellistlevel2ToC"/>
      <w:lvlText w:val="%1.%2"/>
      <w:lvlJc w:val="left"/>
      <w:pPr>
        <w:ind w:left="4396" w:hanging="851"/>
      </w:pPr>
      <w:rPr>
        <w:rFonts w:hint="default"/>
      </w:rPr>
    </w:lvl>
    <w:lvl w:ilvl="2">
      <w:start w:val="1"/>
      <w:numFmt w:val="decimal"/>
      <w:pStyle w:val="Multilevellistlevel3"/>
      <w:lvlText w:val="%1.%2.%3"/>
      <w:lvlJc w:val="left"/>
      <w:pPr>
        <w:ind w:left="851" w:hanging="851"/>
      </w:pPr>
      <w:rPr>
        <w:rFonts w:hint="default"/>
      </w:rPr>
    </w:lvl>
    <w:lvl w:ilvl="3">
      <w:start w:val="1"/>
      <w:numFmt w:val="decimal"/>
      <w:pStyle w:val="Multilevellistlevel4"/>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4D4470B5"/>
    <w:multiLevelType w:val="singleLevel"/>
    <w:tmpl w:val="E8C80330"/>
    <w:lvl w:ilvl="0">
      <w:start w:val="1"/>
      <w:numFmt w:val="decimal"/>
      <w:pStyle w:val="NumberedlistRegular"/>
      <w:lvlText w:val="%1."/>
      <w:lvlJc w:val="left"/>
      <w:pPr>
        <w:ind w:left="425" w:hanging="425"/>
      </w:pPr>
      <w:rPr>
        <w:rFonts w:hint="default"/>
      </w:rPr>
    </w:lvl>
  </w:abstractNum>
  <w:abstractNum w:abstractNumId="25" w15:restartNumberingAfterBreak="0">
    <w:nsid w:val="514103A0"/>
    <w:multiLevelType w:val="hybridMultilevel"/>
    <w:tmpl w:val="E1A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950BC"/>
    <w:multiLevelType w:val="multilevel"/>
    <w:tmpl w:val="6902D66C"/>
    <w:lvl w:ilvl="0">
      <w:start w:val="1"/>
      <w:numFmt w:val="decimal"/>
      <w:pStyle w:val="SectiontitlenumberedToC"/>
      <w:lvlText w:val="Section %1"/>
      <w:lvlJc w:val="left"/>
      <w:pPr>
        <w:ind w:left="3828" w:hanging="2126"/>
      </w:pPr>
      <w:rPr>
        <w:rFonts w:asciiTheme="majorHAnsi" w:hAnsiTheme="majorHAnsi" w:cs="Schroders Circular TT Medium" w:hint="default"/>
        <w:b w:val="0"/>
        <w:bCs/>
        <w:i w:val="0"/>
        <w:iCs w:val="0"/>
        <w:caps w:val="0"/>
        <w:smallCaps w:val="0"/>
        <w:strike w:val="0"/>
        <w:dstrike w:val="0"/>
        <w:outline w:val="0"/>
        <w:shadow w:val="0"/>
        <w:emboss w:val="0"/>
        <w:imprint w:val="0"/>
        <w:noProof w:val="0"/>
        <w:vanish w:val="0"/>
        <w:color w:val="002A5E" w:themeColor="accent1"/>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0909BB"/>
    <w:multiLevelType w:val="hybridMultilevel"/>
    <w:tmpl w:val="D7D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24D4B"/>
    <w:multiLevelType w:val="hybridMultilevel"/>
    <w:tmpl w:val="ECB6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217FA"/>
    <w:multiLevelType w:val="multilevel"/>
    <w:tmpl w:val="3EE0A6C6"/>
    <w:lvl w:ilvl="0">
      <w:start w:val="1"/>
      <w:numFmt w:val="decimal"/>
      <w:pStyle w:val="AppendixtitleToC"/>
      <w:lvlText w:val="Appendix %1"/>
      <w:lvlJc w:val="left"/>
      <w:pPr>
        <w:ind w:left="2552" w:hanging="2552"/>
      </w:pPr>
      <w:rPr>
        <w:b w:val="0"/>
        <w:bCs w:val="0"/>
        <w:i w:val="0"/>
        <w:iCs w:val="0"/>
        <w:caps w:val="0"/>
        <w:smallCaps w:val="0"/>
        <w:strike w:val="0"/>
        <w:dstrike w:val="0"/>
        <w:outline w:val="0"/>
        <w:shadow w:val="0"/>
        <w:emboss w:val="0"/>
        <w:imprint w:val="0"/>
        <w:noProof w:val="0"/>
        <w:vanish w:val="0"/>
        <w:color w:val="002A5E"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07"/>
        </w:tabs>
        <w:ind w:left="2807" w:hanging="680"/>
      </w:pPr>
      <w:rPr>
        <w:rFonts w:hint="default"/>
      </w:rPr>
    </w:lvl>
    <w:lvl w:ilvl="2">
      <w:start w:val="1"/>
      <w:numFmt w:val="decimal"/>
      <w:lvlText w:val="%1.%2.%3"/>
      <w:lvlJc w:val="left"/>
      <w:pPr>
        <w:tabs>
          <w:tab w:val="num" w:pos="3207"/>
        </w:tabs>
        <w:ind w:left="2807" w:hanging="680"/>
      </w:pPr>
      <w:rPr>
        <w:rFonts w:hint="default"/>
      </w:rPr>
    </w:lvl>
    <w:lvl w:ilvl="3">
      <w:start w:val="1"/>
      <w:numFmt w:val="lowerRoman"/>
      <w:lvlText w:val="%4)"/>
      <w:lvlJc w:val="left"/>
      <w:pPr>
        <w:tabs>
          <w:tab w:val="num" w:pos="2694"/>
        </w:tabs>
        <w:ind w:left="2694"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isLgl/>
      <w:suff w:val="nothing"/>
      <w:lvlText w:val=""/>
      <w:lvlJc w:val="left"/>
      <w:pPr>
        <w:ind w:left="2694" w:hanging="567"/>
      </w:pPr>
      <w:rPr>
        <w:rFonts w:hint="default"/>
      </w:rPr>
    </w:lvl>
    <w:lvl w:ilvl="5">
      <w:start w:val="1"/>
      <w:numFmt w:val="decimal"/>
      <w:lvlText w:val="%1.%2.%3.%4.%5.%6"/>
      <w:lvlJc w:val="left"/>
      <w:pPr>
        <w:tabs>
          <w:tab w:val="num" w:pos="3279"/>
        </w:tabs>
        <w:ind w:left="3279" w:hanging="1152"/>
      </w:pPr>
      <w:rPr>
        <w:rFonts w:hint="default"/>
      </w:rPr>
    </w:lvl>
    <w:lvl w:ilvl="6">
      <w:start w:val="1"/>
      <w:numFmt w:val="none"/>
      <w:lvlText w:val=""/>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none"/>
      <w:lvlText w:val=""/>
      <w:lvlJc w:val="left"/>
      <w:pPr>
        <w:tabs>
          <w:tab w:val="num" w:pos="4962"/>
        </w:tabs>
        <w:ind w:left="4962" w:hanging="2835"/>
      </w:pPr>
      <w:rPr>
        <w:rFonts w:hint="default"/>
      </w:rPr>
    </w:lvl>
  </w:abstractNum>
  <w:abstractNum w:abstractNumId="30" w15:restartNumberingAfterBreak="0">
    <w:nsid w:val="68D15D63"/>
    <w:multiLevelType w:val="hybridMultilevel"/>
    <w:tmpl w:val="ECBA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70B84"/>
    <w:multiLevelType w:val="hybridMultilevel"/>
    <w:tmpl w:val="CC58E62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D35503F"/>
    <w:multiLevelType w:val="hybridMultilevel"/>
    <w:tmpl w:val="758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351C0"/>
    <w:multiLevelType w:val="hybridMultilevel"/>
    <w:tmpl w:val="9ADA2434"/>
    <w:lvl w:ilvl="0" w:tplc="492465C6">
      <w:start w:val="31"/>
      <w:numFmt w:val="bullet"/>
      <w:pStyle w:val="Tabletext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654F"/>
    <w:multiLevelType w:val="hybridMultilevel"/>
    <w:tmpl w:val="8A4CE874"/>
    <w:lvl w:ilvl="0" w:tplc="6AD4BDF2">
      <w:start w:val="1"/>
      <w:numFmt w:val="bullet"/>
      <w:pStyle w:val="Sub-bulletedtex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01E4B"/>
    <w:multiLevelType w:val="hybridMultilevel"/>
    <w:tmpl w:val="F530F4DC"/>
    <w:lvl w:ilvl="0" w:tplc="465CCEDC">
      <w:start w:val="1"/>
      <w:numFmt w:val="lowerLetter"/>
      <w:pStyle w:val="LetteredlistBold"/>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506450">
    <w:abstractNumId w:val="4"/>
  </w:num>
  <w:num w:numId="2" w16cid:durableId="1145781590">
    <w:abstractNumId w:val="3"/>
  </w:num>
  <w:num w:numId="3" w16cid:durableId="2010254860">
    <w:abstractNumId w:val="2"/>
  </w:num>
  <w:num w:numId="4" w16cid:durableId="2037267831">
    <w:abstractNumId w:val="1"/>
  </w:num>
  <w:num w:numId="5" w16cid:durableId="641928953">
    <w:abstractNumId w:val="0"/>
  </w:num>
  <w:num w:numId="6" w16cid:durableId="1748071562">
    <w:abstractNumId w:val="20"/>
  </w:num>
  <w:num w:numId="7" w16cid:durableId="508328187">
    <w:abstractNumId w:val="24"/>
  </w:num>
  <w:num w:numId="8" w16cid:durableId="449975969">
    <w:abstractNumId w:val="13"/>
  </w:num>
  <w:num w:numId="9" w16cid:durableId="296882206">
    <w:abstractNumId w:val="26"/>
  </w:num>
  <w:num w:numId="10" w16cid:durableId="1187136616">
    <w:abstractNumId w:val="35"/>
  </w:num>
  <w:num w:numId="11" w16cid:durableId="75784789">
    <w:abstractNumId w:val="7"/>
  </w:num>
  <w:num w:numId="12" w16cid:durableId="482895963">
    <w:abstractNumId w:val="18"/>
  </w:num>
  <w:num w:numId="13" w16cid:durableId="1331985726">
    <w:abstractNumId w:val="33"/>
  </w:num>
  <w:num w:numId="14" w16cid:durableId="1984386099">
    <w:abstractNumId w:val="29"/>
  </w:num>
  <w:num w:numId="15" w16cid:durableId="657535286">
    <w:abstractNumId w:val="8"/>
  </w:num>
  <w:num w:numId="16" w16cid:durableId="1562866234">
    <w:abstractNumId w:val="34"/>
  </w:num>
  <w:num w:numId="17" w16cid:durableId="1198933636">
    <w:abstractNumId w:val="23"/>
  </w:num>
  <w:num w:numId="18" w16cid:durableId="1873498532">
    <w:abstractNumId w:val="15"/>
  </w:num>
  <w:num w:numId="19" w16cid:durableId="1487430103">
    <w:abstractNumId w:val="19"/>
  </w:num>
  <w:num w:numId="20" w16cid:durableId="1896354045">
    <w:abstractNumId w:val="17"/>
  </w:num>
  <w:num w:numId="21" w16cid:durableId="128325187">
    <w:abstractNumId w:val="15"/>
    <w:lvlOverride w:ilvl="0">
      <w:startOverride w:val="1"/>
    </w:lvlOverride>
  </w:num>
  <w:num w:numId="22" w16cid:durableId="711853226">
    <w:abstractNumId w:val="35"/>
    <w:lvlOverride w:ilvl="0">
      <w:startOverride w:val="1"/>
    </w:lvlOverride>
  </w:num>
  <w:num w:numId="23" w16cid:durableId="853692848">
    <w:abstractNumId w:val="18"/>
    <w:lvlOverride w:ilvl="0">
      <w:startOverride w:val="1"/>
    </w:lvlOverride>
  </w:num>
  <w:num w:numId="24" w16cid:durableId="1460494396">
    <w:abstractNumId w:val="22"/>
  </w:num>
  <w:num w:numId="25" w16cid:durableId="1706826705">
    <w:abstractNumId w:val="10"/>
  </w:num>
  <w:num w:numId="26" w16cid:durableId="1421291633">
    <w:abstractNumId w:val="16"/>
  </w:num>
  <w:num w:numId="27" w16cid:durableId="769082208">
    <w:abstractNumId w:val="6"/>
  </w:num>
  <w:num w:numId="28" w16cid:durableId="1833597179">
    <w:abstractNumId w:val="31"/>
  </w:num>
  <w:num w:numId="29" w16cid:durableId="596524755">
    <w:abstractNumId w:val="14"/>
  </w:num>
  <w:num w:numId="30" w16cid:durableId="1995406076">
    <w:abstractNumId w:val="5"/>
  </w:num>
  <w:num w:numId="31" w16cid:durableId="1139764313">
    <w:abstractNumId w:val="11"/>
  </w:num>
  <w:num w:numId="32" w16cid:durableId="1490514088">
    <w:abstractNumId w:val="30"/>
  </w:num>
  <w:num w:numId="33" w16cid:durableId="444037803">
    <w:abstractNumId w:val="9"/>
  </w:num>
  <w:num w:numId="34" w16cid:durableId="1221749973">
    <w:abstractNumId w:val="25"/>
  </w:num>
  <w:num w:numId="35" w16cid:durableId="133526781">
    <w:abstractNumId w:val="21"/>
  </w:num>
  <w:num w:numId="36" w16cid:durableId="1762487925">
    <w:abstractNumId w:val="28"/>
  </w:num>
  <w:num w:numId="37" w16cid:durableId="1167549902">
    <w:abstractNumId w:val="32"/>
  </w:num>
  <w:num w:numId="38" w16cid:durableId="1667399202">
    <w:abstractNumId w:val="27"/>
  </w:num>
  <w:num w:numId="39" w16cid:durableId="116805960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2"/>
    <w:rsid w:val="00000BBB"/>
    <w:rsid w:val="000056BE"/>
    <w:rsid w:val="000066AB"/>
    <w:rsid w:val="00006AD1"/>
    <w:rsid w:val="00012EB8"/>
    <w:rsid w:val="00014018"/>
    <w:rsid w:val="00015DFD"/>
    <w:rsid w:val="00016394"/>
    <w:rsid w:val="000168EE"/>
    <w:rsid w:val="000265A4"/>
    <w:rsid w:val="00026731"/>
    <w:rsid w:val="000311FB"/>
    <w:rsid w:val="00033F92"/>
    <w:rsid w:val="00044634"/>
    <w:rsid w:val="0004770C"/>
    <w:rsid w:val="000512FD"/>
    <w:rsid w:val="00051AFE"/>
    <w:rsid w:val="00056072"/>
    <w:rsid w:val="00056D6A"/>
    <w:rsid w:val="00060D93"/>
    <w:rsid w:val="000613AD"/>
    <w:rsid w:val="00062ECD"/>
    <w:rsid w:val="00062F20"/>
    <w:rsid w:val="0006657D"/>
    <w:rsid w:val="00067511"/>
    <w:rsid w:val="00073FE7"/>
    <w:rsid w:val="00083E0A"/>
    <w:rsid w:val="00084485"/>
    <w:rsid w:val="00085242"/>
    <w:rsid w:val="0008623E"/>
    <w:rsid w:val="00086792"/>
    <w:rsid w:val="00094952"/>
    <w:rsid w:val="000A140C"/>
    <w:rsid w:val="000A17E9"/>
    <w:rsid w:val="000A5750"/>
    <w:rsid w:val="000B1056"/>
    <w:rsid w:val="000B4FA0"/>
    <w:rsid w:val="000B545A"/>
    <w:rsid w:val="000B6560"/>
    <w:rsid w:val="000B676E"/>
    <w:rsid w:val="000B6ABA"/>
    <w:rsid w:val="000D05B8"/>
    <w:rsid w:val="000D5417"/>
    <w:rsid w:val="000D7AD1"/>
    <w:rsid w:val="000E31CE"/>
    <w:rsid w:val="000E4302"/>
    <w:rsid w:val="000E77A1"/>
    <w:rsid w:val="000F4AE8"/>
    <w:rsid w:val="00101343"/>
    <w:rsid w:val="00101542"/>
    <w:rsid w:val="0010159F"/>
    <w:rsid w:val="001019D9"/>
    <w:rsid w:val="00103B62"/>
    <w:rsid w:val="00105004"/>
    <w:rsid w:val="001050D4"/>
    <w:rsid w:val="0011206B"/>
    <w:rsid w:val="00117130"/>
    <w:rsid w:val="001175A5"/>
    <w:rsid w:val="001222EF"/>
    <w:rsid w:val="00122363"/>
    <w:rsid w:val="0012433A"/>
    <w:rsid w:val="00131698"/>
    <w:rsid w:val="00132BA8"/>
    <w:rsid w:val="00135CDB"/>
    <w:rsid w:val="00136166"/>
    <w:rsid w:val="00136A48"/>
    <w:rsid w:val="001373B8"/>
    <w:rsid w:val="00146760"/>
    <w:rsid w:val="00147003"/>
    <w:rsid w:val="00153577"/>
    <w:rsid w:val="00160212"/>
    <w:rsid w:val="00160E60"/>
    <w:rsid w:val="00161D8A"/>
    <w:rsid w:val="00170754"/>
    <w:rsid w:val="00173927"/>
    <w:rsid w:val="00176772"/>
    <w:rsid w:val="00186DEB"/>
    <w:rsid w:val="00190513"/>
    <w:rsid w:val="001909D1"/>
    <w:rsid w:val="00196DA5"/>
    <w:rsid w:val="001970A9"/>
    <w:rsid w:val="001A2352"/>
    <w:rsid w:val="001A3E3C"/>
    <w:rsid w:val="001A4092"/>
    <w:rsid w:val="001B725E"/>
    <w:rsid w:val="001C4329"/>
    <w:rsid w:val="001C4AC6"/>
    <w:rsid w:val="001C5000"/>
    <w:rsid w:val="001C6156"/>
    <w:rsid w:val="001C79DA"/>
    <w:rsid w:val="001D1627"/>
    <w:rsid w:val="001D4E36"/>
    <w:rsid w:val="001D56B5"/>
    <w:rsid w:val="001D74EA"/>
    <w:rsid w:val="001D7626"/>
    <w:rsid w:val="001E3265"/>
    <w:rsid w:val="001E3E47"/>
    <w:rsid w:val="001E696A"/>
    <w:rsid w:val="001E6CB0"/>
    <w:rsid w:val="001F4DB1"/>
    <w:rsid w:val="001F5602"/>
    <w:rsid w:val="001F70A9"/>
    <w:rsid w:val="00200182"/>
    <w:rsid w:val="002030CE"/>
    <w:rsid w:val="00203BB4"/>
    <w:rsid w:val="002106ED"/>
    <w:rsid w:val="0021191F"/>
    <w:rsid w:val="00212B0E"/>
    <w:rsid w:val="00215B52"/>
    <w:rsid w:val="002164C3"/>
    <w:rsid w:val="002207B2"/>
    <w:rsid w:val="00221FC1"/>
    <w:rsid w:val="002224E5"/>
    <w:rsid w:val="00223FF9"/>
    <w:rsid w:val="00224392"/>
    <w:rsid w:val="00226DFA"/>
    <w:rsid w:val="00230355"/>
    <w:rsid w:val="0023392D"/>
    <w:rsid w:val="002345DF"/>
    <w:rsid w:val="00236020"/>
    <w:rsid w:val="002360B9"/>
    <w:rsid w:val="0023611B"/>
    <w:rsid w:val="002422D1"/>
    <w:rsid w:val="00244ED7"/>
    <w:rsid w:val="00245CDF"/>
    <w:rsid w:val="00245E5D"/>
    <w:rsid w:val="00247837"/>
    <w:rsid w:val="0025123E"/>
    <w:rsid w:val="00251481"/>
    <w:rsid w:val="00251540"/>
    <w:rsid w:val="0025472E"/>
    <w:rsid w:val="002554B8"/>
    <w:rsid w:val="00261D48"/>
    <w:rsid w:val="00261FA2"/>
    <w:rsid w:val="002644A8"/>
    <w:rsid w:val="00273856"/>
    <w:rsid w:val="00287499"/>
    <w:rsid w:val="002904BF"/>
    <w:rsid w:val="00292EE5"/>
    <w:rsid w:val="0029401F"/>
    <w:rsid w:val="002A17A6"/>
    <w:rsid w:val="002A3359"/>
    <w:rsid w:val="002A3AD0"/>
    <w:rsid w:val="002A73C3"/>
    <w:rsid w:val="002B0A37"/>
    <w:rsid w:val="002B0C5A"/>
    <w:rsid w:val="002B519A"/>
    <w:rsid w:val="002B6056"/>
    <w:rsid w:val="002C0DB8"/>
    <w:rsid w:val="002C232B"/>
    <w:rsid w:val="002C4B94"/>
    <w:rsid w:val="002D480A"/>
    <w:rsid w:val="002E4F25"/>
    <w:rsid w:val="002F164D"/>
    <w:rsid w:val="002F21D4"/>
    <w:rsid w:val="002F2A65"/>
    <w:rsid w:val="002F3EE6"/>
    <w:rsid w:val="002F4DA3"/>
    <w:rsid w:val="002F74D8"/>
    <w:rsid w:val="002F7A2F"/>
    <w:rsid w:val="002F7A5A"/>
    <w:rsid w:val="00301D73"/>
    <w:rsid w:val="003021A1"/>
    <w:rsid w:val="00302605"/>
    <w:rsid w:val="003032C4"/>
    <w:rsid w:val="00306036"/>
    <w:rsid w:val="00307A6B"/>
    <w:rsid w:val="00307F13"/>
    <w:rsid w:val="003148F6"/>
    <w:rsid w:val="003155DE"/>
    <w:rsid w:val="0031660A"/>
    <w:rsid w:val="00326AC1"/>
    <w:rsid w:val="00330C4F"/>
    <w:rsid w:val="00330ECD"/>
    <w:rsid w:val="0033265C"/>
    <w:rsid w:val="00334352"/>
    <w:rsid w:val="00337330"/>
    <w:rsid w:val="00340E01"/>
    <w:rsid w:val="003552E1"/>
    <w:rsid w:val="003556E0"/>
    <w:rsid w:val="00356434"/>
    <w:rsid w:val="003617E1"/>
    <w:rsid w:val="00367B4F"/>
    <w:rsid w:val="003733FA"/>
    <w:rsid w:val="003817CA"/>
    <w:rsid w:val="00381830"/>
    <w:rsid w:val="00382A9B"/>
    <w:rsid w:val="00383166"/>
    <w:rsid w:val="00384AD6"/>
    <w:rsid w:val="003940BB"/>
    <w:rsid w:val="00396008"/>
    <w:rsid w:val="003A0C38"/>
    <w:rsid w:val="003A40B7"/>
    <w:rsid w:val="003A446D"/>
    <w:rsid w:val="003A6B7B"/>
    <w:rsid w:val="003A6D9D"/>
    <w:rsid w:val="003B00BA"/>
    <w:rsid w:val="003B2448"/>
    <w:rsid w:val="003B307C"/>
    <w:rsid w:val="003B37CC"/>
    <w:rsid w:val="003B50FB"/>
    <w:rsid w:val="003C3F7A"/>
    <w:rsid w:val="003D5524"/>
    <w:rsid w:val="003D5D0E"/>
    <w:rsid w:val="003D7212"/>
    <w:rsid w:val="003E323D"/>
    <w:rsid w:val="003F25ED"/>
    <w:rsid w:val="003F4039"/>
    <w:rsid w:val="003F4E45"/>
    <w:rsid w:val="003F7502"/>
    <w:rsid w:val="00402BD4"/>
    <w:rsid w:val="00406BA6"/>
    <w:rsid w:val="00412401"/>
    <w:rsid w:val="004133D0"/>
    <w:rsid w:val="00415FFF"/>
    <w:rsid w:val="00416889"/>
    <w:rsid w:val="00422A46"/>
    <w:rsid w:val="00423642"/>
    <w:rsid w:val="0042739D"/>
    <w:rsid w:val="00433FCA"/>
    <w:rsid w:val="0043538C"/>
    <w:rsid w:val="00435A0E"/>
    <w:rsid w:val="004446F0"/>
    <w:rsid w:val="004448D5"/>
    <w:rsid w:val="00446F6F"/>
    <w:rsid w:val="00453DFC"/>
    <w:rsid w:val="004574EE"/>
    <w:rsid w:val="0046649D"/>
    <w:rsid w:val="00473F3E"/>
    <w:rsid w:val="0048143D"/>
    <w:rsid w:val="00484A21"/>
    <w:rsid w:val="00494198"/>
    <w:rsid w:val="0049474E"/>
    <w:rsid w:val="004977F0"/>
    <w:rsid w:val="004A67AA"/>
    <w:rsid w:val="004B1226"/>
    <w:rsid w:val="004B1676"/>
    <w:rsid w:val="004B375F"/>
    <w:rsid w:val="004B6422"/>
    <w:rsid w:val="004C1AED"/>
    <w:rsid w:val="004C4C33"/>
    <w:rsid w:val="004D05CE"/>
    <w:rsid w:val="004D1134"/>
    <w:rsid w:val="004D2334"/>
    <w:rsid w:val="004E4F03"/>
    <w:rsid w:val="004E59AB"/>
    <w:rsid w:val="004F5AAE"/>
    <w:rsid w:val="004F6427"/>
    <w:rsid w:val="004F6F5D"/>
    <w:rsid w:val="00503F3F"/>
    <w:rsid w:val="0050444B"/>
    <w:rsid w:val="00511CE4"/>
    <w:rsid w:val="00514378"/>
    <w:rsid w:val="00521792"/>
    <w:rsid w:val="00521B6D"/>
    <w:rsid w:val="005245EE"/>
    <w:rsid w:val="005324B8"/>
    <w:rsid w:val="0053351A"/>
    <w:rsid w:val="00535FD1"/>
    <w:rsid w:val="005366B0"/>
    <w:rsid w:val="00540DC6"/>
    <w:rsid w:val="005437D2"/>
    <w:rsid w:val="005439D4"/>
    <w:rsid w:val="005464F6"/>
    <w:rsid w:val="00550DC0"/>
    <w:rsid w:val="00552CF5"/>
    <w:rsid w:val="0055431D"/>
    <w:rsid w:val="005546BE"/>
    <w:rsid w:val="0055638B"/>
    <w:rsid w:val="00557DD5"/>
    <w:rsid w:val="005620C1"/>
    <w:rsid w:val="00571260"/>
    <w:rsid w:val="005735B5"/>
    <w:rsid w:val="005842C2"/>
    <w:rsid w:val="00585578"/>
    <w:rsid w:val="005874A8"/>
    <w:rsid w:val="00590BE3"/>
    <w:rsid w:val="005914B3"/>
    <w:rsid w:val="00594B3F"/>
    <w:rsid w:val="0059592F"/>
    <w:rsid w:val="005A1002"/>
    <w:rsid w:val="005A2E6C"/>
    <w:rsid w:val="005A4B5A"/>
    <w:rsid w:val="005A4D23"/>
    <w:rsid w:val="005B0158"/>
    <w:rsid w:val="005B03FD"/>
    <w:rsid w:val="005B0EF7"/>
    <w:rsid w:val="005B2A9E"/>
    <w:rsid w:val="005B45E5"/>
    <w:rsid w:val="005B67EA"/>
    <w:rsid w:val="005C3235"/>
    <w:rsid w:val="005C3571"/>
    <w:rsid w:val="005C5FDA"/>
    <w:rsid w:val="005E05B9"/>
    <w:rsid w:val="005E38AB"/>
    <w:rsid w:val="005E3FBD"/>
    <w:rsid w:val="005E7E4E"/>
    <w:rsid w:val="005F0E66"/>
    <w:rsid w:val="005F259F"/>
    <w:rsid w:val="005F3A44"/>
    <w:rsid w:val="005F4DBF"/>
    <w:rsid w:val="005F7CFF"/>
    <w:rsid w:val="00611151"/>
    <w:rsid w:val="00611935"/>
    <w:rsid w:val="006148D1"/>
    <w:rsid w:val="00617938"/>
    <w:rsid w:val="0062114D"/>
    <w:rsid w:val="00621C72"/>
    <w:rsid w:val="006222AA"/>
    <w:rsid w:val="00622DCF"/>
    <w:rsid w:val="0062397E"/>
    <w:rsid w:val="0062582E"/>
    <w:rsid w:val="00626240"/>
    <w:rsid w:val="00627645"/>
    <w:rsid w:val="00627A32"/>
    <w:rsid w:val="00636DBC"/>
    <w:rsid w:val="00637EBC"/>
    <w:rsid w:val="00637EEA"/>
    <w:rsid w:val="00640D21"/>
    <w:rsid w:val="006458A7"/>
    <w:rsid w:val="00646571"/>
    <w:rsid w:val="006505FC"/>
    <w:rsid w:val="00650BE3"/>
    <w:rsid w:val="00651E88"/>
    <w:rsid w:val="00652F54"/>
    <w:rsid w:val="00652F60"/>
    <w:rsid w:val="00654BA1"/>
    <w:rsid w:val="00656E0F"/>
    <w:rsid w:val="0065793A"/>
    <w:rsid w:val="00661F98"/>
    <w:rsid w:val="00665C1C"/>
    <w:rsid w:val="006671E1"/>
    <w:rsid w:val="00671347"/>
    <w:rsid w:val="0068597C"/>
    <w:rsid w:val="00691B79"/>
    <w:rsid w:val="00691DC6"/>
    <w:rsid w:val="00694034"/>
    <w:rsid w:val="006A0B12"/>
    <w:rsid w:val="006A4BAA"/>
    <w:rsid w:val="006A7E51"/>
    <w:rsid w:val="006B1034"/>
    <w:rsid w:val="006B1328"/>
    <w:rsid w:val="006B213C"/>
    <w:rsid w:val="006B31B9"/>
    <w:rsid w:val="006B3A65"/>
    <w:rsid w:val="006B4E07"/>
    <w:rsid w:val="006B5133"/>
    <w:rsid w:val="006B57C8"/>
    <w:rsid w:val="006B6710"/>
    <w:rsid w:val="006C10EB"/>
    <w:rsid w:val="006C2BB6"/>
    <w:rsid w:val="006C6C19"/>
    <w:rsid w:val="006C6CBC"/>
    <w:rsid w:val="006D1180"/>
    <w:rsid w:val="006D31C5"/>
    <w:rsid w:val="006D3288"/>
    <w:rsid w:val="006D5D29"/>
    <w:rsid w:val="006D7E78"/>
    <w:rsid w:val="006E3144"/>
    <w:rsid w:val="006E5A6D"/>
    <w:rsid w:val="006F2330"/>
    <w:rsid w:val="006F3CAA"/>
    <w:rsid w:val="006F5CD9"/>
    <w:rsid w:val="006F68F6"/>
    <w:rsid w:val="006F6E31"/>
    <w:rsid w:val="006F71F5"/>
    <w:rsid w:val="00700909"/>
    <w:rsid w:val="00700CA4"/>
    <w:rsid w:val="00703BCF"/>
    <w:rsid w:val="00712136"/>
    <w:rsid w:val="00713890"/>
    <w:rsid w:val="00713B89"/>
    <w:rsid w:val="00715F1F"/>
    <w:rsid w:val="007235E9"/>
    <w:rsid w:val="007263C8"/>
    <w:rsid w:val="0073284C"/>
    <w:rsid w:val="00735228"/>
    <w:rsid w:val="0073568D"/>
    <w:rsid w:val="00735D6B"/>
    <w:rsid w:val="00736726"/>
    <w:rsid w:val="0073730E"/>
    <w:rsid w:val="0074157C"/>
    <w:rsid w:val="00741D7C"/>
    <w:rsid w:val="00744B01"/>
    <w:rsid w:val="00751579"/>
    <w:rsid w:val="00752085"/>
    <w:rsid w:val="00754851"/>
    <w:rsid w:val="00754ADD"/>
    <w:rsid w:val="0076148E"/>
    <w:rsid w:val="00761BE9"/>
    <w:rsid w:val="0076391F"/>
    <w:rsid w:val="007761D1"/>
    <w:rsid w:val="0077653F"/>
    <w:rsid w:val="007811D0"/>
    <w:rsid w:val="00794C19"/>
    <w:rsid w:val="007A072C"/>
    <w:rsid w:val="007A34BC"/>
    <w:rsid w:val="007A7B54"/>
    <w:rsid w:val="007B424C"/>
    <w:rsid w:val="007B7BF9"/>
    <w:rsid w:val="007C1B75"/>
    <w:rsid w:val="007C1FC2"/>
    <w:rsid w:val="007C3C97"/>
    <w:rsid w:val="007C4A1B"/>
    <w:rsid w:val="007C6EDB"/>
    <w:rsid w:val="007D53C1"/>
    <w:rsid w:val="007D652F"/>
    <w:rsid w:val="007E0365"/>
    <w:rsid w:val="007E2415"/>
    <w:rsid w:val="007E4A0E"/>
    <w:rsid w:val="007E6575"/>
    <w:rsid w:val="007E7A85"/>
    <w:rsid w:val="007F43CB"/>
    <w:rsid w:val="007F5E2D"/>
    <w:rsid w:val="007F6140"/>
    <w:rsid w:val="007F6D44"/>
    <w:rsid w:val="007F7155"/>
    <w:rsid w:val="007F71D1"/>
    <w:rsid w:val="00800BCD"/>
    <w:rsid w:val="0080174C"/>
    <w:rsid w:val="00801DAA"/>
    <w:rsid w:val="00802959"/>
    <w:rsid w:val="00803D28"/>
    <w:rsid w:val="0080499E"/>
    <w:rsid w:val="008060B6"/>
    <w:rsid w:val="00807892"/>
    <w:rsid w:val="00811849"/>
    <w:rsid w:val="00816100"/>
    <w:rsid w:val="00822A9D"/>
    <w:rsid w:val="00823314"/>
    <w:rsid w:val="00826A9D"/>
    <w:rsid w:val="00831393"/>
    <w:rsid w:val="00833BAC"/>
    <w:rsid w:val="00840E45"/>
    <w:rsid w:val="00841606"/>
    <w:rsid w:val="008444E7"/>
    <w:rsid w:val="00846A42"/>
    <w:rsid w:val="00852601"/>
    <w:rsid w:val="00852674"/>
    <w:rsid w:val="0086042F"/>
    <w:rsid w:val="008623B6"/>
    <w:rsid w:val="00867737"/>
    <w:rsid w:val="00874901"/>
    <w:rsid w:val="00874A7F"/>
    <w:rsid w:val="00882548"/>
    <w:rsid w:val="008825BD"/>
    <w:rsid w:val="008826E0"/>
    <w:rsid w:val="008841B8"/>
    <w:rsid w:val="008858CC"/>
    <w:rsid w:val="0088603C"/>
    <w:rsid w:val="008A18AE"/>
    <w:rsid w:val="008A1B43"/>
    <w:rsid w:val="008A358D"/>
    <w:rsid w:val="008A7AFE"/>
    <w:rsid w:val="008B2F90"/>
    <w:rsid w:val="008B6B6E"/>
    <w:rsid w:val="008C6575"/>
    <w:rsid w:val="008D2EDF"/>
    <w:rsid w:val="008D4124"/>
    <w:rsid w:val="008D62D9"/>
    <w:rsid w:val="008D7234"/>
    <w:rsid w:val="008E14F7"/>
    <w:rsid w:val="008E47B9"/>
    <w:rsid w:val="008E6333"/>
    <w:rsid w:val="008F0C29"/>
    <w:rsid w:val="008F1180"/>
    <w:rsid w:val="008F50A6"/>
    <w:rsid w:val="008F5526"/>
    <w:rsid w:val="0090001D"/>
    <w:rsid w:val="00902577"/>
    <w:rsid w:val="00907E3F"/>
    <w:rsid w:val="00912572"/>
    <w:rsid w:val="009126A5"/>
    <w:rsid w:val="00916271"/>
    <w:rsid w:val="00917CF0"/>
    <w:rsid w:val="00917EDD"/>
    <w:rsid w:val="009220DB"/>
    <w:rsid w:val="00922872"/>
    <w:rsid w:val="00924D8D"/>
    <w:rsid w:val="00931388"/>
    <w:rsid w:val="0093189A"/>
    <w:rsid w:val="0093388C"/>
    <w:rsid w:val="00935373"/>
    <w:rsid w:val="009439D5"/>
    <w:rsid w:val="009510E0"/>
    <w:rsid w:val="0095239D"/>
    <w:rsid w:val="00953A48"/>
    <w:rsid w:val="0095711F"/>
    <w:rsid w:val="00957A6B"/>
    <w:rsid w:val="00960047"/>
    <w:rsid w:val="00961320"/>
    <w:rsid w:val="00964CA9"/>
    <w:rsid w:val="00966C5C"/>
    <w:rsid w:val="0097112B"/>
    <w:rsid w:val="00971D1E"/>
    <w:rsid w:val="00972BCB"/>
    <w:rsid w:val="00973191"/>
    <w:rsid w:val="00973E85"/>
    <w:rsid w:val="0097566E"/>
    <w:rsid w:val="00981A13"/>
    <w:rsid w:val="0098291E"/>
    <w:rsid w:val="009831D6"/>
    <w:rsid w:val="0099239B"/>
    <w:rsid w:val="00997EE1"/>
    <w:rsid w:val="009A369C"/>
    <w:rsid w:val="009A4E30"/>
    <w:rsid w:val="009A5E1B"/>
    <w:rsid w:val="009A791C"/>
    <w:rsid w:val="009A7B7B"/>
    <w:rsid w:val="009B2FDB"/>
    <w:rsid w:val="009B5607"/>
    <w:rsid w:val="009B6DD5"/>
    <w:rsid w:val="009C08F8"/>
    <w:rsid w:val="009C3FCD"/>
    <w:rsid w:val="009C43B1"/>
    <w:rsid w:val="009C52D4"/>
    <w:rsid w:val="009C66A8"/>
    <w:rsid w:val="009D0624"/>
    <w:rsid w:val="009D21B5"/>
    <w:rsid w:val="009D4DE8"/>
    <w:rsid w:val="009D51BB"/>
    <w:rsid w:val="009D7712"/>
    <w:rsid w:val="009D77C9"/>
    <w:rsid w:val="009E40F1"/>
    <w:rsid w:val="009F61B5"/>
    <w:rsid w:val="009F7176"/>
    <w:rsid w:val="00A003F7"/>
    <w:rsid w:val="00A0243B"/>
    <w:rsid w:val="00A12C80"/>
    <w:rsid w:val="00A13262"/>
    <w:rsid w:val="00A1473D"/>
    <w:rsid w:val="00A16581"/>
    <w:rsid w:val="00A21909"/>
    <w:rsid w:val="00A25B25"/>
    <w:rsid w:val="00A30088"/>
    <w:rsid w:val="00A348FC"/>
    <w:rsid w:val="00A44181"/>
    <w:rsid w:val="00A46438"/>
    <w:rsid w:val="00A51099"/>
    <w:rsid w:val="00A54938"/>
    <w:rsid w:val="00A560CB"/>
    <w:rsid w:val="00A57A49"/>
    <w:rsid w:val="00A62B2F"/>
    <w:rsid w:val="00A66263"/>
    <w:rsid w:val="00A66A58"/>
    <w:rsid w:val="00A67C26"/>
    <w:rsid w:val="00A70BFD"/>
    <w:rsid w:val="00A71637"/>
    <w:rsid w:val="00A716BB"/>
    <w:rsid w:val="00A7652F"/>
    <w:rsid w:val="00A87E4C"/>
    <w:rsid w:val="00A91845"/>
    <w:rsid w:val="00A91B4B"/>
    <w:rsid w:val="00A920BE"/>
    <w:rsid w:val="00A94ECB"/>
    <w:rsid w:val="00A9782C"/>
    <w:rsid w:val="00AA5AFA"/>
    <w:rsid w:val="00AB3296"/>
    <w:rsid w:val="00AC0E9F"/>
    <w:rsid w:val="00AC43CC"/>
    <w:rsid w:val="00AC5BE4"/>
    <w:rsid w:val="00AD0166"/>
    <w:rsid w:val="00AD1D6A"/>
    <w:rsid w:val="00AD2B40"/>
    <w:rsid w:val="00AD4420"/>
    <w:rsid w:val="00AD5A4A"/>
    <w:rsid w:val="00AD758E"/>
    <w:rsid w:val="00AD7E83"/>
    <w:rsid w:val="00AE0B76"/>
    <w:rsid w:val="00AE2C0E"/>
    <w:rsid w:val="00AE5E9B"/>
    <w:rsid w:val="00AE689C"/>
    <w:rsid w:val="00AE7796"/>
    <w:rsid w:val="00AF6CCC"/>
    <w:rsid w:val="00AF6D4A"/>
    <w:rsid w:val="00AF7B2A"/>
    <w:rsid w:val="00B001E3"/>
    <w:rsid w:val="00B01353"/>
    <w:rsid w:val="00B01659"/>
    <w:rsid w:val="00B01B38"/>
    <w:rsid w:val="00B01CC3"/>
    <w:rsid w:val="00B03BD1"/>
    <w:rsid w:val="00B13220"/>
    <w:rsid w:val="00B13651"/>
    <w:rsid w:val="00B13B4E"/>
    <w:rsid w:val="00B1593F"/>
    <w:rsid w:val="00B16E96"/>
    <w:rsid w:val="00B22CFF"/>
    <w:rsid w:val="00B23D68"/>
    <w:rsid w:val="00B24887"/>
    <w:rsid w:val="00B24CF1"/>
    <w:rsid w:val="00B2607A"/>
    <w:rsid w:val="00B26CAD"/>
    <w:rsid w:val="00B309FB"/>
    <w:rsid w:val="00B30DC8"/>
    <w:rsid w:val="00B35BC9"/>
    <w:rsid w:val="00B36BF7"/>
    <w:rsid w:val="00B42AD8"/>
    <w:rsid w:val="00B44348"/>
    <w:rsid w:val="00B455A9"/>
    <w:rsid w:val="00B45F67"/>
    <w:rsid w:val="00B5049A"/>
    <w:rsid w:val="00B53541"/>
    <w:rsid w:val="00B54F4E"/>
    <w:rsid w:val="00B65082"/>
    <w:rsid w:val="00B67192"/>
    <w:rsid w:val="00B70DC3"/>
    <w:rsid w:val="00B70EDE"/>
    <w:rsid w:val="00B7198C"/>
    <w:rsid w:val="00B7273A"/>
    <w:rsid w:val="00B80098"/>
    <w:rsid w:val="00B805BC"/>
    <w:rsid w:val="00B81D37"/>
    <w:rsid w:val="00B92BAA"/>
    <w:rsid w:val="00B92CFF"/>
    <w:rsid w:val="00B9419F"/>
    <w:rsid w:val="00B9661D"/>
    <w:rsid w:val="00BA296A"/>
    <w:rsid w:val="00BA55E3"/>
    <w:rsid w:val="00BA7B76"/>
    <w:rsid w:val="00BB4FD3"/>
    <w:rsid w:val="00BB6930"/>
    <w:rsid w:val="00BB7C71"/>
    <w:rsid w:val="00BC2073"/>
    <w:rsid w:val="00BC3961"/>
    <w:rsid w:val="00BD0846"/>
    <w:rsid w:val="00BD41B1"/>
    <w:rsid w:val="00BD5771"/>
    <w:rsid w:val="00BD5807"/>
    <w:rsid w:val="00BD648C"/>
    <w:rsid w:val="00BD7653"/>
    <w:rsid w:val="00BE1CFB"/>
    <w:rsid w:val="00BE63AC"/>
    <w:rsid w:val="00BE6D52"/>
    <w:rsid w:val="00BF0089"/>
    <w:rsid w:val="00BF0608"/>
    <w:rsid w:val="00BF1CFB"/>
    <w:rsid w:val="00BF3188"/>
    <w:rsid w:val="00BF3C3E"/>
    <w:rsid w:val="00BF782E"/>
    <w:rsid w:val="00BF7A47"/>
    <w:rsid w:val="00BF7AEC"/>
    <w:rsid w:val="00C00E61"/>
    <w:rsid w:val="00C01439"/>
    <w:rsid w:val="00C014C0"/>
    <w:rsid w:val="00C01B9B"/>
    <w:rsid w:val="00C01FD9"/>
    <w:rsid w:val="00C03BB7"/>
    <w:rsid w:val="00C0494D"/>
    <w:rsid w:val="00C05D0F"/>
    <w:rsid w:val="00C0772B"/>
    <w:rsid w:val="00C10438"/>
    <w:rsid w:val="00C145AB"/>
    <w:rsid w:val="00C20486"/>
    <w:rsid w:val="00C2580A"/>
    <w:rsid w:val="00C270A8"/>
    <w:rsid w:val="00C30A97"/>
    <w:rsid w:val="00C40F00"/>
    <w:rsid w:val="00C44F0C"/>
    <w:rsid w:val="00C451D0"/>
    <w:rsid w:val="00C47E88"/>
    <w:rsid w:val="00C522CE"/>
    <w:rsid w:val="00C53A62"/>
    <w:rsid w:val="00C57A0D"/>
    <w:rsid w:val="00C619C5"/>
    <w:rsid w:val="00C62E66"/>
    <w:rsid w:val="00C67A4E"/>
    <w:rsid w:val="00C67AC5"/>
    <w:rsid w:val="00C71634"/>
    <w:rsid w:val="00C72C63"/>
    <w:rsid w:val="00C72F9A"/>
    <w:rsid w:val="00C74278"/>
    <w:rsid w:val="00C8001F"/>
    <w:rsid w:val="00C8165C"/>
    <w:rsid w:val="00C82A88"/>
    <w:rsid w:val="00C84161"/>
    <w:rsid w:val="00C84CD0"/>
    <w:rsid w:val="00C857E2"/>
    <w:rsid w:val="00CA04EA"/>
    <w:rsid w:val="00CA1348"/>
    <w:rsid w:val="00CA3F30"/>
    <w:rsid w:val="00CA425C"/>
    <w:rsid w:val="00CA5018"/>
    <w:rsid w:val="00CA551E"/>
    <w:rsid w:val="00CA5668"/>
    <w:rsid w:val="00CA62D4"/>
    <w:rsid w:val="00CA7463"/>
    <w:rsid w:val="00CC064E"/>
    <w:rsid w:val="00CC0A0C"/>
    <w:rsid w:val="00CC3BEE"/>
    <w:rsid w:val="00CC4185"/>
    <w:rsid w:val="00CC6BCE"/>
    <w:rsid w:val="00CD0C3D"/>
    <w:rsid w:val="00CD133B"/>
    <w:rsid w:val="00CD47F7"/>
    <w:rsid w:val="00CD69D8"/>
    <w:rsid w:val="00CD6C35"/>
    <w:rsid w:val="00CE292A"/>
    <w:rsid w:val="00CE76DD"/>
    <w:rsid w:val="00CF0321"/>
    <w:rsid w:val="00CF294B"/>
    <w:rsid w:val="00CF2B10"/>
    <w:rsid w:val="00CF301B"/>
    <w:rsid w:val="00CF72FF"/>
    <w:rsid w:val="00D0166C"/>
    <w:rsid w:val="00D01F4D"/>
    <w:rsid w:val="00D02201"/>
    <w:rsid w:val="00D02792"/>
    <w:rsid w:val="00D11784"/>
    <w:rsid w:val="00D13434"/>
    <w:rsid w:val="00D15D55"/>
    <w:rsid w:val="00D24019"/>
    <w:rsid w:val="00D40159"/>
    <w:rsid w:val="00D42470"/>
    <w:rsid w:val="00D47DFF"/>
    <w:rsid w:val="00D51540"/>
    <w:rsid w:val="00D519FC"/>
    <w:rsid w:val="00D539C0"/>
    <w:rsid w:val="00D570D7"/>
    <w:rsid w:val="00D624F3"/>
    <w:rsid w:val="00D62E70"/>
    <w:rsid w:val="00D6323E"/>
    <w:rsid w:val="00D64545"/>
    <w:rsid w:val="00D6491C"/>
    <w:rsid w:val="00D74284"/>
    <w:rsid w:val="00D74DD0"/>
    <w:rsid w:val="00D76776"/>
    <w:rsid w:val="00D76E4F"/>
    <w:rsid w:val="00D77720"/>
    <w:rsid w:val="00D821A2"/>
    <w:rsid w:val="00D86DF6"/>
    <w:rsid w:val="00D92053"/>
    <w:rsid w:val="00D935EA"/>
    <w:rsid w:val="00D93835"/>
    <w:rsid w:val="00D94BA3"/>
    <w:rsid w:val="00D966C9"/>
    <w:rsid w:val="00D978B5"/>
    <w:rsid w:val="00DA1199"/>
    <w:rsid w:val="00DA2F4E"/>
    <w:rsid w:val="00DA79C7"/>
    <w:rsid w:val="00DB13B1"/>
    <w:rsid w:val="00DB1ECD"/>
    <w:rsid w:val="00DB2057"/>
    <w:rsid w:val="00DB6AEA"/>
    <w:rsid w:val="00DB7617"/>
    <w:rsid w:val="00DC2081"/>
    <w:rsid w:val="00DD2338"/>
    <w:rsid w:val="00DD778D"/>
    <w:rsid w:val="00DE107A"/>
    <w:rsid w:val="00DE1EE2"/>
    <w:rsid w:val="00DE289C"/>
    <w:rsid w:val="00DE4469"/>
    <w:rsid w:val="00DE6133"/>
    <w:rsid w:val="00DE697B"/>
    <w:rsid w:val="00DF14EF"/>
    <w:rsid w:val="00DF1590"/>
    <w:rsid w:val="00DF378A"/>
    <w:rsid w:val="00E027DB"/>
    <w:rsid w:val="00E02B9E"/>
    <w:rsid w:val="00E056A5"/>
    <w:rsid w:val="00E107F4"/>
    <w:rsid w:val="00E13723"/>
    <w:rsid w:val="00E26472"/>
    <w:rsid w:val="00E26DF4"/>
    <w:rsid w:val="00E34849"/>
    <w:rsid w:val="00E35258"/>
    <w:rsid w:val="00E36D9E"/>
    <w:rsid w:val="00E4231E"/>
    <w:rsid w:val="00E42B9D"/>
    <w:rsid w:val="00E43247"/>
    <w:rsid w:val="00E47119"/>
    <w:rsid w:val="00E55BC5"/>
    <w:rsid w:val="00E56C7D"/>
    <w:rsid w:val="00E57BA7"/>
    <w:rsid w:val="00E62BBA"/>
    <w:rsid w:val="00E64E0C"/>
    <w:rsid w:val="00E67222"/>
    <w:rsid w:val="00E724DC"/>
    <w:rsid w:val="00E74ECE"/>
    <w:rsid w:val="00E82079"/>
    <w:rsid w:val="00E822E8"/>
    <w:rsid w:val="00E8661F"/>
    <w:rsid w:val="00E87DB6"/>
    <w:rsid w:val="00E92B3C"/>
    <w:rsid w:val="00E951ED"/>
    <w:rsid w:val="00EA3596"/>
    <w:rsid w:val="00EA4203"/>
    <w:rsid w:val="00EB2D21"/>
    <w:rsid w:val="00EB39F7"/>
    <w:rsid w:val="00EC1C6B"/>
    <w:rsid w:val="00EC3462"/>
    <w:rsid w:val="00EC4E49"/>
    <w:rsid w:val="00EC51BF"/>
    <w:rsid w:val="00EC5DBC"/>
    <w:rsid w:val="00ED1417"/>
    <w:rsid w:val="00ED3C96"/>
    <w:rsid w:val="00ED3FD6"/>
    <w:rsid w:val="00ED40A8"/>
    <w:rsid w:val="00EE08CC"/>
    <w:rsid w:val="00EE2B3F"/>
    <w:rsid w:val="00EE41F5"/>
    <w:rsid w:val="00EE4B2B"/>
    <w:rsid w:val="00EE5563"/>
    <w:rsid w:val="00EE609B"/>
    <w:rsid w:val="00EF07FB"/>
    <w:rsid w:val="00EF09A2"/>
    <w:rsid w:val="00EF32E5"/>
    <w:rsid w:val="00EF7D8D"/>
    <w:rsid w:val="00F04700"/>
    <w:rsid w:val="00F04DD8"/>
    <w:rsid w:val="00F07226"/>
    <w:rsid w:val="00F10ADD"/>
    <w:rsid w:val="00F12F02"/>
    <w:rsid w:val="00F15421"/>
    <w:rsid w:val="00F27DCE"/>
    <w:rsid w:val="00F33019"/>
    <w:rsid w:val="00F360C9"/>
    <w:rsid w:val="00F43707"/>
    <w:rsid w:val="00F44916"/>
    <w:rsid w:val="00F45061"/>
    <w:rsid w:val="00F4548B"/>
    <w:rsid w:val="00F500DE"/>
    <w:rsid w:val="00F51EFE"/>
    <w:rsid w:val="00F5367A"/>
    <w:rsid w:val="00F5400A"/>
    <w:rsid w:val="00F551EF"/>
    <w:rsid w:val="00F57525"/>
    <w:rsid w:val="00F679D3"/>
    <w:rsid w:val="00F75B5B"/>
    <w:rsid w:val="00F77082"/>
    <w:rsid w:val="00F94A1D"/>
    <w:rsid w:val="00F95558"/>
    <w:rsid w:val="00F9653A"/>
    <w:rsid w:val="00FA19A2"/>
    <w:rsid w:val="00FA575A"/>
    <w:rsid w:val="00FB37CE"/>
    <w:rsid w:val="00FB7FFB"/>
    <w:rsid w:val="00FC258D"/>
    <w:rsid w:val="00FC52AA"/>
    <w:rsid w:val="00FD00B5"/>
    <w:rsid w:val="00FD046B"/>
    <w:rsid w:val="00FD0CB8"/>
    <w:rsid w:val="00FD128F"/>
    <w:rsid w:val="00FD2ADB"/>
    <w:rsid w:val="00FD7F64"/>
    <w:rsid w:val="00FE30E6"/>
    <w:rsid w:val="00FF0312"/>
    <w:rsid w:val="00FF0672"/>
    <w:rsid w:val="00FF275C"/>
    <w:rsid w:val="00FF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D3CB6E"/>
  <w15:docId w15:val="{E25700EC-AC2B-4B6C-BE26-702C4C61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lsdException w:name="heading 3" w:locked="0" w:semiHidden="1" w:uiPriority="0" w:unhideWhenUsed="1"/>
    <w:lsdException w:name="heading 4" w:locked="0" w:semiHidden="1" w:uiPriority="9" w:unhideWhenUsed="1" w:qFormat="1"/>
    <w:lsdException w:name="heading 5" w:locked="0" w:semiHidden="1" w:uiPriority="9" w:unhideWhenUsed="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unhideWhenUsed="1"/>
    <w:lsdException w:name="annotation text" w:semiHidden="1"/>
    <w:lsdException w:name="header" w:locked="0" w:semiHidden="1" w:unhideWhenUsed="1"/>
    <w:lsdException w:name="footer" w:locked="0"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unhideWhenUsed="1"/>
    <w:lsdException w:name="annotation reference" w:semiHidden="1"/>
    <w:lsdException w:name="line number" w:semiHidden="1"/>
    <w:lsdException w:name="page number" w:locked="0"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lsdException w:name="List Number" w:semiHidden="1"/>
    <w:lsdException w:name="List 2" w:semiHidden="1"/>
    <w:lsdException w:name="List 3" w:semiHidden="1"/>
    <w:lsdException w:name="List 4" w:semiHidden="1"/>
    <w:lsdException w:name="List 5" w:semiHidden="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lsdException w:name="List Number 3" w:semiHidden="1"/>
    <w:lsdException w:name="List Number 4" w:semiHidden="1"/>
    <w:lsdException w:name="List Number 5" w:semiHidden="1"/>
    <w:lsdException w:name="Title" w:semiHidden="1" w:uiPriority="39"/>
    <w:lsdException w:name="Closing" w:semiHidden="1"/>
    <w:lsdException w:name="Signature" w:semiHidden="1"/>
    <w:lsdException w:name="Default Paragraph Font" w:locked="0" w:semiHidden="1" w:uiPriority="1" w:unhideWhenUsed="1"/>
    <w:lsdException w:name="Body Text" w:locked="0" w:semiHidden="1" w:uiPriority="39"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unhideWhenUsed="1"/>
    <w:lsdException w:name="Strong" w:semiHidden="1" w:uiPriority="39" w:qFormat="1"/>
    <w:lsdException w:name="Emphasis" w:semiHidden="1" w:uiPriority="39"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0"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locked="0" w:uiPriority="31" w:qFormat="1"/>
    <w:lsdException w:name="Intense Reference" w:locked="0" w:uiPriority="32" w:qFormat="1"/>
    <w:lsdException w:name="Book Title" w:semiHidden="1" w:uiPriority="33" w:qFormat="1"/>
    <w:lsdException w:name="Bibliography" w:semiHidden="1" w:uiPriority="37"/>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semiHidden/>
    <w:qFormat/>
    <w:rsid w:val="00406BA6"/>
    <w:pPr>
      <w:spacing w:after="0" w:line="240" w:lineRule="auto"/>
    </w:pPr>
    <w:rPr>
      <w:sz w:val="19"/>
    </w:rPr>
  </w:style>
  <w:style w:type="paragraph" w:styleId="Heading1">
    <w:name w:val="heading 1"/>
    <w:basedOn w:val="SectiontitleToC"/>
    <w:next w:val="BodytextRegular"/>
    <w:link w:val="Heading1Char"/>
    <w:uiPriority w:val="9"/>
    <w:semiHidden/>
    <w:qFormat/>
    <w:locked/>
    <w:rsid w:val="00AF7B2A"/>
    <w:pPr>
      <w:keepNext/>
      <w:tabs>
        <w:tab w:val="clear" w:pos="3402"/>
        <w:tab w:val="left" w:pos="1736"/>
      </w:tabs>
    </w:pPr>
    <w:rPr>
      <w:rFonts w:eastAsia="Times New Roman" w:cs="Arial"/>
      <w:bCs/>
      <w:kern w:val="32"/>
      <w:szCs w:val="32"/>
    </w:rPr>
  </w:style>
  <w:style w:type="paragraph" w:styleId="Heading2">
    <w:name w:val="heading 2"/>
    <w:basedOn w:val="SectionsubtitleToC"/>
    <w:next w:val="BodytextRegular"/>
    <w:link w:val="Heading2Char"/>
    <w:uiPriority w:val="39"/>
    <w:semiHidden/>
    <w:locked/>
    <w:rsid w:val="007F6140"/>
    <w:pPr>
      <w:keepNext/>
      <w:tabs>
        <w:tab w:val="left" w:pos="1736"/>
      </w:tabs>
    </w:pPr>
    <w:rPr>
      <w:rFonts w:eastAsia="Times New Roman" w:cs="Arial"/>
      <w:bCs/>
      <w:iCs/>
      <w:szCs w:val="28"/>
    </w:rPr>
  </w:style>
  <w:style w:type="paragraph" w:styleId="Heading3">
    <w:name w:val="heading 3"/>
    <w:basedOn w:val="Normal"/>
    <w:next w:val="BodytextRegular"/>
    <w:link w:val="Heading3Char"/>
    <w:autoRedefine/>
    <w:uiPriority w:val="39"/>
    <w:semiHidden/>
    <w:locked/>
    <w:rsid w:val="00AD758E"/>
    <w:pPr>
      <w:keepNext/>
      <w:spacing w:before="120" w:after="120"/>
      <w:outlineLvl w:val="2"/>
    </w:pPr>
    <w:rPr>
      <w:rFonts w:asciiTheme="majorHAnsi" w:eastAsia="Times New Roman" w:hAnsiTheme="majorHAnsi" w:cs="Arial"/>
      <w:bCs/>
      <w:color w:val="002A5E" w:themeColor="accent1"/>
      <w:spacing w:val="-6"/>
      <w:sz w:val="22"/>
      <w:lang w:eastAsia="ja-JP"/>
    </w:rPr>
  </w:style>
  <w:style w:type="paragraph" w:styleId="Heading4">
    <w:name w:val="heading 4"/>
    <w:basedOn w:val="Normal"/>
    <w:next w:val="BodyText"/>
    <w:link w:val="Heading4Char"/>
    <w:uiPriority w:val="39"/>
    <w:semiHidden/>
    <w:qFormat/>
    <w:locked/>
    <w:rsid w:val="00AD758E"/>
    <w:pPr>
      <w:keepNext/>
      <w:keepLines/>
      <w:spacing w:before="200"/>
      <w:outlineLvl w:val="3"/>
    </w:pPr>
    <w:rPr>
      <w:rFonts w:asciiTheme="majorHAnsi" w:eastAsiaTheme="majorEastAsia" w:hAnsiTheme="majorHAnsi" w:cstheme="majorBidi"/>
      <w:b/>
      <w:bCs/>
      <w:iCs/>
      <w:color w:val="F8A908" w:themeColor="accent3"/>
    </w:rPr>
  </w:style>
  <w:style w:type="paragraph" w:styleId="Heading5">
    <w:name w:val="heading 5"/>
    <w:basedOn w:val="Normal"/>
    <w:next w:val="Normal"/>
    <w:link w:val="Heading5Char"/>
    <w:uiPriority w:val="39"/>
    <w:semiHidden/>
    <w:locked/>
    <w:rsid w:val="00AD758E"/>
    <w:pPr>
      <w:keepNext/>
      <w:keepLines/>
      <w:spacing w:before="200"/>
      <w:outlineLvl w:val="4"/>
    </w:pPr>
    <w:rPr>
      <w:rFonts w:asciiTheme="majorHAnsi" w:eastAsiaTheme="majorEastAsia" w:hAnsiTheme="majorHAnsi" w:cstheme="majorBidi"/>
      <w:color w:val="002A5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60D93"/>
    <w:pPr>
      <w:tabs>
        <w:tab w:val="center" w:pos="4513"/>
        <w:tab w:val="right" w:pos="9026"/>
      </w:tabs>
    </w:pPr>
    <w:rPr>
      <w:sz w:val="16"/>
    </w:rPr>
  </w:style>
  <w:style w:type="character" w:customStyle="1" w:styleId="HeaderChar">
    <w:name w:val="Header Char"/>
    <w:basedOn w:val="DefaultParagraphFont"/>
    <w:link w:val="Header"/>
    <w:uiPriority w:val="99"/>
    <w:rsid w:val="00261FA2"/>
    <w:rPr>
      <w:sz w:val="16"/>
    </w:rPr>
  </w:style>
  <w:style w:type="paragraph" w:customStyle="1" w:styleId="Documenttitle">
    <w:name w:val="Document title"/>
    <w:basedOn w:val="BodytextRegular"/>
    <w:next w:val="BodytextRegular"/>
    <w:uiPriority w:val="27"/>
    <w:qFormat/>
    <w:rsid w:val="00B9661D"/>
    <w:rPr>
      <w:rFonts w:asciiTheme="majorHAnsi" w:hAnsiTheme="majorHAnsi" w:cstheme="majorHAnsi"/>
      <w:color w:val="002A5E" w:themeColor="accent1"/>
      <w:sz w:val="64"/>
      <w:szCs w:val="64"/>
    </w:rPr>
  </w:style>
  <w:style w:type="paragraph" w:customStyle="1" w:styleId="Documentsubtitle">
    <w:name w:val="Document subtitle"/>
    <w:basedOn w:val="Normal"/>
    <w:next w:val="BodytextRegular"/>
    <w:uiPriority w:val="28"/>
    <w:qFormat/>
    <w:rsid w:val="00EC51BF"/>
    <w:pPr>
      <w:framePr w:hSpace="180" w:wrap="around" w:vAnchor="text" w:hAnchor="text" w:x="2603" w:y="1"/>
      <w:spacing w:before="40" w:after="40"/>
      <w:suppressOverlap/>
    </w:pPr>
    <w:rPr>
      <w:rFonts w:asciiTheme="majorHAnsi" w:hAnsiTheme="majorHAnsi"/>
      <w:color w:val="002A5E" w:themeColor="accent1"/>
      <w:sz w:val="48"/>
      <w:lang w:val="fr-FR"/>
    </w:rPr>
  </w:style>
  <w:style w:type="character" w:customStyle="1" w:styleId="Heading1Char">
    <w:name w:val="Heading 1 Char"/>
    <w:basedOn w:val="DefaultParagraphFont"/>
    <w:link w:val="Heading1"/>
    <w:uiPriority w:val="9"/>
    <w:semiHidden/>
    <w:rsid w:val="00261FA2"/>
    <w:rPr>
      <w:rFonts w:asciiTheme="majorHAnsi" w:eastAsia="Times New Roman" w:hAnsiTheme="majorHAnsi" w:cs="Arial"/>
      <w:bCs/>
      <w:color w:val="002A5E"/>
      <w:kern w:val="32"/>
      <w:sz w:val="36"/>
      <w:szCs w:val="32"/>
    </w:rPr>
  </w:style>
  <w:style w:type="character" w:customStyle="1" w:styleId="Heading2Char">
    <w:name w:val="Heading 2 Char"/>
    <w:basedOn w:val="DefaultParagraphFont"/>
    <w:link w:val="Heading2"/>
    <w:uiPriority w:val="39"/>
    <w:semiHidden/>
    <w:rsid w:val="005245EE"/>
    <w:rPr>
      <w:rFonts w:asciiTheme="majorHAnsi" w:eastAsia="Times New Roman" w:hAnsiTheme="majorHAnsi" w:cs="Arial"/>
      <w:bCs/>
      <w:iCs/>
      <w:color w:val="F8A908" w:themeColor="accent3"/>
      <w:szCs w:val="28"/>
    </w:rPr>
  </w:style>
  <w:style w:type="character" w:customStyle="1" w:styleId="Heading3Char">
    <w:name w:val="Heading 3 Char"/>
    <w:basedOn w:val="DefaultParagraphFont"/>
    <w:link w:val="Heading3"/>
    <w:uiPriority w:val="39"/>
    <w:semiHidden/>
    <w:rsid w:val="00AD758E"/>
    <w:rPr>
      <w:rFonts w:asciiTheme="majorHAnsi" w:eastAsia="Times New Roman" w:hAnsiTheme="majorHAnsi" w:cs="Arial"/>
      <w:bCs/>
      <w:color w:val="002A5E" w:themeColor="accent1"/>
      <w:spacing w:val="-6"/>
      <w:lang w:eastAsia="ja-JP"/>
    </w:rPr>
  </w:style>
  <w:style w:type="character" w:customStyle="1" w:styleId="Heading4Char">
    <w:name w:val="Heading 4 Char"/>
    <w:basedOn w:val="DefaultParagraphFont"/>
    <w:link w:val="Heading4"/>
    <w:uiPriority w:val="39"/>
    <w:semiHidden/>
    <w:rsid w:val="00AD758E"/>
    <w:rPr>
      <w:rFonts w:asciiTheme="majorHAnsi" w:eastAsiaTheme="majorEastAsia" w:hAnsiTheme="majorHAnsi" w:cstheme="majorBidi"/>
      <w:b/>
      <w:bCs/>
      <w:iCs/>
      <w:color w:val="F8A908" w:themeColor="accent3"/>
      <w:sz w:val="19"/>
    </w:rPr>
  </w:style>
  <w:style w:type="paragraph" w:styleId="BodyText">
    <w:name w:val="Body Text"/>
    <w:basedOn w:val="Normal"/>
    <w:link w:val="BodyTextChar"/>
    <w:uiPriority w:val="39"/>
    <w:semiHidden/>
    <w:locked/>
    <w:rsid w:val="00852601"/>
    <w:pPr>
      <w:spacing w:after="120"/>
    </w:pPr>
  </w:style>
  <w:style w:type="character" w:customStyle="1" w:styleId="BodyTextChar">
    <w:name w:val="Body Text Char"/>
    <w:basedOn w:val="DefaultParagraphFont"/>
    <w:link w:val="BodyText"/>
    <w:uiPriority w:val="39"/>
    <w:semiHidden/>
    <w:rsid w:val="00852601"/>
    <w:rPr>
      <w:sz w:val="19"/>
    </w:rPr>
  </w:style>
  <w:style w:type="paragraph" w:styleId="ListBullet">
    <w:name w:val="List Bullet"/>
    <w:basedOn w:val="Normal"/>
    <w:uiPriority w:val="99"/>
    <w:semiHidden/>
    <w:locked/>
    <w:rsid w:val="00E64E0C"/>
    <w:pPr>
      <w:numPr>
        <w:numId w:val="1"/>
      </w:numPr>
      <w:ind w:left="227" w:hanging="227"/>
      <w:contextualSpacing/>
    </w:pPr>
  </w:style>
  <w:style w:type="paragraph" w:styleId="ListBullet2">
    <w:name w:val="List Bullet 2"/>
    <w:basedOn w:val="Normal"/>
    <w:uiPriority w:val="99"/>
    <w:semiHidden/>
    <w:locked/>
    <w:rsid w:val="00E64E0C"/>
    <w:pPr>
      <w:numPr>
        <w:numId w:val="2"/>
      </w:numPr>
      <w:ind w:left="454" w:hanging="227"/>
      <w:contextualSpacing/>
    </w:pPr>
  </w:style>
  <w:style w:type="paragraph" w:styleId="ListBullet3">
    <w:name w:val="List Bullet 3"/>
    <w:basedOn w:val="Normal"/>
    <w:uiPriority w:val="99"/>
    <w:semiHidden/>
    <w:locked/>
    <w:rsid w:val="00E64E0C"/>
    <w:pPr>
      <w:numPr>
        <w:numId w:val="3"/>
      </w:numPr>
      <w:ind w:left="681" w:hanging="227"/>
      <w:contextualSpacing/>
    </w:pPr>
  </w:style>
  <w:style w:type="paragraph" w:styleId="ListBullet4">
    <w:name w:val="List Bullet 4"/>
    <w:basedOn w:val="Normal"/>
    <w:uiPriority w:val="99"/>
    <w:semiHidden/>
    <w:locked/>
    <w:rsid w:val="00E64E0C"/>
    <w:pPr>
      <w:numPr>
        <w:numId w:val="4"/>
      </w:numPr>
      <w:ind w:left="907" w:hanging="227"/>
      <w:contextualSpacing/>
    </w:pPr>
  </w:style>
  <w:style w:type="paragraph" w:styleId="ListBullet5">
    <w:name w:val="List Bullet 5"/>
    <w:basedOn w:val="Normal"/>
    <w:uiPriority w:val="99"/>
    <w:semiHidden/>
    <w:locked/>
    <w:rsid w:val="00E64E0C"/>
    <w:pPr>
      <w:numPr>
        <w:numId w:val="5"/>
      </w:numPr>
      <w:ind w:left="1134" w:hanging="227"/>
      <w:contextualSpacing/>
    </w:pPr>
  </w:style>
  <w:style w:type="table" w:styleId="TableGrid">
    <w:name w:val="Table Grid"/>
    <w:basedOn w:val="TableNormal"/>
    <w:uiPriority w:val="59"/>
    <w:locked/>
    <w:rsid w:val="007E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39"/>
    <w:semiHidden/>
    <w:locked/>
    <w:rsid w:val="0093189A"/>
    <w:rPr>
      <w:rFonts w:asciiTheme="minorHAnsi" w:hAnsiTheme="minorHAnsi"/>
      <w:b/>
      <w:color w:val="002A5E" w:themeColor="accent1"/>
      <w:sz w:val="16"/>
    </w:rPr>
  </w:style>
  <w:style w:type="paragraph" w:customStyle="1" w:styleId="AppendixtitleToC">
    <w:name w:val="Appendix title (ToC)"/>
    <w:next w:val="BodytextRegular"/>
    <w:uiPriority w:val="23"/>
    <w:qFormat/>
    <w:rsid w:val="00EC51BF"/>
    <w:pPr>
      <w:pageBreakBefore/>
      <w:numPr>
        <w:numId w:val="14"/>
      </w:numPr>
      <w:pBdr>
        <w:bottom w:val="single" w:sz="4" w:space="1" w:color="002A5E" w:themeColor="accent1"/>
      </w:pBdr>
      <w:spacing w:before="120" w:after="240"/>
      <w:outlineLvl w:val="0"/>
    </w:pPr>
    <w:rPr>
      <w:rFonts w:asciiTheme="majorHAnsi" w:eastAsia="Times New Roman" w:hAnsiTheme="majorHAnsi" w:cs="Times New Roman"/>
      <w:color w:val="002A5E" w:themeColor="accent1"/>
      <w:sz w:val="36"/>
      <w:szCs w:val="40"/>
      <w:lang w:eastAsia="ja-JP"/>
      <w14:scene3d>
        <w14:camera w14:prst="orthographicFront"/>
        <w14:lightRig w14:rig="threePt" w14:dir="t">
          <w14:rot w14:lat="0" w14:lon="0" w14:rev="0"/>
        </w14:lightRig>
      </w14:scene3d>
    </w:rPr>
  </w:style>
  <w:style w:type="paragraph" w:customStyle="1" w:styleId="Chartandtablesubtitle">
    <w:name w:val="Chart and table subtitle"/>
    <w:basedOn w:val="Normal"/>
    <w:next w:val="BodyText"/>
    <w:uiPriority w:val="18"/>
    <w:qFormat/>
    <w:rsid w:val="005E38AB"/>
    <w:pPr>
      <w:keepNext/>
    </w:pPr>
    <w:rPr>
      <w:rFonts w:ascii="Schroders Circular TT Medium" w:eastAsia="Times New Roman" w:hAnsi="Schroders Circular TT Medium" w:cstheme="minorHAnsi"/>
      <w:sz w:val="18"/>
      <w:szCs w:val="24"/>
      <w:lang w:eastAsia="ja-JP"/>
    </w:rPr>
  </w:style>
  <w:style w:type="paragraph" w:styleId="BalloonText">
    <w:name w:val="Balloon Text"/>
    <w:basedOn w:val="Normal"/>
    <w:link w:val="BalloonTextChar"/>
    <w:uiPriority w:val="99"/>
    <w:semiHidden/>
    <w:locked/>
    <w:rsid w:val="00C01FD9"/>
    <w:rPr>
      <w:rFonts w:ascii="Tahoma" w:hAnsi="Tahoma" w:cs="Tahoma"/>
      <w:sz w:val="16"/>
      <w:szCs w:val="16"/>
    </w:rPr>
  </w:style>
  <w:style w:type="character" w:customStyle="1" w:styleId="BalloonTextChar">
    <w:name w:val="Balloon Text Char"/>
    <w:basedOn w:val="DefaultParagraphFont"/>
    <w:link w:val="BalloonText"/>
    <w:uiPriority w:val="99"/>
    <w:semiHidden/>
    <w:rsid w:val="00384AD6"/>
    <w:rPr>
      <w:rFonts w:ascii="Tahoma" w:hAnsi="Tahoma" w:cs="Tahoma"/>
      <w:sz w:val="16"/>
      <w:szCs w:val="16"/>
    </w:rPr>
  </w:style>
  <w:style w:type="paragraph" w:customStyle="1" w:styleId="TableTextBold">
    <w:name w:val="Table Text Bold"/>
    <w:basedOn w:val="Normal"/>
    <w:uiPriority w:val="39"/>
    <w:semiHidden/>
    <w:qFormat/>
    <w:locked/>
    <w:rsid w:val="004977F0"/>
    <w:pPr>
      <w:tabs>
        <w:tab w:val="left" w:pos="3402"/>
      </w:tabs>
      <w:spacing w:before="60" w:after="60"/>
    </w:pPr>
    <w:rPr>
      <w:b/>
      <w:sz w:val="20"/>
      <w:lang w:eastAsia="ja-JP"/>
    </w:rPr>
  </w:style>
  <w:style w:type="paragraph" w:styleId="TOC1">
    <w:name w:val="toc 1"/>
    <w:aliases w:val="Table of Contents Level 1"/>
    <w:basedOn w:val="Normal"/>
    <w:next w:val="BodytextRegular"/>
    <w:autoRedefine/>
    <w:uiPriority w:val="39"/>
    <w:qFormat/>
    <w:rsid w:val="008A18AE"/>
    <w:pPr>
      <w:tabs>
        <w:tab w:val="left" w:pos="425"/>
        <w:tab w:val="left" w:pos="1701"/>
        <w:tab w:val="right" w:leader="dot" w:pos="9923"/>
      </w:tabs>
      <w:spacing w:before="240" w:after="120"/>
      <w:ind w:left="1701" w:hanging="1701"/>
    </w:pPr>
    <w:rPr>
      <w:rFonts w:ascii="Schroders Circular TT Medium" w:eastAsia="Times New Roman" w:hAnsi="Schroders Circular TT Medium" w:cs="Arial"/>
      <w:noProof/>
      <w:color w:val="002A5E" w:themeColor="accent1"/>
      <w:spacing w:val="-6"/>
      <w:sz w:val="24"/>
      <w:lang w:eastAsia="ja-JP"/>
    </w:rPr>
  </w:style>
  <w:style w:type="paragraph" w:customStyle="1" w:styleId="Tabletextunbold">
    <w:name w:val="Table text unbold"/>
    <w:basedOn w:val="TableTextBold"/>
    <w:uiPriority w:val="39"/>
    <w:semiHidden/>
    <w:locked/>
    <w:rsid w:val="004977F0"/>
    <w:pPr>
      <w:tabs>
        <w:tab w:val="clear" w:pos="3402"/>
        <w:tab w:val="left" w:pos="357"/>
      </w:tabs>
      <w:spacing w:before="40" w:after="40"/>
    </w:pPr>
    <w:rPr>
      <w:rFonts w:eastAsia="Times New Roman" w:cs="Arial"/>
      <w:b w:val="0"/>
    </w:rPr>
  </w:style>
  <w:style w:type="paragraph" w:styleId="TOC2">
    <w:name w:val="toc 2"/>
    <w:aliases w:val="Table of Contents Level 2"/>
    <w:basedOn w:val="Normal"/>
    <w:next w:val="Normal"/>
    <w:autoRedefine/>
    <w:uiPriority w:val="39"/>
    <w:qFormat/>
    <w:rsid w:val="008A18AE"/>
    <w:pPr>
      <w:tabs>
        <w:tab w:val="left" w:pos="992"/>
        <w:tab w:val="right" w:leader="dot" w:pos="9923"/>
      </w:tabs>
      <w:spacing w:before="60"/>
      <w:ind w:left="992" w:hanging="567"/>
    </w:pPr>
    <w:rPr>
      <w:rFonts w:ascii="Schroders Circular TT Normal" w:eastAsiaTheme="minorEastAsia" w:hAnsi="Schroders Circular TT Normal"/>
      <w:noProof/>
      <w:color w:val="002A5E" w:themeColor="accent1"/>
      <w:sz w:val="22"/>
      <w:lang w:eastAsia="en-GB"/>
    </w:rPr>
  </w:style>
  <w:style w:type="character" w:styleId="Hyperlink">
    <w:name w:val="Hyperlink"/>
    <w:basedOn w:val="DefaultParagraphFont"/>
    <w:uiPriority w:val="99"/>
    <w:locked/>
    <w:rsid w:val="00931388"/>
    <w:rPr>
      <w:color w:val="002A5E" w:themeColor="accent1"/>
      <w:u w:val="single"/>
    </w:rPr>
  </w:style>
  <w:style w:type="paragraph" w:styleId="TOC3">
    <w:name w:val="toc 3"/>
    <w:aliases w:val="Table of Contents Level 3"/>
    <w:basedOn w:val="Normal"/>
    <w:next w:val="Normal"/>
    <w:autoRedefine/>
    <w:uiPriority w:val="39"/>
    <w:unhideWhenUsed/>
    <w:qFormat/>
    <w:rsid w:val="00882548"/>
    <w:pPr>
      <w:tabs>
        <w:tab w:val="left" w:pos="992"/>
        <w:tab w:val="right" w:leader="dot" w:pos="9923"/>
      </w:tabs>
      <w:spacing w:before="60"/>
      <w:ind w:left="993" w:hanging="568"/>
    </w:pPr>
    <w:rPr>
      <w:rFonts w:ascii="Schroders Circular TT Normal" w:eastAsiaTheme="majorEastAsia" w:hAnsi="Schroders Circular TT Normal" w:cstheme="majorHAnsi"/>
      <w:noProof/>
      <w:color w:val="002A5E" w:themeColor="accent1"/>
      <w:sz w:val="22"/>
      <w:szCs w:val="24"/>
    </w:rPr>
  </w:style>
  <w:style w:type="character" w:customStyle="1" w:styleId="Heading5Char">
    <w:name w:val="Heading 5 Char"/>
    <w:basedOn w:val="DefaultParagraphFont"/>
    <w:link w:val="Heading5"/>
    <w:uiPriority w:val="39"/>
    <w:semiHidden/>
    <w:rsid w:val="00C05D0F"/>
    <w:rPr>
      <w:rFonts w:asciiTheme="majorHAnsi" w:eastAsiaTheme="majorEastAsia" w:hAnsiTheme="majorHAnsi" w:cstheme="majorBidi"/>
      <w:color w:val="002A5E" w:themeColor="accent1"/>
      <w:sz w:val="19"/>
    </w:rPr>
  </w:style>
  <w:style w:type="paragraph" w:styleId="TOCHeading">
    <w:name w:val="TOC Heading"/>
    <w:next w:val="Normal"/>
    <w:uiPriority w:val="30"/>
    <w:qFormat/>
    <w:rsid w:val="00B13220"/>
    <w:pPr>
      <w:keepLines/>
      <w:spacing w:before="480" w:after="0"/>
    </w:pPr>
    <w:rPr>
      <w:rFonts w:asciiTheme="majorHAnsi" w:eastAsiaTheme="majorEastAsia" w:hAnsiTheme="majorHAnsi" w:cstheme="majorBidi"/>
      <w:color w:val="002A5E" w:themeColor="accent1"/>
      <w:sz w:val="40"/>
      <w:szCs w:val="28"/>
    </w:rPr>
  </w:style>
  <w:style w:type="paragraph" w:customStyle="1" w:styleId="Disclaimertext">
    <w:name w:val="Disclaimer text"/>
    <w:next w:val="BodyText"/>
    <w:uiPriority w:val="24"/>
    <w:rsid w:val="006458A7"/>
    <w:pPr>
      <w:tabs>
        <w:tab w:val="left" w:pos="3402"/>
      </w:tabs>
      <w:spacing w:before="60" w:after="0" w:line="190" w:lineRule="exact"/>
    </w:pPr>
    <w:rPr>
      <w:rFonts w:eastAsia="Times New Roman" w:cs="Arial"/>
      <w:sz w:val="16"/>
      <w:szCs w:val="17"/>
    </w:rPr>
  </w:style>
  <w:style w:type="paragraph" w:customStyle="1" w:styleId="SectiontitleToC">
    <w:name w:val="Section title (ToC)"/>
    <w:basedOn w:val="BodyText"/>
    <w:next w:val="BodytextRegular"/>
    <w:uiPriority w:val="1"/>
    <w:rsid w:val="00E02B9E"/>
    <w:pPr>
      <w:pBdr>
        <w:bottom w:val="single" w:sz="4" w:space="1" w:color="002A5E" w:themeColor="accent1"/>
      </w:pBdr>
      <w:tabs>
        <w:tab w:val="left" w:pos="3402"/>
      </w:tabs>
      <w:spacing w:after="240" w:line="276" w:lineRule="auto"/>
      <w:outlineLvl w:val="0"/>
    </w:pPr>
    <w:rPr>
      <w:rFonts w:asciiTheme="majorHAnsi" w:hAnsiTheme="majorHAnsi"/>
      <w:color w:val="002A5E" w:themeColor="accent1"/>
      <w:sz w:val="36"/>
    </w:rPr>
  </w:style>
  <w:style w:type="paragraph" w:customStyle="1" w:styleId="SectionsubtitleToC">
    <w:name w:val="Section subtitle (ToC)"/>
    <w:next w:val="BodytextRegular"/>
    <w:uiPriority w:val="2"/>
    <w:qFormat/>
    <w:rsid w:val="00EC51BF"/>
    <w:pPr>
      <w:spacing w:before="120" w:after="120" w:line="320" w:lineRule="exact"/>
      <w:outlineLvl w:val="1"/>
    </w:pPr>
    <w:rPr>
      <w:rFonts w:asciiTheme="majorHAnsi" w:hAnsiTheme="majorHAnsi"/>
      <w:color w:val="002A5E" w:themeColor="accent1"/>
      <w:sz w:val="28"/>
    </w:rPr>
  </w:style>
  <w:style w:type="character" w:styleId="PlaceholderText">
    <w:name w:val="Placeholder Text"/>
    <w:basedOn w:val="DefaultParagraphFont"/>
    <w:uiPriority w:val="99"/>
    <w:semiHidden/>
    <w:locked/>
    <w:rsid w:val="00D77720"/>
    <w:rPr>
      <w:color w:val="808080"/>
    </w:rPr>
  </w:style>
  <w:style w:type="paragraph" w:customStyle="1" w:styleId="NumerallistRegular">
    <w:name w:val="Numeral list (Regular)"/>
    <w:basedOn w:val="LetteredlistRegular"/>
    <w:uiPriority w:val="15"/>
    <w:qFormat/>
    <w:rsid w:val="00953A48"/>
    <w:pPr>
      <w:numPr>
        <w:numId w:val="12"/>
      </w:numPr>
    </w:pPr>
  </w:style>
  <w:style w:type="paragraph" w:customStyle="1" w:styleId="NumerallistBold">
    <w:name w:val="Numeral list (Bold)"/>
    <w:basedOn w:val="LetteredlistBold"/>
    <w:uiPriority w:val="16"/>
    <w:qFormat/>
    <w:rsid w:val="00CD6C35"/>
    <w:pPr>
      <w:numPr>
        <w:numId w:val="11"/>
      </w:numPr>
    </w:pPr>
  </w:style>
  <w:style w:type="paragraph" w:customStyle="1" w:styleId="Sourcetext">
    <w:name w:val="Source text."/>
    <w:basedOn w:val="Normal"/>
    <w:uiPriority w:val="22"/>
    <w:qFormat/>
    <w:rsid w:val="00841606"/>
    <w:pPr>
      <w:spacing w:before="60" w:line="190" w:lineRule="exact"/>
    </w:pPr>
    <w:rPr>
      <w:sz w:val="16"/>
      <w:szCs w:val="17"/>
    </w:rPr>
  </w:style>
  <w:style w:type="paragraph" w:customStyle="1" w:styleId="Prussianbluefootertextright">
    <w:name w:val="Prussian blue footer text (right)"/>
    <w:basedOn w:val="Normal"/>
    <w:uiPriority w:val="33"/>
    <w:qFormat/>
    <w:rsid w:val="006458A7"/>
    <w:pPr>
      <w:ind w:right="170"/>
      <w:jc w:val="right"/>
    </w:pPr>
    <w:rPr>
      <w:color w:val="002A5E" w:themeColor="accent1"/>
      <w:sz w:val="16"/>
      <w:lang w:eastAsia="ja-JP"/>
    </w:rPr>
  </w:style>
  <w:style w:type="paragraph" w:customStyle="1" w:styleId="TabletextBold0">
    <w:name w:val="Table text (Bold)"/>
    <w:basedOn w:val="Tabletext"/>
    <w:uiPriority w:val="20"/>
    <w:qFormat/>
    <w:rsid w:val="00DB1ECD"/>
    <w:rPr>
      <w:b/>
      <w:bCs/>
      <w:color w:val="000000" w:themeColor="text1"/>
    </w:rPr>
  </w:style>
  <w:style w:type="paragraph" w:customStyle="1" w:styleId="LetteredlistRegular">
    <w:name w:val="Lettered list (Regular)"/>
    <w:uiPriority w:val="13"/>
    <w:rsid w:val="009C52D4"/>
    <w:pPr>
      <w:numPr>
        <w:numId w:val="8"/>
      </w:numPr>
      <w:spacing w:after="120" w:line="240" w:lineRule="auto"/>
    </w:pPr>
    <w:rPr>
      <w:rFonts w:eastAsia="Times New Roman" w:cs="Arial"/>
      <w:color w:val="000000"/>
      <w:sz w:val="19"/>
      <w:lang w:eastAsia="ja-JP"/>
    </w:rPr>
  </w:style>
  <w:style w:type="paragraph" w:customStyle="1" w:styleId="LetteredlistBold">
    <w:name w:val="Lettered list (Bold)"/>
    <w:uiPriority w:val="14"/>
    <w:qFormat/>
    <w:rsid w:val="004977F0"/>
    <w:pPr>
      <w:numPr>
        <w:numId w:val="10"/>
      </w:numPr>
      <w:spacing w:after="120" w:line="240" w:lineRule="auto"/>
    </w:pPr>
    <w:rPr>
      <w:rFonts w:eastAsia="Times New Roman" w:cs="Arial"/>
      <w:b/>
      <w:bCs/>
      <w:color w:val="000000"/>
      <w:sz w:val="20"/>
      <w:szCs w:val="20"/>
      <w:lang w:eastAsia="ja-JP"/>
    </w:rPr>
  </w:style>
  <w:style w:type="paragraph" w:customStyle="1" w:styleId="BulletedtextRegular">
    <w:name w:val="Bulleted text (Regular)"/>
    <w:basedOn w:val="Normal"/>
    <w:uiPriority w:val="9"/>
    <w:qFormat/>
    <w:rsid w:val="009C52D4"/>
    <w:pPr>
      <w:numPr>
        <w:numId w:val="6"/>
      </w:numPr>
      <w:spacing w:after="120"/>
    </w:pPr>
    <w:rPr>
      <w:rFonts w:eastAsia="Times New Roman" w:cs="Arial"/>
      <w:lang w:eastAsia="ja-JP"/>
    </w:rPr>
  </w:style>
  <w:style w:type="paragraph" w:customStyle="1" w:styleId="Bodytextforindentedparagraph">
    <w:name w:val="Body text for indented paragraph"/>
    <w:basedOn w:val="BodytextRegular"/>
    <w:qFormat/>
    <w:rsid w:val="006F71F5"/>
    <w:pPr>
      <w:ind w:left="425"/>
    </w:pPr>
    <w:rPr>
      <w:rFonts w:eastAsia="Times New Roman" w:cs="Arial"/>
    </w:rPr>
  </w:style>
  <w:style w:type="paragraph" w:customStyle="1" w:styleId="BulletedtextBold">
    <w:name w:val="Bulleted text (Bold)"/>
    <w:basedOn w:val="BulletedtextRegular"/>
    <w:uiPriority w:val="10"/>
    <w:qFormat/>
    <w:rsid w:val="00CD6C35"/>
    <w:rPr>
      <w:b/>
    </w:rPr>
  </w:style>
  <w:style w:type="paragraph" w:customStyle="1" w:styleId="NumberedlistRegular">
    <w:name w:val="Numbered list (Regular)"/>
    <w:basedOn w:val="Normal"/>
    <w:uiPriority w:val="12"/>
    <w:qFormat/>
    <w:rsid w:val="009C52D4"/>
    <w:pPr>
      <w:numPr>
        <w:numId w:val="7"/>
      </w:numPr>
      <w:spacing w:after="120"/>
    </w:pPr>
    <w:rPr>
      <w:rFonts w:eastAsia="Times New Roman" w:cs="Arial"/>
      <w:lang w:eastAsia="ja-JP"/>
    </w:rPr>
  </w:style>
  <w:style w:type="paragraph" w:customStyle="1" w:styleId="Paragraphheaderprussian">
    <w:name w:val="Paragraph header prussian"/>
    <w:basedOn w:val="Normal"/>
    <w:next w:val="BodytextRegular"/>
    <w:uiPriority w:val="7"/>
    <w:qFormat/>
    <w:rsid w:val="005E38AB"/>
    <w:pPr>
      <w:keepNext/>
      <w:spacing w:before="240" w:after="120"/>
    </w:pPr>
    <w:rPr>
      <w:rFonts w:asciiTheme="majorHAnsi" w:hAnsiTheme="majorHAnsi"/>
      <w:color w:val="002A5E" w:themeColor="accent1"/>
      <w:sz w:val="20"/>
      <w:szCs w:val="24"/>
    </w:rPr>
  </w:style>
  <w:style w:type="paragraph" w:customStyle="1" w:styleId="Tabletext">
    <w:name w:val="Table text"/>
    <w:uiPriority w:val="19"/>
    <w:qFormat/>
    <w:rsid w:val="00CD133B"/>
    <w:pPr>
      <w:spacing w:before="60" w:after="60" w:line="240" w:lineRule="auto"/>
    </w:pPr>
    <w:rPr>
      <w:sz w:val="19"/>
      <w:szCs w:val="24"/>
    </w:rPr>
  </w:style>
  <w:style w:type="paragraph" w:customStyle="1" w:styleId="SectiontitlenumberedToC">
    <w:name w:val="Section title numbered (ToC)"/>
    <w:basedOn w:val="Normal"/>
    <w:next w:val="SectionsubtitleToC"/>
    <w:uiPriority w:val="1"/>
    <w:qFormat/>
    <w:rsid w:val="00736726"/>
    <w:pPr>
      <w:numPr>
        <w:numId w:val="9"/>
      </w:numPr>
      <w:pBdr>
        <w:bottom w:val="single" w:sz="4" w:space="1" w:color="002A5E" w:themeColor="accent1"/>
      </w:pBdr>
      <w:spacing w:after="240" w:line="276" w:lineRule="auto"/>
      <w:ind w:left="2126"/>
      <w:outlineLvl w:val="0"/>
    </w:pPr>
    <w:rPr>
      <w:rFonts w:asciiTheme="majorHAnsi" w:eastAsia="Times New Roman" w:hAnsiTheme="majorHAnsi" w:cstheme="majorHAnsi"/>
      <w:color w:val="002A5E" w:themeColor="accent1"/>
      <w:sz w:val="36"/>
    </w:rPr>
  </w:style>
  <w:style w:type="paragraph" w:customStyle="1" w:styleId="BodytextRegular">
    <w:name w:val="Body text (Regular)"/>
    <w:basedOn w:val="BodyText"/>
    <w:qFormat/>
    <w:rsid w:val="00C74278"/>
    <w:rPr>
      <w:szCs w:val="20"/>
    </w:rPr>
  </w:style>
  <w:style w:type="table" w:customStyle="1" w:styleId="BenchmarkTable">
    <w:name w:val="Benchmark Table"/>
    <w:basedOn w:val="TableNormal"/>
    <w:uiPriority w:val="99"/>
    <w:locked/>
    <w:rsid w:val="00396008"/>
    <w:pPr>
      <w:spacing w:before="60" w:after="60" w:line="240" w:lineRule="auto"/>
    </w:pPr>
    <w:rPr>
      <w:sz w:val="20"/>
    </w:rPr>
    <w:tblPr>
      <w:tblStyleRowBandSize w:val="1"/>
      <w:tblStyleColBandSize w:val="1"/>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Theme="minorHAnsi" w:hAnsiTheme="minorHAnsi"/>
        <w:b/>
        <w:color w:val="FFFFFF" w:themeColor="background1"/>
        <w:sz w:val="20"/>
      </w:rPr>
      <w:tblPr/>
      <w:tcPr>
        <w:shd w:val="clear" w:color="auto" w:fill="002A5E" w:themeFill="accent1"/>
      </w:tcPr>
    </w:tblStylePr>
    <w:tblStylePr w:type="lastRow">
      <w:rPr>
        <w:rFonts w:asciiTheme="minorHAnsi" w:hAnsiTheme="minorHAnsi"/>
        <w:b/>
        <w:color w:val="FFFFFF" w:themeColor="background1"/>
        <w:sz w:val="20"/>
      </w:rPr>
      <w:tblPr/>
      <w:tcPr>
        <w:shd w:val="clear" w:color="auto" w:fill="7F94AE"/>
      </w:tcPr>
    </w:tblStylePr>
    <w:tblStylePr w:type="firstCol">
      <w:pPr>
        <w:jc w:val="left"/>
      </w:pPr>
      <w:rPr>
        <w:rFonts w:asciiTheme="minorHAnsi" w:hAnsiTheme="minorHAnsi"/>
        <w:b/>
        <w:color w:val="FFFFFF" w:themeColor="background1"/>
        <w:sz w:val="20"/>
      </w:rPr>
      <w:tblPr/>
      <w:tcPr>
        <w:tcBorders>
          <w:insideH w:val="single" w:sz="4" w:space="0" w:color="FFFFFF" w:themeColor="background1"/>
        </w:tcBorders>
        <w:shd w:val="clear" w:color="auto" w:fill="002A5E" w:themeFill="accent1"/>
      </w:tcPr>
    </w:tblStylePr>
    <w:tblStylePr w:type="band1Vert">
      <w:tblPr/>
      <w:tcPr>
        <w:tcBorders>
          <w:top w:val="nil"/>
          <w:left w:val="nil"/>
          <w:bottom w:val="nil"/>
          <w:right w:val="nil"/>
          <w:insideH w:val="single" w:sz="4" w:space="0" w:color="002A5E" w:themeColor="accent1"/>
          <w:insideV w:val="nil"/>
        </w:tcBorders>
      </w:tcPr>
    </w:tblStylePr>
    <w:tblStylePr w:type="band2Vert">
      <w:tblPr/>
      <w:tcPr>
        <w:tcBorders>
          <w:insideH w:val="single" w:sz="4" w:space="0" w:color="002A5E" w:themeColor="accent1"/>
        </w:tcBorders>
      </w:tcPr>
    </w:tblStylePr>
    <w:tblStylePr w:type="band1Horz">
      <w:tblPr/>
      <w:tcPr>
        <w:tcBorders>
          <w:insideH w:val="nil"/>
        </w:tcBorders>
      </w:tcPr>
    </w:tblStylePr>
  </w:style>
  <w:style w:type="paragraph" w:customStyle="1" w:styleId="Level3heading">
    <w:name w:val="Level 3 heading"/>
    <w:basedOn w:val="SectionsubtitleToC"/>
    <w:uiPriority w:val="23"/>
    <w:semiHidden/>
    <w:qFormat/>
    <w:rsid w:val="00212B0E"/>
    <w:pPr>
      <w:spacing w:line="300" w:lineRule="exact"/>
      <w:outlineLvl w:val="2"/>
    </w:pPr>
    <w:rPr>
      <w:color w:val="F8F8F8" w:themeColor="text2"/>
      <w:sz w:val="24"/>
      <w:szCs w:val="20"/>
    </w:rPr>
  </w:style>
  <w:style w:type="paragraph" w:customStyle="1" w:styleId="Coverdate">
    <w:name w:val="Cover date"/>
    <w:basedOn w:val="Normal"/>
    <w:next w:val="BodyText"/>
    <w:uiPriority w:val="29"/>
    <w:qFormat/>
    <w:rsid w:val="00744B01"/>
    <w:pPr>
      <w:framePr w:hSpace="180" w:wrap="around" w:vAnchor="text" w:hAnchor="text" w:x="51" w:y="1"/>
      <w:spacing w:before="240" w:after="40"/>
      <w:suppressOverlap/>
    </w:pPr>
    <w:rPr>
      <w:rFonts w:asciiTheme="majorHAnsi" w:hAnsiTheme="majorHAnsi"/>
      <w:noProof/>
      <w:color w:val="002A5E" w:themeColor="accent1"/>
      <w:sz w:val="36"/>
    </w:rPr>
  </w:style>
  <w:style w:type="paragraph" w:styleId="FootnoteText">
    <w:name w:val="footnote text"/>
    <w:basedOn w:val="Normal"/>
    <w:link w:val="FootnoteTextChar"/>
    <w:uiPriority w:val="23"/>
    <w:locked/>
    <w:rsid w:val="00841606"/>
    <w:pPr>
      <w:spacing w:before="60" w:line="190" w:lineRule="exact"/>
    </w:pPr>
    <w:rPr>
      <w:sz w:val="16"/>
      <w:szCs w:val="20"/>
    </w:rPr>
  </w:style>
  <w:style w:type="character" w:customStyle="1" w:styleId="FootnoteTextChar">
    <w:name w:val="Footnote Text Char"/>
    <w:basedOn w:val="DefaultParagraphFont"/>
    <w:link w:val="FootnoteText"/>
    <w:uiPriority w:val="23"/>
    <w:rsid w:val="00841606"/>
    <w:rPr>
      <w:sz w:val="16"/>
      <w:szCs w:val="20"/>
    </w:rPr>
  </w:style>
  <w:style w:type="character" w:styleId="FootnoteReference">
    <w:name w:val="footnote reference"/>
    <w:basedOn w:val="DefaultParagraphFont"/>
    <w:uiPriority w:val="99"/>
    <w:semiHidden/>
    <w:locked/>
    <w:rsid w:val="00D47DFF"/>
    <w:rPr>
      <w:vertAlign w:val="superscript"/>
    </w:rPr>
  </w:style>
  <w:style w:type="paragraph" w:customStyle="1" w:styleId="Tabletextbullet">
    <w:name w:val="Table text bullet"/>
    <w:basedOn w:val="Tabletext"/>
    <w:uiPriority w:val="21"/>
    <w:qFormat/>
    <w:rsid w:val="000E31CE"/>
    <w:pPr>
      <w:numPr>
        <w:numId w:val="13"/>
      </w:numPr>
      <w:ind w:left="284" w:hanging="284"/>
    </w:pPr>
  </w:style>
  <w:style w:type="numbering" w:customStyle="1" w:styleId="b17legalnumberedlist">
    <w:name w:val="b17 legal numbered list"/>
    <w:basedOn w:val="NoList"/>
    <w:uiPriority w:val="99"/>
    <w:locked/>
    <w:rsid w:val="00B7273A"/>
    <w:pPr>
      <w:numPr>
        <w:numId w:val="15"/>
      </w:numPr>
    </w:pPr>
  </w:style>
  <w:style w:type="paragraph" w:customStyle="1" w:styleId="Sub-bulletedtext">
    <w:name w:val="Sub-bulleted text"/>
    <w:basedOn w:val="BodytextRegular"/>
    <w:uiPriority w:val="11"/>
    <w:qFormat/>
    <w:rsid w:val="00953A48"/>
    <w:pPr>
      <w:numPr>
        <w:numId w:val="16"/>
      </w:numPr>
      <w:ind w:left="709" w:hanging="284"/>
    </w:pPr>
  </w:style>
  <w:style w:type="paragraph" w:customStyle="1" w:styleId="Multilevellist1ToC">
    <w:name w:val="Multilevel list 1 (ToC)"/>
    <w:basedOn w:val="SectiontitleToC"/>
    <w:next w:val="Multilevellistlevel2ToC"/>
    <w:uiPriority w:val="3"/>
    <w:qFormat/>
    <w:rsid w:val="00953A48"/>
    <w:pPr>
      <w:numPr>
        <w:numId w:val="17"/>
      </w:numPr>
    </w:pPr>
  </w:style>
  <w:style w:type="paragraph" w:customStyle="1" w:styleId="Multilevellistlevel2ToC">
    <w:name w:val="Multilevel list level 2 (ToC)"/>
    <w:basedOn w:val="SectionsubtitleToC"/>
    <w:next w:val="Multilevellistlevel3"/>
    <w:uiPriority w:val="5"/>
    <w:qFormat/>
    <w:rsid w:val="00953A48"/>
    <w:pPr>
      <w:numPr>
        <w:ilvl w:val="1"/>
        <w:numId w:val="17"/>
      </w:numPr>
      <w:ind w:left="851"/>
    </w:pPr>
  </w:style>
  <w:style w:type="paragraph" w:customStyle="1" w:styleId="Multilevellistlevel3">
    <w:name w:val="Multilevel list level 3"/>
    <w:basedOn w:val="BodytextRegular"/>
    <w:uiPriority w:val="5"/>
    <w:qFormat/>
    <w:rsid w:val="00953A48"/>
    <w:pPr>
      <w:numPr>
        <w:ilvl w:val="2"/>
        <w:numId w:val="17"/>
      </w:numPr>
    </w:pPr>
  </w:style>
  <w:style w:type="paragraph" w:customStyle="1" w:styleId="Multilevellistlevel4">
    <w:name w:val="Multilevel list level 4"/>
    <w:basedOn w:val="BodytextRegular"/>
    <w:uiPriority w:val="5"/>
    <w:qFormat/>
    <w:rsid w:val="00953A48"/>
    <w:pPr>
      <w:numPr>
        <w:ilvl w:val="3"/>
        <w:numId w:val="17"/>
      </w:numPr>
    </w:pPr>
  </w:style>
  <w:style w:type="table" w:styleId="LightShading-Accent4">
    <w:name w:val="Light Shading Accent 4"/>
    <w:basedOn w:val="TableNormal"/>
    <w:uiPriority w:val="60"/>
    <w:locked/>
    <w:rsid w:val="00251481"/>
    <w:pPr>
      <w:spacing w:after="0" w:line="240" w:lineRule="auto"/>
    </w:pPr>
    <w:rPr>
      <w:color w:val="995E08" w:themeColor="accent4" w:themeShade="BF"/>
    </w:rPr>
    <w:tblPr>
      <w:tblStyleRowBandSize w:val="1"/>
      <w:tblStyleColBandSize w:val="1"/>
      <w:tblBorders>
        <w:top w:val="single" w:sz="8" w:space="0" w:color="CD7F0B" w:themeColor="accent4"/>
        <w:bottom w:val="single" w:sz="8" w:space="0" w:color="CD7F0B" w:themeColor="accent4"/>
      </w:tblBorders>
    </w:tblPr>
    <w:tblStylePr w:type="firstRow">
      <w:pPr>
        <w:spacing w:before="0" w:after="0" w:line="240" w:lineRule="auto"/>
      </w:pPr>
      <w:rPr>
        <w:b/>
        <w:bCs/>
      </w:rPr>
      <w:tblPr/>
      <w:tcPr>
        <w:tcBorders>
          <w:top w:val="single" w:sz="8" w:space="0" w:color="CD7F0B" w:themeColor="accent4"/>
          <w:left w:val="nil"/>
          <w:bottom w:val="single" w:sz="8" w:space="0" w:color="CD7F0B" w:themeColor="accent4"/>
          <w:right w:val="nil"/>
          <w:insideH w:val="nil"/>
          <w:insideV w:val="nil"/>
        </w:tcBorders>
      </w:tcPr>
    </w:tblStylePr>
    <w:tblStylePr w:type="lastRow">
      <w:pPr>
        <w:spacing w:before="0" w:after="0" w:line="240" w:lineRule="auto"/>
      </w:pPr>
      <w:rPr>
        <w:b/>
        <w:bCs/>
      </w:rPr>
      <w:tblPr/>
      <w:tcPr>
        <w:tcBorders>
          <w:top w:val="single" w:sz="8" w:space="0" w:color="CD7F0B" w:themeColor="accent4"/>
          <w:left w:val="nil"/>
          <w:bottom w:val="single" w:sz="8" w:space="0" w:color="CD7F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0BA" w:themeFill="accent4" w:themeFillTint="3F"/>
      </w:tcPr>
    </w:tblStylePr>
    <w:tblStylePr w:type="band1Horz">
      <w:tblPr/>
      <w:tcPr>
        <w:tcBorders>
          <w:left w:val="nil"/>
          <w:right w:val="nil"/>
          <w:insideH w:val="nil"/>
          <w:insideV w:val="nil"/>
        </w:tcBorders>
        <w:shd w:val="clear" w:color="auto" w:fill="FBE0BA" w:themeFill="accent4" w:themeFillTint="3F"/>
      </w:tcPr>
    </w:tblStylePr>
  </w:style>
  <w:style w:type="paragraph" w:customStyle="1" w:styleId="Chartandtabletitle">
    <w:name w:val="Chart and table title"/>
    <w:basedOn w:val="Paragraphheaderprussian"/>
    <w:uiPriority w:val="17"/>
    <w:qFormat/>
    <w:rsid w:val="00DE6133"/>
    <w:pPr>
      <w:spacing w:after="60"/>
    </w:pPr>
  </w:style>
  <w:style w:type="character" w:styleId="IntenseReference">
    <w:name w:val="Intense Reference"/>
    <w:basedOn w:val="DefaultParagraphFont"/>
    <w:uiPriority w:val="32"/>
    <w:semiHidden/>
    <w:qFormat/>
    <w:locked/>
    <w:rsid w:val="00AD758E"/>
    <w:rPr>
      <w:b/>
      <w:bCs/>
      <w:smallCaps/>
      <w:color w:val="F8A908" w:themeColor="accent3"/>
      <w:spacing w:val="5"/>
      <w:u w:val="single"/>
    </w:rPr>
  </w:style>
  <w:style w:type="character" w:styleId="SubtleReference">
    <w:name w:val="Subtle Reference"/>
    <w:basedOn w:val="DefaultParagraphFont"/>
    <w:uiPriority w:val="31"/>
    <w:semiHidden/>
    <w:qFormat/>
    <w:locked/>
    <w:rsid w:val="00AD758E"/>
    <w:rPr>
      <w:smallCaps/>
      <w:color w:val="F8A908" w:themeColor="accent3"/>
      <w:u w:val="single"/>
    </w:rPr>
  </w:style>
  <w:style w:type="character" w:styleId="FollowedHyperlink">
    <w:name w:val="FollowedHyperlink"/>
    <w:basedOn w:val="DefaultParagraphFont"/>
    <w:uiPriority w:val="99"/>
    <w:semiHidden/>
    <w:locked/>
    <w:rsid w:val="00AD758E"/>
    <w:rPr>
      <w:color w:val="F8A908" w:themeColor="accent3"/>
      <w:u w:val="single"/>
    </w:rPr>
  </w:style>
  <w:style w:type="table" w:styleId="GridTable1Light">
    <w:name w:val="Grid Table 1 Light"/>
    <w:basedOn w:val="TableNormal"/>
    <w:uiPriority w:val="46"/>
    <w:rsid w:val="004448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448D5"/>
    <w:pPr>
      <w:spacing w:after="0" w:line="240" w:lineRule="auto"/>
    </w:pPr>
    <w:tblPr>
      <w:tblStyleRowBandSize w:val="1"/>
      <w:tblStyleColBandSize w:val="1"/>
      <w:tblBorders>
        <w:top w:val="single" w:sz="4" w:space="0" w:color="FCDC9C" w:themeColor="accent3" w:themeTint="66"/>
        <w:left w:val="single" w:sz="4" w:space="0" w:color="FCDC9C" w:themeColor="accent3" w:themeTint="66"/>
        <w:bottom w:val="single" w:sz="4" w:space="0" w:color="FCDC9C" w:themeColor="accent3" w:themeTint="66"/>
        <w:right w:val="single" w:sz="4" w:space="0" w:color="FCDC9C" w:themeColor="accent3" w:themeTint="66"/>
        <w:insideH w:val="single" w:sz="4" w:space="0" w:color="FCDC9C" w:themeColor="accent3" w:themeTint="66"/>
        <w:insideV w:val="single" w:sz="4" w:space="0" w:color="FCDC9C" w:themeColor="accent3" w:themeTint="66"/>
      </w:tblBorders>
    </w:tblPr>
    <w:tblStylePr w:type="firstRow">
      <w:rPr>
        <w:b/>
        <w:bCs/>
      </w:rPr>
      <w:tblPr/>
      <w:tcPr>
        <w:tcBorders>
          <w:bottom w:val="single" w:sz="12" w:space="0" w:color="FACB6A" w:themeColor="accent3" w:themeTint="99"/>
        </w:tcBorders>
      </w:tcPr>
    </w:tblStylePr>
    <w:tblStylePr w:type="lastRow">
      <w:rPr>
        <w:b/>
        <w:bCs/>
      </w:rPr>
      <w:tblPr/>
      <w:tcPr>
        <w:tcBorders>
          <w:top w:val="double" w:sz="2" w:space="0" w:color="FACB6A"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70B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Bold">
    <w:name w:val="Body text (Bold)"/>
    <w:basedOn w:val="BodytextRegular"/>
    <w:uiPriority w:val="1"/>
    <w:qFormat/>
    <w:rsid w:val="00117130"/>
    <w:rPr>
      <w:b/>
    </w:rPr>
  </w:style>
  <w:style w:type="paragraph" w:customStyle="1" w:styleId="NumberedlistBold">
    <w:name w:val="Numbered list (Bold)"/>
    <w:basedOn w:val="Normal"/>
    <w:uiPriority w:val="12"/>
    <w:qFormat/>
    <w:rsid w:val="00DB6AEA"/>
    <w:pPr>
      <w:numPr>
        <w:numId w:val="18"/>
      </w:numPr>
      <w:spacing w:after="120"/>
      <w:ind w:left="425" w:hanging="425"/>
    </w:pPr>
    <w:rPr>
      <w:b/>
    </w:rPr>
  </w:style>
  <w:style w:type="paragraph" w:customStyle="1" w:styleId="Tabletextsub-bullet">
    <w:name w:val="Table text sub-bullet"/>
    <w:basedOn w:val="Tabletextbullet"/>
    <w:uiPriority w:val="21"/>
    <w:qFormat/>
    <w:rsid w:val="00E34849"/>
    <w:pPr>
      <w:ind w:left="568"/>
    </w:pPr>
  </w:style>
  <w:style w:type="paragraph" w:styleId="Footer">
    <w:name w:val="footer"/>
    <w:basedOn w:val="Normal"/>
    <w:link w:val="FooterChar"/>
    <w:uiPriority w:val="99"/>
    <w:unhideWhenUsed/>
    <w:qFormat/>
    <w:rsid w:val="00245CDF"/>
    <w:pPr>
      <w:tabs>
        <w:tab w:val="center" w:pos="4513"/>
        <w:tab w:val="right" w:pos="9026"/>
      </w:tabs>
    </w:pPr>
  </w:style>
  <w:style w:type="character" w:customStyle="1" w:styleId="FooterChar">
    <w:name w:val="Footer Char"/>
    <w:basedOn w:val="DefaultParagraphFont"/>
    <w:link w:val="Footer"/>
    <w:uiPriority w:val="99"/>
    <w:rsid w:val="00245CDF"/>
    <w:rPr>
      <w:sz w:val="19"/>
    </w:rPr>
  </w:style>
  <w:style w:type="paragraph" w:customStyle="1" w:styleId="Multilevelindentedbodytext">
    <w:name w:val="Multilevel indented body text"/>
    <w:basedOn w:val="Multilevellistlevel3"/>
    <w:uiPriority w:val="7"/>
    <w:qFormat/>
    <w:rsid w:val="00CA5018"/>
    <w:pPr>
      <w:numPr>
        <w:ilvl w:val="0"/>
        <w:numId w:val="0"/>
      </w:numPr>
      <w:ind w:left="851"/>
    </w:pPr>
  </w:style>
  <w:style w:type="paragraph" w:customStyle="1" w:styleId="MultilevelNumberedlist">
    <w:name w:val="Multilevel Numbered list"/>
    <w:basedOn w:val="NormalIndent"/>
    <w:uiPriority w:val="7"/>
    <w:qFormat/>
    <w:rsid w:val="00846A42"/>
    <w:pPr>
      <w:numPr>
        <w:numId w:val="19"/>
      </w:numPr>
      <w:spacing w:after="120"/>
      <w:ind w:left="1276" w:hanging="425"/>
    </w:pPr>
  </w:style>
  <w:style w:type="paragraph" w:customStyle="1" w:styleId="MultilevelletteredlistRegular">
    <w:name w:val="Multilevel lettered list (Regular)"/>
    <w:basedOn w:val="LetteredlistRegular"/>
    <w:uiPriority w:val="7"/>
    <w:qFormat/>
    <w:rsid w:val="00CA5018"/>
    <w:pPr>
      <w:numPr>
        <w:numId w:val="20"/>
      </w:numPr>
    </w:pPr>
  </w:style>
  <w:style w:type="paragraph" w:customStyle="1" w:styleId="MultilevelBulletedtext">
    <w:name w:val="Multilevel Bulleted text"/>
    <w:basedOn w:val="BulletedtextRegular"/>
    <w:uiPriority w:val="7"/>
    <w:qFormat/>
    <w:rsid w:val="003733FA"/>
    <w:pPr>
      <w:ind w:left="1276"/>
    </w:pPr>
  </w:style>
  <w:style w:type="paragraph" w:customStyle="1" w:styleId="MultilevelSub-bulletedtext">
    <w:name w:val="Multilevel Sub-bulleted text"/>
    <w:basedOn w:val="Sub-bulletedtext"/>
    <w:uiPriority w:val="7"/>
    <w:qFormat/>
    <w:rsid w:val="003733FA"/>
    <w:pPr>
      <w:ind w:left="1560"/>
    </w:pPr>
  </w:style>
  <w:style w:type="paragraph" w:customStyle="1" w:styleId="MultilevelNumerallistRegular">
    <w:name w:val="Multilevel Numeral list (Regular)"/>
    <w:basedOn w:val="NumerallistRegular"/>
    <w:uiPriority w:val="7"/>
    <w:qFormat/>
    <w:rsid w:val="003733FA"/>
    <w:pPr>
      <w:ind w:left="1276"/>
    </w:pPr>
  </w:style>
  <w:style w:type="paragraph" w:customStyle="1" w:styleId="MultilevelNumberedlistBold">
    <w:name w:val="Multilevel Numbered list (Bold)"/>
    <w:basedOn w:val="NumberedlistBold"/>
    <w:uiPriority w:val="7"/>
    <w:qFormat/>
    <w:rsid w:val="003733FA"/>
    <w:pPr>
      <w:ind w:left="1276"/>
    </w:pPr>
  </w:style>
  <w:style w:type="paragraph" w:customStyle="1" w:styleId="MultilistLetteredlistBold">
    <w:name w:val="Multilist Lettered list (Bold)"/>
    <w:basedOn w:val="LetteredlistBold"/>
    <w:uiPriority w:val="7"/>
    <w:qFormat/>
    <w:rsid w:val="003733FA"/>
    <w:pPr>
      <w:ind w:left="1276"/>
    </w:pPr>
  </w:style>
  <w:style w:type="paragraph" w:styleId="NormalIndent">
    <w:name w:val="Normal Indent"/>
    <w:basedOn w:val="Normal"/>
    <w:uiPriority w:val="99"/>
    <w:semiHidden/>
    <w:locked/>
    <w:rsid w:val="00846A42"/>
    <w:pPr>
      <w:ind w:left="720"/>
    </w:pPr>
  </w:style>
  <w:style w:type="paragraph" w:customStyle="1" w:styleId="BodyTextB17">
    <w:name w:val="Body Text_B17"/>
    <w:basedOn w:val="BodyText"/>
    <w:qFormat/>
    <w:rsid w:val="00FC52AA"/>
    <w:rPr>
      <w:sz w:val="21"/>
    </w:rPr>
  </w:style>
  <w:style w:type="paragraph" w:customStyle="1" w:styleId="BrightBlueFooterTextrightB17">
    <w:name w:val="Bright Blue Footer Text (right)_B17"/>
    <w:basedOn w:val="Normal"/>
    <w:uiPriority w:val="61"/>
    <w:qFormat/>
    <w:rsid w:val="00611935"/>
    <w:pPr>
      <w:spacing w:line="180" w:lineRule="exact"/>
      <w:ind w:right="170"/>
      <w:jc w:val="right"/>
    </w:pPr>
    <w:rPr>
      <w:color w:val="0074B7"/>
      <w:sz w:val="16"/>
      <w:lang w:eastAsia="ja-JP"/>
    </w:rPr>
  </w:style>
  <w:style w:type="paragraph" w:customStyle="1" w:styleId="BulletedtextRegularB17">
    <w:name w:val="Bulleted text (Regular)_B17"/>
    <w:basedOn w:val="Normal"/>
    <w:uiPriority w:val="9"/>
    <w:qFormat/>
    <w:rsid w:val="00611935"/>
    <w:pPr>
      <w:spacing w:after="120"/>
      <w:ind w:left="425" w:hanging="425"/>
    </w:pPr>
    <w:rPr>
      <w:rFonts w:eastAsia="Times New Roman" w:cs="Arial"/>
      <w:sz w:val="21"/>
      <w:szCs w:val="20"/>
      <w:lang w:eastAsia="ja-JP"/>
    </w:rPr>
  </w:style>
  <w:style w:type="paragraph" w:customStyle="1" w:styleId="AppendixTitleToCB17">
    <w:name w:val="Appendix Title (ToC)_B17"/>
    <w:next w:val="BodyTextB17"/>
    <w:uiPriority w:val="24"/>
    <w:qFormat/>
    <w:rsid w:val="00611935"/>
    <w:pPr>
      <w:pageBreakBefore/>
      <w:pBdr>
        <w:bottom w:val="single" w:sz="4" w:space="1" w:color="002A5E"/>
      </w:pBdr>
      <w:spacing w:before="120" w:after="240"/>
      <w:ind w:left="2552" w:hanging="2552"/>
      <w:outlineLvl w:val="0"/>
    </w:pPr>
    <w:rPr>
      <w:rFonts w:asciiTheme="majorHAnsi" w:eastAsia="Times New Roman" w:hAnsiTheme="majorHAnsi" w:cs="Times New Roman"/>
      <w:b/>
      <w:color w:val="002A5E"/>
      <w:sz w:val="36"/>
      <w:szCs w:val="40"/>
      <w:lang w:eastAsia="ja-JP"/>
      <w14:scene3d>
        <w14:camera w14:prst="orthographicFront"/>
        <w14:lightRig w14:rig="threePt" w14:dir="t">
          <w14:rot w14:lat="0" w14:lon="0" w14:rev="0"/>
        </w14:lightRig>
      </w14:scene3d>
    </w:rPr>
  </w:style>
  <w:style w:type="paragraph" w:customStyle="1" w:styleId="SectionTitleToCB17">
    <w:name w:val="Section Title (ToC)_B17"/>
    <w:basedOn w:val="BodyText"/>
    <w:next w:val="BodyTextB17"/>
    <w:uiPriority w:val="20"/>
    <w:rsid w:val="00221FC1"/>
    <w:pPr>
      <w:pBdr>
        <w:bottom w:val="single" w:sz="4" w:space="1" w:color="002A5E"/>
      </w:pBdr>
      <w:tabs>
        <w:tab w:val="left" w:pos="3402"/>
      </w:tabs>
      <w:spacing w:after="240" w:line="276" w:lineRule="auto"/>
      <w:outlineLvl w:val="0"/>
    </w:pPr>
    <w:rPr>
      <w:rFonts w:asciiTheme="majorHAnsi" w:hAnsiTheme="majorHAnsi"/>
      <w:color w:val="002A5E"/>
      <w:sz w:val="36"/>
    </w:rPr>
  </w:style>
  <w:style w:type="table" w:styleId="TableGridLight">
    <w:name w:val="Grid Table Light"/>
    <w:basedOn w:val="TableNormal"/>
    <w:uiPriority w:val="40"/>
    <w:rsid w:val="00D821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locked/>
    <w:rsid w:val="00D8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420">
      <w:bodyDiv w:val="1"/>
      <w:marLeft w:val="0"/>
      <w:marRight w:val="0"/>
      <w:marTop w:val="0"/>
      <w:marBottom w:val="0"/>
      <w:divBdr>
        <w:top w:val="none" w:sz="0" w:space="0" w:color="auto"/>
        <w:left w:val="none" w:sz="0" w:space="0" w:color="auto"/>
        <w:bottom w:val="none" w:sz="0" w:space="0" w:color="auto"/>
        <w:right w:val="none" w:sz="0" w:space="0" w:color="auto"/>
      </w:divBdr>
    </w:div>
    <w:div w:id="634913997">
      <w:bodyDiv w:val="1"/>
      <w:marLeft w:val="0"/>
      <w:marRight w:val="0"/>
      <w:marTop w:val="0"/>
      <w:marBottom w:val="0"/>
      <w:divBdr>
        <w:top w:val="none" w:sz="0" w:space="0" w:color="auto"/>
        <w:left w:val="none" w:sz="0" w:space="0" w:color="auto"/>
        <w:bottom w:val="none" w:sz="0" w:space="0" w:color="auto"/>
        <w:right w:val="none" w:sz="0" w:space="0" w:color="auto"/>
      </w:divBdr>
    </w:div>
    <w:div w:id="937451031">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403"/>
          <w:marRight w:val="0"/>
          <w:marTop w:val="40"/>
          <w:marBottom w:val="40"/>
          <w:divBdr>
            <w:top w:val="none" w:sz="0" w:space="0" w:color="auto"/>
            <w:left w:val="none" w:sz="0" w:space="0" w:color="auto"/>
            <w:bottom w:val="none" w:sz="0" w:space="0" w:color="auto"/>
            <w:right w:val="none" w:sz="0" w:space="0" w:color="auto"/>
          </w:divBdr>
        </w:div>
      </w:divsChild>
    </w:div>
    <w:div w:id="940723097">
      <w:bodyDiv w:val="1"/>
      <w:marLeft w:val="0"/>
      <w:marRight w:val="0"/>
      <w:marTop w:val="0"/>
      <w:marBottom w:val="0"/>
      <w:divBdr>
        <w:top w:val="none" w:sz="0" w:space="0" w:color="auto"/>
        <w:left w:val="none" w:sz="0" w:space="0" w:color="auto"/>
        <w:bottom w:val="none" w:sz="0" w:space="0" w:color="auto"/>
        <w:right w:val="none" w:sz="0" w:space="0" w:color="auto"/>
      </w:divBdr>
    </w:div>
    <w:div w:id="12843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9840385404FC3A90681511D7643C3"/>
        <w:category>
          <w:name w:val="General"/>
          <w:gallery w:val="placeholder"/>
        </w:category>
        <w:types>
          <w:type w:val="bbPlcHdr"/>
        </w:types>
        <w:behaviors>
          <w:behavior w:val="content"/>
        </w:behaviors>
        <w:guid w:val="{BEB8C0D9-0885-4045-8C9B-2211D1E8742E}"/>
      </w:docPartPr>
      <w:docPartBody>
        <w:p w:rsidR="00D429B0" w:rsidRDefault="00260C25">
          <w:pPr>
            <w:pStyle w:val="1E99840385404FC3A90681511D7643C3"/>
          </w:pPr>
          <w:r w:rsidRPr="00A63E0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Segoe UI"/>
    <w:panose1 w:val="020B0502040504020204"/>
    <w:charset w:val="00"/>
    <w:family w:val="swiss"/>
    <w:pitch w:val="variable"/>
    <w:sig w:usb0="E00082FF" w:usb1="4000205F" w:usb2="08000029" w:usb3="00000000" w:csb0="0000019F" w:csb1="00000000"/>
  </w:font>
  <w:font w:name="Schroders Circular TT Medium">
    <w:altName w:val="Calibri"/>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Schroders Circular TT Normal">
    <w:charset w:val="00"/>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B0"/>
    <w:rsid w:val="000C2E11"/>
    <w:rsid w:val="00260C25"/>
    <w:rsid w:val="00475DF7"/>
    <w:rsid w:val="005C67DC"/>
    <w:rsid w:val="005D5010"/>
    <w:rsid w:val="00924F43"/>
    <w:rsid w:val="009351EC"/>
    <w:rsid w:val="00B8122A"/>
    <w:rsid w:val="00BF6E49"/>
    <w:rsid w:val="00D4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99840385404FC3A90681511D7643C3">
    <w:name w:val="1E99840385404FC3A90681511D764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nchmark1">
  <a:themeElements>
    <a:clrScheme name="Benchmark">
      <a:dk1>
        <a:srgbClr val="000000"/>
      </a:dk1>
      <a:lt1>
        <a:srgbClr val="FFFFFF"/>
      </a:lt1>
      <a:dk2>
        <a:srgbClr val="F8F8F8"/>
      </a:dk2>
      <a:lt2>
        <a:srgbClr val="002A5E"/>
      </a:lt2>
      <a:accent1>
        <a:srgbClr val="002A5E"/>
      </a:accent1>
      <a:accent2>
        <a:srgbClr val="B71962"/>
      </a:accent2>
      <a:accent3>
        <a:srgbClr val="F8A908"/>
      </a:accent3>
      <a:accent4>
        <a:srgbClr val="CD7F0B"/>
      </a:accent4>
      <a:accent5>
        <a:srgbClr val="004C4C"/>
      </a:accent5>
      <a:accent6>
        <a:srgbClr val="00796D"/>
      </a:accent6>
      <a:hlink>
        <a:srgbClr val="0074B7"/>
      </a:hlink>
      <a:folHlink>
        <a:srgbClr val="57C7CD"/>
      </a:folHlink>
    </a:clrScheme>
    <a:fontScheme name="Benchmark Word">
      <a:majorFont>
        <a:latin typeface="Schroders Circular TT Medium"/>
        <a:ea typeface=""/>
        <a:cs typeface=""/>
      </a:majorFont>
      <a:minorFont>
        <a:latin typeface="No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defPPr algn="ctr">
          <a:defRPr sz="1200" dirty="0"/>
        </a:defPPr>
      </a:lstStyle>
      <a:style>
        <a:lnRef idx="2">
          <a:schemeClr val="accent1">
            <a:shade val="50000"/>
          </a:schemeClr>
        </a:lnRef>
        <a:fillRef idx="1">
          <a:schemeClr val="accent1"/>
        </a:fillRef>
        <a:effectRef idx="0">
          <a:schemeClr val="accent1"/>
        </a:effectRef>
        <a:fontRef idx="minor">
          <a:schemeClr val="lt1"/>
        </a:fontRef>
      </a:style>
    </a:spDef>
    <a:lnDef>
      <a:spPr>
        <a:noFill/>
        <a:ln w="9525">
          <a:solidFill>
            <a:schemeClr val="tx1"/>
          </a:solidFill>
          <a:headEnd type="none" w="med" len="med"/>
          <a:tailEnd type="none" w="med" len="med"/>
        </a:ln>
      </a:spPr>
      <a:bodyPr/>
      <a:lstStyle/>
      <a:style>
        <a:lnRef idx="2">
          <a:schemeClr val="accent1">
            <a:shade val="50000"/>
          </a:schemeClr>
        </a:lnRef>
        <a:fillRef idx="1">
          <a:schemeClr val="accent1"/>
        </a:fillRef>
        <a:effectRef idx="0">
          <a:schemeClr val="accent1"/>
        </a:effectRef>
        <a:fontRef idx="minor">
          <a:schemeClr val="lt1"/>
        </a:fontRef>
      </a:style>
    </a:lnDef>
    <a:txDef>
      <a:spPr>
        <a:noFill/>
      </a:spPr>
      <a:bodyPr wrap="square" lIns="0" tIns="0" rIns="0" bIns="0" rtlCol="0">
        <a:spAutoFit/>
      </a:bodyPr>
      <a:lstStyle>
        <a:defPPr algn="l">
          <a:defRPr sz="1400" dirty="0" err="1" smtClean="0">
            <a:latin typeface="+mn-lt"/>
          </a:defRPr>
        </a:defPPr>
      </a:lstStyle>
    </a:txDef>
  </a:objectDefaults>
  <a:extraClrSchemeLst/>
  <a:custClrLst>
    <a:custClr name="Prussian blue">
      <a:srgbClr val="002A5E"/>
    </a:custClr>
    <a:custClr name="Dark pink">
      <a:srgbClr val="B71962"/>
    </a:custClr>
    <a:custClr name="Gold">
      <a:srgbClr val="F8A908"/>
    </a:custClr>
    <a:custClr name="Dark gold">
      <a:srgbClr val="CD7F0B"/>
    </a:custClr>
    <a:custClr name="Mid green">
      <a:srgbClr val="00796D"/>
    </a:custClr>
    <a:custClr name="Dark green">
      <a:srgbClr val="004C4C"/>
    </a:custClr>
    <a:custClr name="Prussian blue shade 1">
      <a:srgbClr val="7F94AE"/>
    </a:custClr>
    <a:custClr name="Prussian blue shade 2">
      <a:srgbClr val="D9DFE7"/>
    </a:custClr>
    <a:custClr name="Dark pink shade 1">
      <a:srgbClr val="DA8CB0"/>
    </a:custClr>
    <a:custClr name="Dark pink shade 2">
      <a:srgbClr val="F4DDE8"/>
    </a:custClr>
    <a:custClr name="Gold shade 1">
      <a:srgbClr val="FCDE9C"/>
    </a:custClr>
    <a:custClr name="Gold shade 2">
      <a:srgbClr val="FEF5E2"/>
    </a:custClr>
    <a:custClr name="Dark green shade 1">
      <a:srgbClr val="99C9C5"/>
    </a:custClr>
    <a:custClr name="Dark green shade 2">
      <a:srgbClr val="EBF4F3"/>
    </a:custClr>
    <a:custClr name="Monza">
      <a:srgbClr val="E00716"/>
    </a:custClr>
    <a:custClr name="Mirage">
      <a:srgbClr val="15152B"/>
    </a:custClr>
  </a:custClrLst>
  <a:extLst>
    <a:ext uri="{05A4C25C-085E-4340-85A3-A5531E510DB2}">
      <thm15:themeFamily xmlns:thm15="http://schemas.microsoft.com/office/thememl/2012/main" name="Benchmark1" id="{4270093C-E535-4610-8AA3-4208D5D4D807}" vid="{EC3DB6DE-CD60-4379-B532-8641CD5963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4fbc0b-ddf2-421f-83db-40a5ef03d9b9">
      <Terms xmlns="http://schemas.microsoft.com/office/infopath/2007/PartnerControls"/>
    </lcf76f155ced4ddcb4097134ff3c332f>
    <TaxCatchAll xmlns="e73e432d-a10d-4c9a-93de-6bafa76ea6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2EB72EAEC2F47BA3901F97946A91B" ma:contentTypeVersion="15" ma:contentTypeDescription="Create a new document." ma:contentTypeScope="" ma:versionID="49baf9d993a85aed1290e09f7ecc55f6">
  <xsd:schema xmlns:xsd="http://www.w3.org/2001/XMLSchema" xmlns:xs="http://www.w3.org/2001/XMLSchema" xmlns:p="http://schemas.microsoft.com/office/2006/metadata/properties" xmlns:ns2="604fbc0b-ddf2-421f-83db-40a5ef03d9b9" xmlns:ns3="e73e432d-a10d-4c9a-93de-6bafa76ea6d3" targetNamespace="http://schemas.microsoft.com/office/2006/metadata/properties" ma:root="true" ma:fieldsID="c5bf6167a48341295808226dbd709d95" ns2:_="" ns3:_="">
    <xsd:import namespace="604fbc0b-ddf2-421f-83db-40a5ef03d9b9"/>
    <xsd:import namespace="e73e432d-a10d-4c9a-93de-6bafa76ea6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fbc0b-ddf2-421f-83db-40a5ef03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a9ac9-9f30-4247-b13d-4558d997c9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3e432d-a10d-4c9a-93de-6bafa76ea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16791d-94c7-4a1b-9e22-d218afa2ec4a}" ma:internalName="TaxCatchAll" ma:showField="CatchAllData" ma:web="e73e432d-a10d-4c9a-93de-6bafa76ea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998E-AAB9-4275-BD9D-84DA39258614}">
  <ds:schemaRefs>
    <ds:schemaRef ds:uri="http://schemas.microsoft.com/office/2006/metadata/properties"/>
    <ds:schemaRef ds:uri="http://schemas.microsoft.com/office/infopath/2007/PartnerControls"/>
    <ds:schemaRef ds:uri="604fbc0b-ddf2-421f-83db-40a5ef03d9b9"/>
    <ds:schemaRef ds:uri="e73e432d-a10d-4c9a-93de-6bafa76ea6d3"/>
  </ds:schemaRefs>
</ds:datastoreItem>
</file>

<file path=customXml/itemProps2.xml><?xml version="1.0" encoding="utf-8"?>
<ds:datastoreItem xmlns:ds="http://schemas.openxmlformats.org/officeDocument/2006/customXml" ds:itemID="{36E5D0DA-03A2-4C0C-B829-CEE30C6702D1}">
  <ds:schemaRefs>
    <ds:schemaRef ds:uri="http://schemas.microsoft.com/sharepoint/v3/contenttype/forms"/>
  </ds:schemaRefs>
</ds:datastoreItem>
</file>

<file path=customXml/itemProps3.xml><?xml version="1.0" encoding="utf-8"?>
<ds:datastoreItem xmlns:ds="http://schemas.openxmlformats.org/officeDocument/2006/customXml" ds:itemID="{93ADA3F8-865E-4768-BA03-97D44F678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fbc0b-ddf2-421f-83db-40a5ef03d9b9"/>
    <ds:schemaRef ds:uri="e73e432d-a10d-4c9a-93de-6bafa76ea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B2E02-2133-4AA4-BA70-068B2DF7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Appendix 4 -Fair Value Statement Template</vt:lpstr>
    </vt:vector>
  </TitlesOfParts>
  <Company>Schroders Investment Management</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Value Statement – V1 July 2023</dc:title>
  <dc:creator>Kerry Adamson</dc:creator>
  <cp:lastModifiedBy>YukWah Walton</cp:lastModifiedBy>
  <cp:revision>8</cp:revision>
  <cp:lastPrinted>2021-04-28T14:56:00Z</cp:lastPrinted>
  <dcterms:created xsi:type="dcterms:W3CDTF">2023-07-04T12:50:00Z</dcterms:created>
  <dcterms:modified xsi:type="dcterms:W3CDTF">2023-07-12T08:06:00Z</dcterms:modified>
  <cp:category>Document title with one line</cp:category>
  <cp:contentStatus>[Insert a 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0x0101002BF2EB72EAEC2F47BA3901F97946A91B</vt:lpwstr>
  </property>
  <property fmtid="{D5CDD505-2E9C-101B-9397-08002B2CF9AE}" pid="3" name="MSIP_Label_e092e18f-0b8c-434c-ac8e-96b4cca4ff10_Enabled">
    <vt:lpwstr>true</vt:lpwstr>
  </property>
  <property fmtid="{D5CDD505-2E9C-101B-9397-08002B2CF9AE}" pid="4" name="MSIP_Label_e092e18f-0b8c-434c-ac8e-96b4cca4ff10_SetDate">
    <vt:lpwstr>2023-01-13T10:55:04Z</vt:lpwstr>
  </property>
  <property fmtid="{D5CDD505-2E9C-101B-9397-08002B2CF9AE}" pid="5" name="MSIP_Label_e092e18f-0b8c-434c-ac8e-96b4cca4ff10_Method">
    <vt:lpwstr>Standard</vt:lpwstr>
  </property>
  <property fmtid="{D5CDD505-2E9C-101B-9397-08002B2CF9AE}" pid="6" name="MSIP_Label_e092e18f-0b8c-434c-ac8e-96b4cca4ff10_Name">
    <vt:lpwstr>BMC-Confidential</vt:lpwstr>
  </property>
  <property fmtid="{D5CDD505-2E9C-101B-9397-08002B2CF9AE}" pid="7" name="MSIP_Label_e092e18f-0b8c-434c-ac8e-96b4cca4ff10_SiteId">
    <vt:lpwstr>6be4dec0-f51d-40ce-a718-ee368b6a91ad</vt:lpwstr>
  </property>
  <property fmtid="{D5CDD505-2E9C-101B-9397-08002B2CF9AE}" pid="8" name="MSIP_Label_e092e18f-0b8c-434c-ac8e-96b4cca4ff10_ActionId">
    <vt:lpwstr>abd26043-1bf1-43c4-9f71-71b54d6eccb4</vt:lpwstr>
  </property>
  <property fmtid="{D5CDD505-2E9C-101B-9397-08002B2CF9AE}" pid="9" name="MSIP_Label_e092e18f-0b8c-434c-ac8e-96b4cca4ff10_ContentBits">
    <vt:lpwstr>0</vt:lpwstr>
  </property>
</Properties>
</file>