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ECB3C" w14:textId="4DB202BC" w:rsidR="001A7B07" w:rsidRDefault="001A7B07">
      <w:pPr>
        <w:pStyle w:val="BodyText"/>
        <w:spacing w:before="7"/>
      </w:pPr>
    </w:p>
    <w:p w14:paraId="0E3791FE" w14:textId="77777777" w:rsidR="001A7B07" w:rsidRPr="00766E13" w:rsidRDefault="003935F9">
      <w:pPr>
        <w:pStyle w:val="Heading1"/>
        <w:spacing w:before="1" w:line="274" w:lineRule="exact"/>
        <w:rPr>
          <w:lang w:val="es-AR"/>
        </w:rPr>
      </w:pPr>
      <w:r w:rsidRPr="00766E13">
        <w:rPr>
          <w:spacing w:val="-2"/>
          <w:lang w:val="es-AR"/>
        </w:rPr>
        <w:t>INTRODUCCIÓN</w:t>
      </w:r>
    </w:p>
    <w:p w14:paraId="04E884E9" w14:textId="77777777" w:rsidR="001A7B07" w:rsidRPr="00766E13" w:rsidRDefault="003935F9">
      <w:pPr>
        <w:pStyle w:val="BodyText"/>
        <w:rPr>
          <w:lang w:val="es-AR"/>
        </w:rPr>
      </w:pPr>
      <w:r w:rsidRPr="00766E13">
        <w:rPr>
          <w:lang w:val="es-AR"/>
        </w:rPr>
        <w:t>Gracias por elegir a Behavioral Health Network (BHN) como su proveedor de servicios. La misión de BHN es ayudar a individuos, familias y comunidades a mejorar la calidad de vida de quienes tienen problemas de salud conductual y desarrollo. BHN valora la recuperación y los servicios centrados en la persona. En colaboración contigo, BHN espera ayudarte a alcanzar tus objetivos.</w:t>
      </w:r>
    </w:p>
    <w:p w14:paraId="673F84A2" w14:textId="77777777" w:rsidR="001A7B07" w:rsidRPr="00766E13" w:rsidRDefault="003935F9">
      <w:pPr>
        <w:pStyle w:val="BodyText"/>
        <w:spacing w:before="273"/>
        <w:rPr>
          <w:lang w:val="es-AR"/>
        </w:rPr>
      </w:pPr>
      <w:r w:rsidRPr="00766E13">
        <w:rPr>
          <w:lang w:val="es-AR"/>
        </w:rPr>
        <w:t>A continuación encontrarás información sobre tu participación en los servicios de BHN. Esto incluye tu responsabilidad compartida con los servicios y nuestro Aviso de Prácticas de Privacidad.</w:t>
      </w:r>
    </w:p>
    <w:p w14:paraId="0AD01837" w14:textId="77777777" w:rsidR="001A7B07" w:rsidRPr="00766E13" w:rsidRDefault="003935F9">
      <w:pPr>
        <w:pStyle w:val="Heading1"/>
        <w:spacing w:before="204" w:line="242" w:lineRule="auto"/>
        <w:ind w:right="1463"/>
        <w:rPr>
          <w:lang w:val="es-AR"/>
        </w:rPr>
      </w:pPr>
      <w:r w:rsidRPr="00766E13">
        <w:rPr>
          <w:lang w:val="es-AR"/>
        </w:rPr>
        <w:t>Cómo puede ser utilizada y divulgada la información médica sobre ti. Introducción a las prácticas de privacidad</w:t>
      </w:r>
    </w:p>
    <w:p w14:paraId="6C3DB5E4" w14:textId="77777777" w:rsidR="001A7B07" w:rsidRPr="00766E13" w:rsidRDefault="003935F9">
      <w:pPr>
        <w:pStyle w:val="BodyText"/>
        <w:ind w:right="64"/>
        <w:rPr>
          <w:lang w:val="es-AR"/>
        </w:rPr>
      </w:pPr>
      <w:r w:rsidRPr="00766E13">
        <w:rPr>
          <w:lang w:val="es-AR"/>
        </w:rPr>
        <w:t>Este Aviso de Prácticas de Privacidad describe cómo BHN utiliza, divulga y protege a tu PHI para llevar a cabo tratamientos, pagos o operaciones sanitarias, así como para otros fines permitidos o exigidos por la ley. Este Aviso también describe sus derechos respecto a la información que BHN mantiene sobre usted y una breve descripción de cómo puede ejercer estos derechos.</w:t>
      </w:r>
    </w:p>
    <w:p w14:paraId="1677E9B6" w14:textId="77777777" w:rsidR="001A7B07" w:rsidRPr="00766E13" w:rsidRDefault="003935F9">
      <w:pPr>
        <w:pStyle w:val="BodyText"/>
        <w:spacing w:before="267"/>
        <w:rPr>
          <w:lang w:val="es-AR"/>
        </w:rPr>
      </w:pPr>
      <w:r w:rsidRPr="00766E13">
        <w:rPr>
          <w:lang w:val="es-AR"/>
        </w:rPr>
        <w:t>"Información Sanitaria Protegida" o PHI significa información (incluida la información identificativa sobre ti) que BHN ha recopilado o recibido de tus proveedores de salud, planes de salud o un centro de atención sanitaria. Puede incluir información sobre tu estado de salud física o mental pasado, presente o futuro, la prestación de tu atención sanitaria y el pago por tus servicios de salud. Se te pedirá que firmes un documento aparte relacionado con la facturación para describir nuestra política de información de facturación.</w:t>
      </w:r>
    </w:p>
    <w:p w14:paraId="114DA497" w14:textId="77777777" w:rsidR="001A7B07" w:rsidRPr="00766E13" w:rsidRDefault="001A7B07">
      <w:pPr>
        <w:pStyle w:val="BodyText"/>
        <w:rPr>
          <w:lang w:val="es-AR"/>
        </w:rPr>
      </w:pPr>
    </w:p>
    <w:p w14:paraId="6AAFF48B" w14:textId="77777777" w:rsidR="001A7B07" w:rsidRPr="00766E13" w:rsidRDefault="003935F9">
      <w:pPr>
        <w:pStyle w:val="BodyText"/>
        <w:ind w:right="76"/>
        <w:jc w:val="both"/>
        <w:rPr>
          <w:lang w:val="es-AR"/>
        </w:rPr>
      </w:pPr>
      <w:r w:rsidRPr="00766E13">
        <w:rPr>
          <w:lang w:val="es-AR"/>
        </w:rPr>
        <w:t>BHN está obligada por ley a mantener la privacidad de tu información y a proporcionarte este aviso sobre nuestras obligaciones legales y prácticas de privacidad respecto a tu información. BHN también está obligada a cumplir con los términos de su actual Aviso de Prácticas de Privacidad.</w:t>
      </w:r>
    </w:p>
    <w:p w14:paraId="7B456178" w14:textId="77777777" w:rsidR="001A7B07" w:rsidRPr="00766E13" w:rsidRDefault="001A7B07">
      <w:pPr>
        <w:pStyle w:val="BodyText"/>
        <w:rPr>
          <w:lang w:val="es-AR"/>
        </w:rPr>
      </w:pPr>
    </w:p>
    <w:p w14:paraId="2FB924CB" w14:textId="77777777" w:rsidR="001A7B07" w:rsidRPr="00766E13" w:rsidRDefault="003935F9">
      <w:pPr>
        <w:pStyle w:val="BodyText"/>
        <w:rPr>
          <w:lang w:val="es-AR"/>
        </w:rPr>
      </w:pPr>
      <w:r w:rsidRPr="00766E13">
        <w:rPr>
          <w:lang w:val="es-AR"/>
        </w:rPr>
        <w:t>BHN no conserva notas de psicoterapia para ninguna persona atendida. Las notas que se guardan durante las visitas de salud conductual se consideran notas de progreso y forman parte del historial médico. Estas notas pueden publicarse según lo descrito en este documento.</w:t>
      </w:r>
    </w:p>
    <w:p w14:paraId="6CC53E4F" w14:textId="77777777" w:rsidR="001A7B07" w:rsidRPr="00766E13" w:rsidRDefault="001A7B07">
      <w:pPr>
        <w:pStyle w:val="BodyText"/>
        <w:spacing w:before="5"/>
        <w:rPr>
          <w:lang w:val="es-AR"/>
        </w:rPr>
      </w:pPr>
    </w:p>
    <w:p w14:paraId="65F4503D" w14:textId="77777777" w:rsidR="001A7B07" w:rsidRPr="00766E13" w:rsidRDefault="003935F9">
      <w:pPr>
        <w:pStyle w:val="Heading1"/>
        <w:spacing w:line="274" w:lineRule="exact"/>
        <w:rPr>
          <w:lang w:val="es-AR"/>
        </w:rPr>
      </w:pPr>
      <w:r w:rsidRPr="00766E13">
        <w:rPr>
          <w:lang w:val="es-AR"/>
        </w:rPr>
        <w:t>Cómo BHN utilizará y divulgará tu información</w:t>
      </w:r>
    </w:p>
    <w:p w14:paraId="68B71198" w14:textId="77777777" w:rsidR="001A7B07" w:rsidRPr="00766E13" w:rsidRDefault="003935F9">
      <w:pPr>
        <w:pStyle w:val="BodyText"/>
        <w:ind w:right="140"/>
        <w:rPr>
          <w:lang w:val="es-AR"/>
        </w:rPr>
      </w:pPr>
      <w:r w:rsidRPr="00766E13">
        <w:rPr>
          <w:lang w:val="es-AR"/>
        </w:rPr>
        <w:t>BHN utilizará y divulgará su información según se describe en cada categoría listada a continuación. Para cada categoría que se enumera a continuación, BHN explicará a qué nos referimos en general, pero no describirá todos los usos específicos o divulgaciones de información.</w:t>
      </w:r>
    </w:p>
    <w:p w14:paraId="522AE177" w14:textId="77777777" w:rsidR="001A7B07" w:rsidRPr="00766E13" w:rsidRDefault="001A7B07">
      <w:pPr>
        <w:pStyle w:val="BodyText"/>
        <w:spacing w:before="2"/>
        <w:rPr>
          <w:lang w:val="es-AR"/>
        </w:rPr>
      </w:pPr>
    </w:p>
    <w:p w14:paraId="521865A0" w14:textId="77777777" w:rsidR="001A7B07" w:rsidRPr="00766E13" w:rsidRDefault="003935F9">
      <w:pPr>
        <w:pStyle w:val="Heading1"/>
        <w:numPr>
          <w:ilvl w:val="0"/>
          <w:numId w:val="5"/>
        </w:numPr>
        <w:tabs>
          <w:tab w:val="left" w:pos="360"/>
        </w:tabs>
        <w:spacing w:line="292" w:lineRule="exact"/>
        <w:rPr>
          <w:lang w:val="es-AR"/>
        </w:rPr>
      </w:pPr>
      <w:r w:rsidRPr="00766E13">
        <w:rPr>
          <w:lang w:val="es-AR"/>
        </w:rPr>
        <w:t>Compartición de historial médico dentro de BHN, incluyendo información sobre el consumo de sustancias</w:t>
      </w:r>
    </w:p>
    <w:p w14:paraId="0CFF8B56" w14:textId="77777777" w:rsidR="001A7B07" w:rsidRPr="00766E13" w:rsidRDefault="003935F9">
      <w:pPr>
        <w:pStyle w:val="BodyText"/>
        <w:ind w:right="80"/>
        <w:rPr>
          <w:lang w:val="es-AR"/>
        </w:rPr>
      </w:pPr>
      <w:r w:rsidRPr="00766E13">
        <w:rPr>
          <w:lang w:val="es-AR"/>
        </w:rPr>
        <w:t xml:space="preserve">Como mejor práctica, BHN trabaja para proporcionar atención integrada en todos los programas BHN de los que recibes servicios. Este consentimiento explica cómo los programas de BHN pueden compartir tu información con otros programas de BHN, incluidos aquellos que ofrecen </w:t>
      </w:r>
      <w:r w:rsidRPr="00766E13">
        <w:rPr>
          <w:lang w:val="es-AR"/>
        </w:rPr>
        <w:lastRenderedPageBreak/>
        <w:t>servicios para trastornos por consumo de sustancias. (Estos programas de consumo de sustancias se denominan programas 42CFR, Parte II.)</w:t>
      </w:r>
    </w:p>
    <w:p w14:paraId="42911E69" w14:textId="77777777" w:rsidR="001A7B07" w:rsidRPr="00766E13" w:rsidRDefault="001A7B07">
      <w:pPr>
        <w:pStyle w:val="BodyText"/>
        <w:rPr>
          <w:lang w:val="es-AR"/>
        </w:rPr>
        <w:sectPr w:rsidR="001A7B07" w:rsidRPr="00766E13">
          <w:headerReference w:type="even" r:id="rId7"/>
          <w:headerReference w:type="default" r:id="rId8"/>
          <w:footerReference w:type="even" r:id="rId9"/>
          <w:footerReference w:type="default" r:id="rId10"/>
          <w:headerReference w:type="first" r:id="rId11"/>
          <w:footerReference w:type="first" r:id="rId12"/>
          <w:type w:val="continuous"/>
          <w:pgSz w:w="12240" w:h="15840"/>
          <w:pgMar w:top="1720" w:right="1440" w:bottom="1160" w:left="1440" w:header="720" w:footer="974" w:gutter="0"/>
          <w:pgNumType w:start="1"/>
          <w:cols w:space="720"/>
        </w:sectPr>
      </w:pPr>
    </w:p>
    <w:p w14:paraId="54487683" w14:textId="77777777" w:rsidR="001A7B07" w:rsidRPr="00766E13" w:rsidRDefault="003935F9">
      <w:pPr>
        <w:pStyle w:val="BodyText"/>
        <w:spacing w:before="80"/>
        <w:ind w:right="64"/>
        <w:rPr>
          <w:lang w:val="es-AR"/>
        </w:rPr>
      </w:pPr>
      <w:r w:rsidRPr="00766E13">
        <w:rPr>
          <w:lang w:val="es-AR"/>
        </w:rPr>
        <w:lastRenderedPageBreak/>
        <w:t>Te pediremos que firmes una autorización para que podamos compartir esta información entre programas. Puedes solicitar restricciones a este intercambio de información, y BHN trabajará para cumplirlas. Puede producirse cierta divulgación incidental de tu información sobre el consumo de sustancias debido al grado de integración de tu información de salud que ocurre si estás inscrito en varios programas.</w:t>
      </w:r>
    </w:p>
    <w:p w14:paraId="7AF76DA8" w14:textId="77777777" w:rsidR="001A7B07" w:rsidRPr="00766E13" w:rsidRDefault="001A7B07">
      <w:pPr>
        <w:pStyle w:val="BodyText"/>
        <w:spacing w:before="4"/>
        <w:rPr>
          <w:lang w:val="es-AR"/>
        </w:rPr>
      </w:pPr>
    </w:p>
    <w:p w14:paraId="0136BFB8" w14:textId="77777777" w:rsidR="001A7B07" w:rsidRDefault="003935F9">
      <w:pPr>
        <w:pStyle w:val="Heading1"/>
        <w:numPr>
          <w:ilvl w:val="0"/>
          <w:numId w:val="5"/>
        </w:numPr>
        <w:tabs>
          <w:tab w:val="left" w:pos="360"/>
        </w:tabs>
        <w:spacing w:line="291" w:lineRule="exact"/>
      </w:pPr>
      <w:r>
        <w:rPr>
          <w:spacing w:val="-2"/>
        </w:rPr>
        <w:t>Pago:</w:t>
      </w:r>
    </w:p>
    <w:p w14:paraId="2C65A8B9" w14:textId="77777777" w:rsidR="001A7B07" w:rsidRPr="00766E13" w:rsidRDefault="003935F9">
      <w:pPr>
        <w:pStyle w:val="BodyText"/>
        <w:ind w:right="80"/>
        <w:rPr>
          <w:lang w:val="es-AR"/>
        </w:rPr>
      </w:pPr>
      <w:r w:rsidRPr="00766E13">
        <w:rPr>
          <w:lang w:val="es-AR"/>
        </w:rPr>
        <w:t>BHN puede divulgar tu información para que los servicios que recibas se facturen a tu plan de salud o seguro y se cobre el pago. El Formulario de Política de Pago de BHN proporciona detalles adicionales sobre la facturación y la información de pago.</w:t>
      </w:r>
    </w:p>
    <w:p w14:paraId="5306817F" w14:textId="77777777" w:rsidR="001A7B07" w:rsidRDefault="003935F9">
      <w:pPr>
        <w:pStyle w:val="Heading1"/>
        <w:numPr>
          <w:ilvl w:val="0"/>
          <w:numId w:val="5"/>
        </w:numPr>
        <w:tabs>
          <w:tab w:val="left" w:pos="273"/>
        </w:tabs>
        <w:spacing w:before="275"/>
        <w:ind w:left="273" w:hanging="273"/>
        <w:rPr>
          <w:b w:val="0"/>
        </w:rPr>
      </w:pPr>
      <w:r>
        <w:t>Operaciones sanitarias</w:t>
      </w:r>
      <w:r>
        <w:rPr>
          <w:b w:val="0"/>
          <w:spacing w:val="-2"/>
        </w:rPr>
        <w:t>:</w:t>
      </w:r>
    </w:p>
    <w:p w14:paraId="3BA2C4A2" w14:textId="77777777" w:rsidR="001A7B07" w:rsidRPr="00766E13" w:rsidRDefault="003935F9">
      <w:pPr>
        <w:pStyle w:val="BodyText"/>
        <w:spacing w:before="199"/>
        <w:ind w:right="224"/>
        <w:jc w:val="both"/>
        <w:rPr>
          <w:lang w:val="es-AR"/>
        </w:rPr>
      </w:pPr>
      <w:r w:rsidRPr="00766E13">
        <w:rPr>
          <w:lang w:val="es-AR"/>
        </w:rPr>
        <w:t>BHN puede utilizar información sobre ti para nuestras operaciones. Estas divulgaciones son necesarias para gestionar nuestra organización y asegurarnos de que recibas una atención de calidad. Estas actividades pueden incluir, por ejemplo, auditorías de calidad, licencias, acreditación y actividades administrativas generales.</w:t>
      </w:r>
    </w:p>
    <w:p w14:paraId="6E5E54C3" w14:textId="77777777" w:rsidR="001A7B07" w:rsidRPr="00766E13" w:rsidRDefault="003935F9">
      <w:pPr>
        <w:pStyle w:val="BodyText"/>
        <w:ind w:right="80"/>
        <w:rPr>
          <w:lang w:val="es-AR"/>
        </w:rPr>
      </w:pPr>
      <w:r w:rsidRPr="00766E13">
        <w:rPr>
          <w:b/>
          <w:lang w:val="es-AR"/>
        </w:rPr>
        <w:t xml:space="preserve">Arreglos de Atención Sanitaria Organizada: </w:t>
      </w:r>
      <w:r w:rsidRPr="00766E13">
        <w:rPr>
          <w:lang w:val="es-AR"/>
        </w:rPr>
        <w:t>Si formas parte de una Organización de Atención Responsable, Entidad de Atención Gestionada, Intercambio de Información Sanitaria u otro acuerdo de Atención Sanitaria Organizada, tu información puede compartirse como parte de los requisitos de pago, coordinación de servicios y tratamiento, y operativa.</w:t>
      </w:r>
    </w:p>
    <w:p w14:paraId="33E6BBD8" w14:textId="77777777" w:rsidR="001A7B07" w:rsidRPr="00766E13" w:rsidRDefault="001A7B07">
      <w:pPr>
        <w:pStyle w:val="BodyText"/>
        <w:spacing w:before="3"/>
        <w:rPr>
          <w:lang w:val="es-AR"/>
        </w:rPr>
      </w:pPr>
    </w:p>
    <w:p w14:paraId="35C122D0" w14:textId="77777777" w:rsidR="001A7B07" w:rsidRPr="00766E13" w:rsidRDefault="003935F9">
      <w:pPr>
        <w:pStyle w:val="Heading1"/>
        <w:spacing w:line="274" w:lineRule="exact"/>
        <w:rPr>
          <w:lang w:val="es-AR"/>
        </w:rPr>
      </w:pPr>
      <w:r w:rsidRPr="00766E13">
        <w:rPr>
          <w:lang w:val="es-AR"/>
        </w:rPr>
        <w:t>Uso de autorizaciones para la comunicación con entidades externas a BHN:</w:t>
      </w:r>
    </w:p>
    <w:p w14:paraId="4D615B21" w14:textId="77777777" w:rsidR="001A7B07" w:rsidRPr="00766E13" w:rsidRDefault="003935F9">
      <w:pPr>
        <w:pStyle w:val="BodyText"/>
        <w:ind w:right="80"/>
        <w:rPr>
          <w:lang w:val="es-AR"/>
        </w:rPr>
      </w:pPr>
      <w:r w:rsidRPr="00766E13">
        <w:rPr>
          <w:lang w:val="es-AR"/>
        </w:rPr>
        <w:t>Las divulgaciones y comunicaciones con proveedores de Salud Conductual y Médicos, así como con otras entidades externas a BHN, generalmente solo se harán con tu permiso por escrito, llamado</w:t>
      </w:r>
    </w:p>
    <w:p w14:paraId="2AF1EB77" w14:textId="77777777" w:rsidR="001A7B07" w:rsidRPr="00766E13" w:rsidRDefault="003935F9">
      <w:pPr>
        <w:pStyle w:val="BodyText"/>
        <w:rPr>
          <w:lang w:val="es-AR"/>
        </w:rPr>
      </w:pPr>
      <w:r w:rsidRPr="00766E13">
        <w:rPr>
          <w:lang w:val="es-AR"/>
        </w:rPr>
        <w:t xml:space="preserve">"Autorización." Tienes derecho a revocar una autorización en cualquier momento. Si revocas tu autorización, BHN no hará más divulgaciones de tu información bajo dicha autorización. La información ya revelada no puede ser revocada. Para revocar su autorización, por favor utilice el  formulario </w:t>
      </w:r>
      <w:r w:rsidRPr="00766E13">
        <w:rPr>
          <w:b/>
          <w:i/>
          <w:lang w:val="es-AR"/>
        </w:rPr>
        <w:t>de Revocación de Autorización</w:t>
      </w:r>
      <w:r w:rsidRPr="00766E13">
        <w:rPr>
          <w:lang w:val="es-AR"/>
        </w:rPr>
        <w:t>.</w:t>
      </w:r>
    </w:p>
    <w:p w14:paraId="1DE2EBFB" w14:textId="77777777" w:rsidR="001A7B07" w:rsidRPr="00766E13" w:rsidRDefault="003935F9">
      <w:pPr>
        <w:pStyle w:val="BodyText"/>
        <w:spacing w:before="274"/>
        <w:rPr>
          <w:lang w:val="es-AR"/>
        </w:rPr>
      </w:pPr>
      <w:r w:rsidRPr="00766E13">
        <w:rPr>
          <w:lang w:val="es-AR"/>
        </w:rPr>
        <w:t>Con autorización por escrito de tu parte o de tu tutor, BHN puede revelar información a un familiar, representante legal o cualquier otra persona responsable de tu atención sobre tu ubicación o estado general.</w:t>
      </w:r>
    </w:p>
    <w:p w14:paraId="2583B50E" w14:textId="77777777" w:rsidR="001A7B07" w:rsidRPr="00766E13" w:rsidRDefault="001A7B07">
      <w:pPr>
        <w:pStyle w:val="BodyText"/>
        <w:rPr>
          <w:lang w:val="es-AR"/>
        </w:rPr>
      </w:pPr>
    </w:p>
    <w:p w14:paraId="48C5AEC1" w14:textId="77777777" w:rsidR="001A7B07" w:rsidRPr="00766E13" w:rsidRDefault="003935F9">
      <w:pPr>
        <w:pStyle w:val="BodyText"/>
        <w:ind w:right="80"/>
        <w:rPr>
          <w:lang w:val="es-AR"/>
        </w:rPr>
      </w:pPr>
      <w:r w:rsidRPr="00766E13">
        <w:rPr>
          <w:lang w:val="es-AR"/>
        </w:rPr>
        <w:t>Estos métodos de comunicación pueden incluir el cara a cara; conversación(es) telefónica(s); correo electrónico seguro, mensajes de texto o fax seguros. La información también puede enviarse electrónicamente mediante un Intercambio de Información de Salud (HIE) como PVIX. Compartir información con un HIE siempre requerirá una autorización tuya.</w:t>
      </w:r>
    </w:p>
    <w:p w14:paraId="62CE05B1" w14:textId="77777777" w:rsidR="001A7B07" w:rsidRPr="00766E13" w:rsidRDefault="001A7B07">
      <w:pPr>
        <w:pStyle w:val="BodyText"/>
        <w:rPr>
          <w:lang w:val="es-AR"/>
        </w:rPr>
      </w:pPr>
    </w:p>
    <w:p w14:paraId="14BD4081" w14:textId="77777777" w:rsidR="001A7B07" w:rsidRPr="00766E13" w:rsidRDefault="003935F9">
      <w:pPr>
        <w:pStyle w:val="BodyText"/>
        <w:ind w:right="80"/>
        <w:rPr>
          <w:lang w:val="es-AR"/>
        </w:rPr>
      </w:pPr>
      <w:r w:rsidRPr="00766E13">
        <w:rPr>
          <w:lang w:val="es-AR"/>
        </w:rPr>
        <w:t>Massachusetts sí reconoce una regla de menor maduro, lo que significa que los menores (personas de 12 a 17 años) en el BHN pueden consentir el tratamiento si el Director Clínico o el Médico</w:t>
      </w:r>
    </w:p>
    <w:p w14:paraId="3B60493D" w14:textId="77777777" w:rsidR="001A7B07" w:rsidRPr="00766E13" w:rsidRDefault="003935F9">
      <w:pPr>
        <w:pStyle w:val="BodyText"/>
        <w:spacing w:before="1"/>
        <w:ind w:right="80"/>
        <w:rPr>
          <w:lang w:val="es-AR"/>
        </w:rPr>
      </w:pPr>
      <w:r w:rsidRPr="00766E13">
        <w:rPr>
          <w:lang w:val="es-AR"/>
        </w:rPr>
        <w:t xml:space="preserve">cree que el menor puede dar su consentimiento informado para el tratamiento, y que es en su mejor interés no notificar a sus padres. Los menores que han sido encontrados como dependientes de drogas por al menos dos médicos pueden consentir el tratamiento de consumo </w:t>
      </w:r>
      <w:r w:rsidRPr="00766E13">
        <w:rPr>
          <w:lang w:val="es-AR"/>
        </w:rPr>
        <w:lastRenderedPageBreak/>
        <w:t>de sustancias, excepto la terapia de mantenimiento con metadona.</w:t>
      </w:r>
    </w:p>
    <w:p w14:paraId="77E681B9" w14:textId="77777777" w:rsidR="001A7B07" w:rsidRPr="00766E13" w:rsidRDefault="001A7B07">
      <w:pPr>
        <w:pStyle w:val="BodyText"/>
        <w:rPr>
          <w:lang w:val="es-AR"/>
        </w:rPr>
        <w:sectPr w:rsidR="001A7B07" w:rsidRPr="00766E13">
          <w:pgSz w:w="12240" w:h="15840"/>
          <w:pgMar w:top="1720" w:right="1440" w:bottom="1160" w:left="1440" w:header="720" w:footer="974" w:gutter="0"/>
          <w:cols w:space="720"/>
        </w:sectPr>
      </w:pPr>
    </w:p>
    <w:p w14:paraId="610B8ADE" w14:textId="77777777" w:rsidR="001A7B07" w:rsidRPr="00766E13" w:rsidRDefault="003935F9">
      <w:pPr>
        <w:pStyle w:val="BodyText"/>
        <w:spacing w:before="80"/>
        <w:rPr>
          <w:lang w:val="es-AR"/>
        </w:rPr>
      </w:pPr>
      <w:r w:rsidRPr="00766E13">
        <w:rPr>
          <w:lang w:val="es-AR"/>
        </w:rPr>
        <w:lastRenderedPageBreak/>
        <w:t>Los menores que razonablemente crean que están sufriendo o han estado expuestos a enfermedades clasificadas como peligrosas por el Departamento de Salud Pública pueden buscar tratamiento. El VIH está incluido entre estas enfermedades. Los menores que no pueden pagar por atención médica privada pueden consentir el tratamiento de enfermedades venéreas en clínicas de salud pública que ofrecen servicios integrales de planificación familiar.</w:t>
      </w:r>
    </w:p>
    <w:p w14:paraId="12DB5FD0" w14:textId="77777777" w:rsidR="001A7B07" w:rsidRPr="00766E13" w:rsidRDefault="003935F9">
      <w:pPr>
        <w:pStyle w:val="BodyText"/>
        <w:spacing w:before="276"/>
        <w:rPr>
          <w:lang w:val="es-AR"/>
        </w:rPr>
      </w:pPr>
      <w:r w:rsidRPr="00766E13">
        <w:rPr>
          <w:lang w:val="es-AR"/>
        </w:rPr>
        <w:t>Para las personas que han recibido tratamiento, diagnóstico o derivación a un programa para tratar un problema de drogas o alcohol, la confidencialidad de los registros cuenta con protecciones especiales basadas en la ley y regulaciones federales (CFR 42, Parte 2). Como regla general, BHN no puede informar a una persona fuera de BHN información que te identifique como receptor de servicios por consumo de alcohol o sustancias, a menos que:</w:t>
      </w:r>
    </w:p>
    <w:p w14:paraId="04F75707" w14:textId="77777777" w:rsidR="001A7B07" w:rsidRPr="00766E13" w:rsidRDefault="001A7B07">
      <w:pPr>
        <w:pStyle w:val="BodyText"/>
        <w:rPr>
          <w:lang w:val="es-AR"/>
        </w:rPr>
      </w:pPr>
    </w:p>
    <w:p w14:paraId="1FD25E51" w14:textId="77777777" w:rsidR="001A7B07" w:rsidRDefault="003935F9">
      <w:pPr>
        <w:pStyle w:val="ListParagraph"/>
        <w:numPr>
          <w:ilvl w:val="0"/>
          <w:numId w:val="4"/>
        </w:numPr>
        <w:tabs>
          <w:tab w:val="left" w:pos="719"/>
        </w:tabs>
        <w:ind w:left="719" w:hanging="359"/>
        <w:rPr>
          <w:sz w:val="24"/>
        </w:rPr>
      </w:pPr>
      <w:r>
        <w:rPr>
          <w:sz w:val="24"/>
        </w:rPr>
        <w:t>Autorizas la divulgación por escrito</w:t>
      </w:r>
    </w:p>
    <w:p w14:paraId="64791ACC" w14:textId="77777777" w:rsidR="001A7B07" w:rsidRPr="00766E13" w:rsidRDefault="003935F9">
      <w:pPr>
        <w:pStyle w:val="ListParagraph"/>
        <w:numPr>
          <w:ilvl w:val="0"/>
          <w:numId w:val="4"/>
        </w:numPr>
        <w:tabs>
          <w:tab w:val="left" w:pos="719"/>
        </w:tabs>
        <w:ind w:left="719" w:hanging="359"/>
        <w:rPr>
          <w:sz w:val="24"/>
          <w:lang w:val="es-AR"/>
        </w:rPr>
      </w:pPr>
      <w:r w:rsidRPr="00766E13">
        <w:rPr>
          <w:sz w:val="24"/>
          <w:lang w:val="es-AR"/>
        </w:rPr>
        <w:t>La divulgación está permitida por orden judicial</w:t>
      </w:r>
    </w:p>
    <w:p w14:paraId="1505E7FE" w14:textId="77777777" w:rsidR="001A7B07" w:rsidRPr="00766E13" w:rsidRDefault="003935F9">
      <w:pPr>
        <w:pStyle w:val="ListParagraph"/>
        <w:numPr>
          <w:ilvl w:val="0"/>
          <w:numId w:val="4"/>
        </w:numPr>
        <w:tabs>
          <w:tab w:val="left" w:pos="720"/>
        </w:tabs>
        <w:ind w:right="610"/>
        <w:rPr>
          <w:sz w:val="24"/>
          <w:lang w:val="es-AR"/>
        </w:rPr>
      </w:pPr>
      <w:r w:rsidRPr="00766E13">
        <w:rPr>
          <w:sz w:val="24"/>
          <w:lang w:val="es-AR"/>
        </w:rPr>
        <w:t>La divulgación se realiza al personal médico en una emergencia médica o al personal cualificado para fines de investigación, auditoría o evaluación de programas</w:t>
      </w:r>
    </w:p>
    <w:p w14:paraId="1EA1B39F" w14:textId="77777777" w:rsidR="001A7B07" w:rsidRPr="00766E13" w:rsidRDefault="003935F9">
      <w:pPr>
        <w:pStyle w:val="ListParagraph"/>
        <w:numPr>
          <w:ilvl w:val="0"/>
          <w:numId w:val="4"/>
        </w:numPr>
        <w:tabs>
          <w:tab w:val="left" w:pos="719"/>
        </w:tabs>
        <w:ind w:left="719" w:hanging="359"/>
        <w:rPr>
          <w:sz w:val="24"/>
          <w:lang w:val="es-AR"/>
        </w:rPr>
      </w:pPr>
      <w:r w:rsidRPr="00766E13">
        <w:rPr>
          <w:sz w:val="24"/>
          <w:lang w:val="es-AR"/>
        </w:rPr>
        <w:t>Cometes o intentas cometer un delito</w:t>
      </w:r>
    </w:p>
    <w:p w14:paraId="3C74A504" w14:textId="77777777" w:rsidR="001A7B07" w:rsidRPr="00766E13" w:rsidRDefault="001A7B07">
      <w:pPr>
        <w:pStyle w:val="BodyText"/>
        <w:rPr>
          <w:lang w:val="es-AR"/>
        </w:rPr>
      </w:pPr>
    </w:p>
    <w:p w14:paraId="61EB6484" w14:textId="77777777" w:rsidR="001A7B07" w:rsidRPr="00766E13" w:rsidRDefault="003935F9">
      <w:pPr>
        <w:pStyle w:val="BodyText"/>
        <w:ind w:right="80"/>
        <w:rPr>
          <w:lang w:val="es-AR"/>
        </w:rPr>
      </w:pPr>
      <w:r w:rsidRPr="00766E13">
        <w:rPr>
          <w:lang w:val="es-AR"/>
        </w:rPr>
        <w:t>Una violación por nuestra parte de la ley federal y las normativas que rigen los Trastornos por Consumo de Sustancias es un delito.</w:t>
      </w:r>
    </w:p>
    <w:p w14:paraId="1E7C0288" w14:textId="77777777" w:rsidR="001A7B07" w:rsidRPr="00766E13" w:rsidRDefault="001A7B07">
      <w:pPr>
        <w:pStyle w:val="BodyText"/>
        <w:rPr>
          <w:lang w:val="es-AR"/>
        </w:rPr>
      </w:pPr>
    </w:p>
    <w:p w14:paraId="1679E86F" w14:textId="77777777" w:rsidR="001A7B07" w:rsidRPr="00766E13" w:rsidRDefault="003935F9">
      <w:pPr>
        <w:pStyle w:val="BodyText"/>
        <w:spacing w:before="1"/>
        <w:rPr>
          <w:lang w:val="es-AR"/>
        </w:rPr>
      </w:pPr>
      <w:r w:rsidRPr="00766E13">
        <w:rPr>
          <w:lang w:val="es-AR"/>
        </w:rPr>
        <w:t>La ley federal y las normativas que regulan la confidencialidad de los trastornos por consumo de sustancias nos permiten informar de sospechas de abuso o negligencia infantil según la ley estatal a las autoridades estatales o locales correspondientes. Por favor, consulte 42 U.S.C. § 290dd-2 para la ley federal y 42 C.F.R., Parte 2 para regulaciones federales que regulan la confidencialidad de los registros de consumo de alcohol y sustancias.</w:t>
      </w:r>
    </w:p>
    <w:p w14:paraId="5DD6B9AC" w14:textId="77777777" w:rsidR="001A7B07" w:rsidRPr="00766E13" w:rsidRDefault="001A7B07">
      <w:pPr>
        <w:pStyle w:val="BodyText"/>
        <w:spacing w:before="5"/>
        <w:rPr>
          <w:lang w:val="es-AR"/>
        </w:rPr>
      </w:pPr>
    </w:p>
    <w:p w14:paraId="119DE30A" w14:textId="77777777" w:rsidR="001A7B07" w:rsidRPr="00766E13" w:rsidRDefault="003935F9">
      <w:pPr>
        <w:pStyle w:val="Heading1"/>
        <w:spacing w:line="274" w:lineRule="exact"/>
        <w:rPr>
          <w:lang w:val="es-AR"/>
        </w:rPr>
      </w:pPr>
      <w:r w:rsidRPr="00766E13">
        <w:rPr>
          <w:color w:val="365F91"/>
          <w:lang w:val="es-AR"/>
        </w:rPr>
        <w:t>Derechos respecto a divulgaciones sin consentimiento ni autorización</w:t>
      </w:r>
    </w:p>
    <w:p w14:paraId="711BAB28" w14:textId="77777777" w:rsidR="001A7B07" w:rsidRPr="00766E13" w:rsidRDefault="003935F9">
      <w:pPr>
        <w:pStyle w:val="BodyText"/>
        <w:spacing w:line="274" w:lineRule="exact"/>
        <w:rPr>
          <w:lang w:val="es-AR"/>
        </w:rPr>
      </w:pPr>
      <w:r w:rsidRPr="00766E13">
        <w:rPr>
          <w:lang w:val="es-AR"/>
        </w:rPr>
        <w:t>Sin consentimiento, BHN puede divulgar tu información a:</w:t>
      </w:r>
    </w:p>
    <w:p w14:paraId="4D820408" w14:textId="77777777" w:rsidR="001A7B07" w:rsidRPr="00766E13" w:rsidRDefault="001A7B07">
      <w:pPr>
        <w:pStyle w:val="BodyText"/>
        <w:rPr>
          <w:lang w:val="es-AR"/>
        </w:rPr>
      </w:pPr>
    </w:p>
    <w:p w14:paraId="0FE19355" w14:textId="77777777" w:rsidR="001A7B07" w:rsidRPr="00766E13" w:rsidRDefault="003935F9">
      <w:pPr>
        <w:pStyle w:val="ListParagraph"/>
        <w:numPr>
          <w:ilvl w:val="0"/>
          <w:numId w:val="3"/>
        </w:numPr>
        <w:tabs>
          <w:tab w:val="left" w:pos="360"/>
        </w:tabs>
        <w:ind w:right="205"/>
        <w:rPr>
          <w:sz w:val="24"/>
          <w:lang w:val="es-AR"/>
        </w:rPr>
      </w:pPr>
      <w:r w:rsidRPr="00766E13">
        <w:rPr>
          <w:b/>
          <w:sz w:val="24"/>
          <w:lang w:val="es-AR"/>
        </w:rPr>
        <w:t xml:space="preserve">Evita una amenaza grave para la salud o la seguridad. </w:t>
      </w:r>
      <w:r w:rsidRPr="00766E13">
        <w:rPr>
          <w:sz w:val="24"/>
          <w:lang w:val="es-AR"/>
        </w:rPr>
        <w:t>BHN puede divulgar información sobre usted cuando sea necesario para prevenir una amenaza grave e inminente a su salud o seguridad, o a la salud o seguridad del público u otra persona. En estas circunstancias, BHN solo revelará información a alguien que pueda ayudar a prevenir o reducir la amenaza.</w:t>
      </w:r>
    </w:p>
    <w:p w14:paraId="5BDDD0FC" w14:textId="77777777" w:rsidR="001A7B07" w:rsidRPr="00766E13" w:rsidRDefault="003935F9">
      <w:pPr>
        <w:pStyle w:val="ListParagraph"/>
        <w:numPr>
          <w:ilvl w:val="0"/>
          <w:numId w:val="3"/>
        </w:numPr>
        <w:tabs>
          <w:tab w:val="left" w:pos="360"/>
        </w:tabs>
        <w:ind w:right="135"/>
        <w:rPr>
          <w:sz w:val="24"/>
          <w:lang w:val="es-AR"/>
        </w:rPr>
      </w:pPr>
      <w:r w:rsidRPr="00766E13">
        <w:rPr>
          <w:b/>
          <w:sz w:val="24"/>
          <w:lang w:val="es-AR"/>
        </w:rPr>
        <w:t xml:space="preserve">Como lo exige la ley. </w:t>
      </w:r>
      <w:r w:rsidRPr="00766E13">
        <w:rPr>
          <w:sz w:val="24"/>
          <w:lang w:val="es-AR"/>
        </w:rPr>
        <w:t>BHN revelará información sobre ti cuando las agencias federales, estatales o locales lo requieran.</w:t>
      </w:r>
    </w:p>
    <w:p w14:paraId="67A73AB9" w14:textId="77777777" w:rsidR="001A7B07" w:rsidRPr="00766E13" w:rsidRDefault="003935F9">
      <w:pPr>
        <w:pStyle w:val="ListParagraph"/>
        <w:numPr>
          <w:ilvl w:val="0"/>
          <w:numId w:val="3"/>
        </w:numPr>
        <w:tabs>
          <w:tab w:val="left" w:pos="360"/>
        </w:tabs>
        <w:rPr>
          <w:sz w:val="24"/>
          <w:lang w:val="es-AR"/>
        </w:rPr>
      </w:pPr>
      <w:r w:rsidRPr="00766E13">
        <w:rPr>
          <w:b/>
          <w:sz w:val="24"/>
          <w:lang w:val="es-AR"/>
        </w:rPr>
        <w:t xml:space="preserve">La agencia federal o estatal </w:t>
      </w:r>
      <w:r w:rsidRPr="00766E13">
        <w:rPr>
          <w:sz w:val="24"/>
          <w:lang w:val="es-AR"/>
        </w:rPr>
        <w:t>responsable de consentir tu atención.</w:t>
      </w:r>
    </w:p>
    <w:p w14:paraId="1584A99F" w14:textId="77777777" w:rsidR="001A7B07" w:rsidRPr="00766E13" w:rsidRDefault="003935F9">
      <w:pPr>
        <w:pStyle w:val="ListParagraph"/>
        <w:numPr>
          <w:ilvl w:val="0"/>
          <w:numId w:val="3"/>
        </w:numPr>
        <w:tabs>
          <w:tab w:val="left" w:pos="360"/>
        </w:tabs>
        <w:ind w:right="480"/>
        <w:rPr>
          <w:sz w:val="24"/>
          <w:lang w:val="es-AR"/>
        </w:rPr>
      </w:pPr>
      <w:r w:rsidRPr="00766E13">
        <w:rPr>
          <w:b/>
          <w:sz w:val="24"/>
          <w:lang w:val="es-AR"/>
        </w:rPr>
        <w:t xml:space="preserve">Divulgaciones en procedimientos </w:t>
      </w:r>
      <w:r w:rsidRPr="00766E13">
        <w:rPr>
          <w:sz w:val="24"/>
          <w:lang w:val="es-AR"/>
        </w:rPr>
        <w:t>legales. BHN puede revelar información sobre usted a un tribunal cuando:</w:t>
      </w:r>
    </w:p>
    <w:p w14:paraId="1D6BE725" w14:textId="77777777" w:rsidR="001A7B07" w:rsidRPr="00766E13" w:rsidRDefault="003935F9">
      <w:pPr>
        <w:pStyle w:val="ListParagraph"/>
        <w:numPr>
          <w:ilvl w:val="1"/>
          <w:numId w:val="3"/>
        </w:numPr>
        <w:tabs>
          <w:tab w:val="left" w:pos="720"/>
        </w:tabs>
        <w:ind w:right="395"/>
        <w:rPr>
          <w:sz w:val="24"/>
          <w:lang w:val="es-AR"/>
        </w:rPr>
      </w:pPr>
      <w:r w:rsidRPr="00766E13">
        <w:rPr>
          <w:sz w:val="24"/>
          <w:lang w:val="es-AR"/>
        </w:rPr>
        <w:t>Eres parte en un procedimiento legal y BHN está obligado a proporcionar esta información bajo una orden judicial o si el juez renuncia a los derechos de confidencialidad.</w:t>
      </w:r>
    </w:p>
    <w:p w14:paraId="4F8F3AA0" w14:textId="77777777" w:rsidR="001A7B07" w:rsidRPr="00766E13" w:rsidRDefault="003935F9">
      <w:pPr>
        <w:pStyle w:val="ListParagraph"/>
        <w:numPr>
          <w:ilvl w:val="1"/>
          <w:numId w:val="3"/>
        </w:numPr>
        <w:tabs>
          <w:tab w:val="left" w:pos="719"/>
        </w:tabs>
        <w:spacing w:before="1"/>
        <w:ind w:left="719" w:hanging="359"/>
        <w:rPr>
          <w:sz w:val="24"/>
          <w:lang w:val="es-AR"/>
        </w:rPr>
      </w:pPr>
      <w:r w:rsidRPr="00766E13">
        <w:rPr>
          <w:sz w:val="24"/>
          <w:lang w:val="es-AR"/>
        </w:rPr>
        <w:t>Tu información se obtuvo durante un examen psiquiátrico ordenado por el tribunal.</w:t>
      </w:r>
    </w:p>
    <w:p w14:paraId="44C8F134" w14:textId="77777777" w:rsidR="001A7B07" w:rsidRPr="00766E13" w:rsidRDefault="003935F9">
      <w:pPr>
        <w:pStyle w:val="ListParagraph"/>
        <w:numPr>
          <w:ilvl w:val="1"/>
          <w:numId w:val="3"/>
        </w:numPr>
        <w:tabs>
          <w:tab w:val="left" w:pos="720"/>
        </w:tabs>
        <w:ind w:right="163"/>
        <w:rPr>
          <w:sz w:val="24"/>
          <w:lang w:val="es-AR"/>
        </w:rPr>
      </w:pPr>
      <w:r w:rsidRPr="00766E13">
        <w:rPr>
          <w:sz w:val="24"/>
          <w:lang w:val="es-AR"/>
        </w:rPr>
        <w:t xml:space="preserve">Presentas tu condición mental o emocional como prueba para apoyar tu reclamación o </w:t>
      </w:r>
      <w:r w:rsidRPr="00766E13">
        <w:rPr>
          <w:sz w:val="24"/>
          <w:lang w:val="es-AR"/>
        </w:rPr>
        <w:lastRenderedPageBreak/>
        <w:t>defensa en cualquier procedimiento y el juez aprueba que divulguemos tu información.</w:t>
      </w:r>
    </w:p>
    <w:p w14:paraId="6BDA3300" w14:textId="77777777" w:rsidR="001A7B07" w:rsidRPr="00766E13" w:rsidRDefault="003935F9">
      <w:pPr>
        <w:pStyle w:val="ListParagraph"/>
        <w:numPr>
          <w:ilvl w:val="1"/>
          <w:numId w:val="3"/>
        </w:numPr>
        <w:tabs>
          <w:tab w:val="left" w:pos="720"/>
        </w:tabs>
        <w:ind w:right="126"/>
        <w:rPr>
          <w:sz w:val="24"/>
          <w:lang w:val="es-AR"/>
        </w:rPr>
      </w:pPr>
      <w:r w:rsidRPr="00766E13">
        <w:rPr>
          <w:sz w:val="24"/>
          <w:lang w:val="es-AR"/>
        </w:rPr>
        <w:t>Presentas una demanda por negligencia profesional o presentas una queja ante una junta de licencias contra BHN o cualquiera de nuestros empleados.</w:t>
      </w:r>
    </w:p>
    <w:p w14:paraId="2CE38269" w14:textId="77777777" w:rsidR="001A7B07" w:rsidRPr="00766E13" w:rsidRDefault="003935F9">
      <w:pPr>
        <w:pStyle w:val="ListParagraph"/>
        <w:numPr>
          <w:ilvl w:val="0"/>
          <w:numId w:val="3"/>
        </w:numPr>
        <w:tabs>
          <w:tab w:val="left" w:pos="360"/>
        </w:tabs>
        <w:rPr>
          <w:sz w:val="24"/>
          <w:lang w:val="es-AR"/>
        </w:rPr>
      </w:pPr>
      <w:r w:rsidRPr="00766E13">
        <w:rPr>
          <w:sz w:val="24"/>
          <w:lang w:val="es-AR"/>
        </w:rPr>
        <w:t xml:space="preserve">Tu </w:t>
      </w:r>
      <w:r w:rsidRPr="00766E13">
        <w:rPr>
          <w:b/>
          <w:sz w:val="24"/>
          <w:lang w:val="es-AR"/>
        </w:rPr>
        <w:t xml:space="preserve">agente sanitario </w:t>
      </w:r>
      <w:r w:rsidRPr="00766E13">
        <w:rPr>
          <w:sz w:val="24"/>
          <w:lang w:val="es-AR"/>
        </w:rPr>
        <w:t>si es BHN ha recibido un poder médico válido de tu parte.</w:t>
      </w:r>
    </w:p>
    <w:p w14:paraId="2F0EAFEA" w14:textId="77777777" w:rsidR="001A7B07" w:rsidRPr="00766E13" w:rsidRDefault="003935F9">
      <w:pPr>
        <w:pStyle w:val="ListParagraph"/>
        <w:numPr>
          <w:ilvl w:val="0"/>
          <w:numId w:val="3"/>
        </w:numPr>
        <w:tabs>
          <w:tab w:val="left" w:pos="360"/>
        </w:tabs>
        <w:rPr>
          <w:sz w:val="24"/>
          <w:lang w:val="es-AR"/>
        </w:rPr>
      </w:pPr>
      <w:r w:rsidRPr="00766E13">
        <w:rPr>
          <w:sz w:val="24"/>
          <w:lang w:val="es-AR"/>
        </w:rPr>
        <w:t xml:space="preserve">Tu </w:t>
      </w:r>
      <w:r w:rsidRPr="00766E13">
        <w:rPr>
          <w:b/>
          <w:sz w:val="24"/>
          <w:lang w:val="es-AR"/>
        </w:rPr>
        <w:t xml:space="preserve">tutor o el monitor de medicación </w:t>
      </w:r>
      <w:r w:rsidRPr="00766E13">
        <w:rPr>
          <w:sz w:val="24"/>
          <w:lang w:val="es-AR"/>
        </w:rPr>
        <w:t>si uno ha sido designado por un tribunal.</w:t>
      </w:r>
    </w:p>
    <w:p w14:paraId="617F7F92" w14:textId="77777777" w:rsidR="001A7B07" w:rsidRPr="00766E13" w:rsidRDefault="001A7B07">
      <w:pPr>
        <w:pStyle w:val="ListParagraph"/>
        <w:rPr>
          <w:sz w:val="24"/>
          <w:lang w:val="es-AR"/>
        </w:rPr>
        <w:sectPr w:rsidR="001A7B07" w:rsidRPr="00766E13">
          <w:pgSz w:w="12240" w:h="15840"/>
          <w:pgMar w:top="1720" w:right="1440" w:bottom="1160" w:left="1440" w:header="720" w:footer="974" w:gutter="0"/>
          <w:cols w:space="720"/>
        </w:sectPr>
      </w:pPr>
    </w:p>
    <w:p w14:paraId="734DDC87" w14:textId="77777777" w:rsidR="001A7B07" w:rsidRPr="00766E13" w:rsidRDefault="003935F9">
      <w:pPr>
        <w:pStyle w:val="ListParagraph"/>
        <w:numPr>
          <w:ilvl w:val="0"/>
          <w:numId w:val="3"/>
        </w:numPr>
        <w:tabs>
          <w:tab w:val="left" w:pos="360"/>
        </w:tabs>
        <w:spacing w:before="80"/>
        <w:ind w:right="90"/>
        <w:rPr>
          <w:sz w:val="24"/>
          <w:lang w:val="es-AR"/>
        </w:rPr>
      </w:pPr>
      <w:r w:rsidRPr="00766E13">
        <w:rPr>
          <w:b/>
          <w:sz w:val="24"/>
          <w:lang w:val="es-AR"/>
        </w:rPr>
        <w:lastRenderedPageBreak/>
        <w:t xml:space="preserve">Personal de emergencias. </w:t>
      </w:r>
      <w:r w:rsidRPr="00766E13">
        <w:rPr>
          <w:sz w:val="24"/>
          <w:lang w:val="es-AR"/>
        </w:rPr>
        <w:t>BHN puede utilizar y divulgar tu información en una situación de emergencia, como a un técnico de emergencias médicas o personal de urgencias que atienda tu seguridad y necesidades médicas en la medida necesaria para prestarte atención de emergencia.</w:t>
      </w:r>
    </w:p>
    <w:p w14:paraId="0D1214BE" w14:textId="77777777" w:rsidR="001A7B07" w:rsidRPr="00766E13" w:rsidRDefault="003935F9">
      <w:pPr>
        <w:pStyle w:val="ListParagraph"/>
        <w:numPr>
          <w:ilvl w:val="0"/>
          <w:numId w:val="3"/>
        </w:numPr>
        <w:tabs>
          <w:tab w:val="left" w:pos="360"/>
        </w:tabs>
        <w:ind w:right="148"/>
        <w:rPr>
          <w:sz w:val="24"/>
          <w:lang w:val="es-AR"/>
        </w:rPr>
      </w:pPr>
      <w:r w:rsidRPr="00766E13">
        <w:rPr>
          <w:b/>
          <w:sz w:val="24"/>
          <w:lang w:val="es-AR"/>
        </w:rPr>
        <w:t xml:space="preserve">Investigadores. </w:t>
      </w:r>
      <w:r w:rsidRPr="00766E13">
        <w:rPr>
          <w:sz w:val="24"/>
          <w:lang w:val="es-AR"/>
        </w:rPr>
        <w:t>BHN puede divulgar tu información 'desidentificada' a los investigadores cuando su investigación haya sido aprobada por una Junta de Revisión Institucional o una junta de privacidad similar que haya revisado la propuesta de investigación y establecido protocolos para garantizar la privacidad de tu información.</w:t>
      </w:r>
    </w:p>
    <w:p w14:paraId="09B26D81" w14:textId="77777777" w:rsidR="001A7B07" w:rsidRPr="00766E13" w:rsidRDefault="003935F9">
      <w:pPr>
        <w:pStyle w:val="ListParagraph"/>
        <w:numPr>
          <w:ilvl w:val="0"/>
          <w:numId w:val="3"/>
        </w:numPr>
        <w:tabs>
          <w:tab w:val="left" w:pos="360"/>
        </w:tabs>
        <w:ind w:right="580"/>
        <w:rPr>
          <w:sz w:val="24"/>
          <w:lang w:val="es-AR"/>
        </w:rPr>
      </w:pPr>
      <w:r w:rsidRPr="00766E13">
        <w:rPr>
          <w:b/>
          <w:sz w:val="24"/>
          <w:lang w:val="es-AR"/>
        </w:rPr>
        <w:t xml:space="preserve">Autoridades de Salud Pública. </w:t>
      </w:r>
      <w:r w:rsidRPr="00766E13">
        <w:rPr>
          <w:sz w:val="24"/>
          <w:lang w:val="es-AR"/>
        </w:rPr>
        <w:t>BHN puede revelar información sobre ti según sea necesario para actividades de salud pública, incluidas las divulgaciones.</w:t>
      </w:r>
    </w:p>
    <w:p w14:paraId="1D1FB559" w14:textId="77777777" w:rsidR="001A7B07" w:rsidRPr="00766E13" w:rsidRDefault="003935F9">
      <w:pPr>
        <w:pStyle w:val="ListParagraph"/>
        <w:numPr>
          <w:ilvl w:val="0"/>
          <w:numId w:val="3"/>
        </w:numPr>
        <w:tabs>
          <w:tab w:val="left" w:pos="360"/>
        </w:tabs>
        <w:rPr>
          <w:sz w:val="24"/>
          <w:lang w:val="es-AR"/>
        </w:rPr>
      </w:pPr>
      <w:r w:rsidRPr="00766E13">
        <w:rPr>
          <w:b/>
          <w:sz w:val="24"/>
          <w:lang w:val="es-AR"/>
        </w:rPr>
        <w:t xml:space="preserve">Actividades de supervisión sanitaria. </w:t>
      </w:r>
      <w:r w:rsidRPr="00766E13">
        <w:rPr>
          <w:sz w:val="24"/>
          <w:lang w:val="es-AR"/>
        </w:rPr>
        <w:t>BHN puede divulgar información sobre ti a una agencia de supervisión sanitaria para actividades autorizadas por la ley. Las agencias de supervisión incluyen organismos gubernamentales que supervisan el sistema sanitario, programas de beneficios gubernamentales como Medicare o Medicaid, otros programas gubernamentales que regulan la sanidad y leyes de derechos civiles.</w:t>
      </w:r>
    </w:p>
    <w:p w14:paraId="647CD5BF" w14:textId="77777777" w:rsidR="001A7B07" w:rsidRPr="00766E13" w:rsidRDefault="003935F9">
      <w:pPr>
        <w:pStyle w:val="Heading1"/>
        <w:numPr>
          <w:ilvl w:val="0"/>
          <w:numId w:val="3"/>
        </w:numPr>
        <w:tabs>
          <w:tab w:val="left" w:pos="360"/>
        </w:tabs>
        <w:rPr>
          <w:b w:val="0"/>
          <w:lang w:val="es-AR"/>
        </w:rPr>
      </w:pPr>
      <w:r w:rsidRPr="00766E13">
        <w:rPr>
          <w:lang w:val="es-AR"/>
        </w:rPr>
        <w:t>Actividades de aplicación de la ley</w:t>
      </w:r>
      <w:r w:rsidRPr="00766E13">
        <w:rPr>
          <w:b w:val="0"/>
          <w:spacing w:val="-2"/>
          <w:lang w:val="es-AR"/>
        </w:rPr>
        <w:t>.</w:t>
      </w:r>
    </w:p>
    <w:p w14:paraId="2420E5FE" w14:textId="77777777" w:rsidR="001A7B07" w:rsidRPr="00766E13" w:rsidRDefault="003935F9">
      <w:pPr>
        <w:pStyle w:val="ListParagraph"/>
        <w:numPr>
          <w:ilvl w:val="1"/>
          <w:numId w:val="3"/>
        </w:numPr>
        <w:tabs>
          <w:tab w:val="left" w:pos="719"/>
        </w:tabs>
        <w:spacing w:before="41"/>
        <w:ind w:left="719" w:hanging="359"/>
        <w:rPr>
          <w:sz w:val="24"/>
          <w:lang w:val="es-AR"/>
        </w:rPr>
      </w:pPr>
      <w:r w:rsidRPr="00766E13">
        <w:rPr>
          <w:sz w:val="24"/>
          <w:lang w:val="es-AR"/>
        </w:rPr>
        <w:t>Cuando la información se proporciona en respuesta a una orden judicial;</w:t>
      </w:r>
    </w:p>
    <w:p w14:paraId="1D240071" w14:textId="77777777" w:rsidR="001A7B07" w:rsidRPr="00766E13" w:rsidRDefault="003935F9">
      <w:pPr>
        <w:pStyle w:val="ListParagraph"/>
        <w:numPr>
          <w:ilvl w:val="1"/>
          <w:numId w:val="3"/>
        </w:numPr>
        <w:tabs>
          <w:tab w:val="left" w:pos="720"/>
        </w:tabs>
        <w:ind w:right="910"/>
        <w:rPr>
          <w:sz w:val="24"/>
          <w:lang w:val="es-AR"/>
        </w:rPr>
      </w:pPr>
      <w:r w:rsidRPr="00766E13">
        <w:rPr>
          <w:sz w:val="24"/>
          <w:lang w:val="es-AR"/>
        </w:rPr>
        <w:t>BHN determina que el propósito de las fuerzas del orden es responder ante una amenaza de una actividad inminentemente peligrosa por parte de ti mismo o de otra persona;</w:t>
      </w:r>
    </w:p>
    <w:p w14:paraId="0931A740" w14:textId="77777777" w:rsidR="001A7B07" w:rsidRPr="00766E13" w:rsidRDefault="003935F9">
      <w:pPr>
        <w:pStyle w:val="ListParagraph"/>
        <w:numPr>
          <w:ilvl w:val="1"/>
          <w:numId w:val="3"/>
        </w:numPr>
        <w:tabs>
          <w:tab w:val="left" w:pos="720"/>
        </w:tabs>
        <w:ind w:right="345"/>
        <w:rPr>
          <w:sz w:val="24"/>
          <w:lang w:val="es-AR"/>
        </w:rPr>
      </w:pPr>
      <w:r w:rsidRPr="00766E13">
        <w:rPr>
          <w:sz w:val="24"/>
          <w:lang w:val="es-AR"/>
        </w:rPr>
        <w:t>BHN también puede revelar información sobre ti si eres víctima de un delito y BHN determina que la divulgación es lo mejor para ti;</w:t>
      </w:r>
    </w:p>
    <w:p w14:paraId="50E9FE91" w14:textId="77777777" w:rsidR="001A7B07" w:rsidRPr="00766E13" w:rsidRDefault="003935F9">
      <w:pPr>
        <w:pStyle w:val="ListParagraph"/>
        <w:numPr>
          <w:ilvl w:val="1"/>
          <w:numId w:val="3"/>
        </w:numPr>
        <w:tabs>
          <w:tab w:val="left" w:pos="719"/>
        </w:tabs>
        <w:ind w:left="719" w:hanging="359"/>
        <w:rPr>
          <w:sz w:val="24"/>
          <w:lang w:val="es-AR"/>
        </w:rPr>
      </w:pPr>
      <w:r w:rsidRPr="00766E13">
        <w:rPr>
          <w:sz w:val="24"/>
          <w:lang w:val="es-AR"/>
        </w:rPr>
        <w:t>La notificación es necesaria para responder ante un peligro serio para ti o para otros.</w:t>
      </w:r>
    </w:p>
    <w:p w14:paraId="3BD7E2FB" w14:textId="77777777" w:rsidR="001A7B07" w:rsidRPr="00766E13" w:rsidRDefault="003935F9">
      <w:pPr>
        <w:pStyle w:val="ListParagraph"/>
        <w:numPr>
          <w:ilvl w:val="1"/>
          <w:numId w:val="3"/>
        </w:numPr>
        <w:tabs>
          <w:tab w:val="left" w:pos="719"/>
        </w:tabs>
        <w:ind w:left="719" w:hanging="359"/>
        <w:rPr>
          <w:sz w:val="24"/>
          <w:lang w:val="es-AR"/>
        </w:rPr>
      </w:pPr>
      <w:r w:rsidRPr="00766E13">
        <w:rPr>
          <w:sz w:val="24"/>
          <w:lang w:val="es-AR"/>
        </w:rPr>
        <w:t>La divulgación es obligatoria por ley</w:t>
      </w:r>
    </w:p>
    <w:p w14:paraId="642B9D02" w14:textId="77777777" w:rsidR="001A7B07" w:rsidRPr="00766E13" w:rsidRDefault="003935F9">
      <w:pPr>
        <w:pStyle w:val="ListParagraph"/>
        <w:numPr>
          <w:ilvl w:val="0"/>
          <w:numId w:val="3"/>
        </w:numPr>
        <w:tabs>
          <w:tab w:val="left" w:pos="360"/>
        </w:tabs>
        <w:ind w:right="544"/>
        <w:jc w:val="both"/>
        <w:rPr>
          <w:sz w:val="24"/>
          <w:lang w:val="es-AR"/>
        </w:rPr>
      </w:pPr>
      <w:r w:rsidRPr="00766E13">
        <w:rPr>
          <w:b/>
          <w:sz w:val="24"/>
          <w:lang w:val="es-AR"/>
        </w:rPr>
        <w:t xml:space="preserve">Forenses. </w:t>
      </w:r>
      <w:r w:rsidRPr="00766E13">
        <w:rPr>
          <w:sz w:val="24"/>
          <w:lang w:val="es-AR"/>
        </w:rPr>
        <w:t>BHN puede proporcionar información sobre ti a un forense. Los forenses son designados por ley para ayudar a identificar a las personas fallecidas y determinar la causa de la muerte en determinadas circunstancias.</w:t>
      </w:r>
    </w:p>
    <w:p w14:paraId="78335028" w14:textId="77777777" w:rsidR="001A7B07" w:rsidRPr="00766E13" w:rsidRDefault="003935F9">
      <w:pPr>
        <w:pStyle w:val="ListParagraph"/>
        <w:numPr>
          <w:ilvl w:val="0"/>
          <w:numId w:val="3"/>
        </w:numPr>
        <w:tabs>
          <w:tab w:val="left" w:pos="360"/>
        </w:tabs>
        <w:ind w:right="299"/>
        <w:rPr>
          <w:sz w:val="24"/>
          <w:lang w:val="es-AR"/>
        </w:rPr>
      </w:pPr>
      <w:r w:rsidRPr="00766E13">
        <w:rPr>
          <w:b/>
          <w:sz w:val="24"/>
          <w:lang w:val="es-AR"/>
        </w:rPr>
        <w:t xml:space="preserve">Autoridades Militares y de Veteranos. </w:t>
      </w:r>
      <w:r w:rsidRPr="00766E13">
        <w:rPr>
          <w:sz w:val="24"/>
          <w:lang w:val="es-AR"/>
        </w:rPr>
        <w:t>Si eres miembro de las fuerzas armadas, BHN puede divulgar tu información según lo requieran las autoridades militares o de veteranos. BHN también puede divulgar tu información con el fin de determinar tu elegibilidad para los beneficios proporcionados por el Departamento de Asuntos de Veteranos. Por último, si eres miembro de un servicio militar extranjero, BHN puede revelar tu información a esa autoridad militar extranjera.</w:t>
      </w:r>
    </w:p>
    <w:p w14:paraId="63970717" w14:textId="77777777" w:rsidR="001A7B07" w:rsidRPr="00766E13" w:rsidRDefault="003935F9">
      <w:pPr>
        <w:pStyle w:val="ListParagraph"/>
        <w:numPr>
          <w:ilvl w:val="0"/>
          <w:numId w:val="3"/>
        </w:numPr>
        <w:tabs>
          <w:tab w:val="left" w:pos="360"/>
        </w:tabs>
        <w:spacing w:before="1"/>
        <w:ind w:right="81"/>
        <w:rPr>
          <w:sz w:val="24"/>
          <w:lang w:val="es-AR"/>
        </w:rPr>
      </w:pPr>
      <w:r w:rsidRPr="00766E13">
        <w:rPr>
          <w:b/>
          <w:sz w:val="24"/>
          <w:lang w:val="es-AR"/>
        </w:rPr>
        <w:t xml:space="preserve">Servicios de Seguridad Nacional y Protección para el Presidente y otros. </w:t>
      </w:r>
      <w:r w:rsidRPr="00766E13">
        <w:rPr>
          <w:sz w:val="24"/>
          <w:lang w:val="es-AR"/>
        </w:rPr>
        <w:t>BHN puede divulgar información médica suya a funcionarios federales autorizados para actividades de inteligencia, contrainteligencia y otras actividades de seguridad nacional autorizadas por la ley. BHN también puede divulgar información sobre usted a funcionarios federales autorizados para que puedan proteger al Presidente, otras personas autorizadas o jefes de Estado extranjeros, o para que realicen investigaciones especiales.</w:t>
      </w:r>
    </w:p>
    <w:p w14:paraId="33F7E13C" w14:textId="77777777" w:rsidR="001A7B07" w:rsidRPr="00766E13" w:rsidRDefault="003935F9">
      <w:pPr>
        <w:pStyle w:val="ListParagraph"/>
        <w:numPr>
          <w:ilvl w:val="0"/>
          <w:numId w:val="3"/>
        </w:numPr>
        <w:tabs>
          <w:tab w:val="left" w:pos="360"/>
        </w:tabs>
        <w:ind w:right="464"/>
        <w:rPr>
          <w:sz w:val="24"/>
          <w:lang w:val="es-AR"/>
        </w:rPr>
      </w:pPr>
      <w:r w:rsidRPr="00766E13">
        <w:rPr>
          <w:b/>
          <w:sz w:val="24"/>
          <w:lang w:val="es-AR"/>
        </w:rPr>
        <w:t xml:space="preserve">Instituciones correccionales. </w:t>
      </w:r>
      <w:r w:rsidRPr="00766E13">
        <w:rPr>
          <w:sz w:val="24"/>
          <w:lang w:val="es-AR"/>
        </w:rPr>
        <w:t>Si eres recluso de una institución correccional o bajo la custodia de un agente de la ley, BHN puede revelar información sobre ti a la institución correccional o a un funcionario de la ley.</w:t>
      </w:r>
    </w:p>
    <w:p w14:paraId="47889982" w14:textId="77777777" w:rsidR="001A7B07" w:rsidRPr="00766E13" w:rsidRDefault="003935F9">
      <w:pPr>
        <w:pStyle w:val="ListParagraph"/>
        <w:numPr>
          <w:ilvl w:val="0"/>
          <w:numId w:val="3"/>
        </w:numPr>
        <w:tabs>
          <w:tab w:val="left" w:pos="360"/>
        </w:tabs>
        <w:spacing w:before="1"/>
        <w:ind w:right="123"/>
        <w:rPr>
          <w:sz w:val="24"/>
          <w:lang w:val="es-AR"/>
        </w:rPr>
      </w:pPr>
      <w:r w:rsidRPr="00766E13">
        <w:rPr>
          <w:b/>
          <w:sz w:val="24"/>
          <w:lang w:val="es-AR"/>
        </w:rPr>
        <w:t xml:space="preserve">Compensación de Trabajadores. </w:t>
      </w:r>
      <w:r w:rsidRPr="00766E13">
        <w:rPr>
          <w:sz w:val="24"/>
          <w:lang w:val="es-AR"/>
        </w:rPr>
        <w:t>BHN puede revelar información sobre usted para cumplir con las Leyes de Compensación Laboral. Estas divulgaciones suelen hacerse solo cuando BHN haya recibido una orden judicial o, en ocasiones, cuando BHN haya recibido una citación para obtener la información.</w:t>
      </w:r>
    </w:p>
    <w:p w14:paraId="5E75DA7B" w14:textId="77777777" w:rsidR="001A7B07" w:rsidRPr="00766E13" w:rsidRDefault="001A7B07">
      <w:pPr>
        <w:pStyle w:val="ListParagraph"/>
        <w:rPr>
          <w:sz w:val="24"/>
          <w:lang w:val="es-AR"/>
        </w:rPr>
        <w:sectPr w:rsidR="001A7B07" w:rsidRPr="00766E13">
          <w:pgSz w:w="12240" w:h="15840"/>
          <w:pgMar w:top="1720" w:right="1440" w:bottom="1160" w:left="1440" w:header="720" w:footer="974" w:gutter="0"/>
          <w:cols w:space="720"/>
        </w:sectPr>
      </w:pPr>
    </w:p>
    <w:p w14:paraId="6A4B7ABF" w14:textId="77777777" w:rsidR="001A7B07" w:rsidRPr="00766E13" w:rsidRDefault="003935F9">
      <w:pPr>
        <w:pStyle w:val="Heading1"/>
        <w:spacing w:before="84"/>
        <w:rPr>
          <w:lang w:val="es-AR"/>
        </w:rPr>
      </w:pPr>
      <w:r w:rsidRPr="00766E13">
        <w:rPr>
          <w:color w:val="365F91"/>
          <w:lang w:val="es-AR"/>
        </w:rPr>
        <w:lastRenderedPageBreak/>
        <w:t>Tus derechos respecto a tu información</w:t>
      </w:r>
    </w:p>
    <w:p w14:paraId="6CB0D7F6" w14:textId="77777777" w:rsidR="001A7B07" w:rsidRPr="00766E13" w:rsidRDefault="003935F9">
      <w:pPr>
        <w:pStyle w:val="ListParagraph"/>
        <w:numPr>
          <w:ilvl w:val="0"/>
          <w:numId w:val="2"/>
        </w:numPr>
        <w:tabs>
          <w:tab w:val="left" w:pos="352"/>
        </w:tabs>
        <w:spacing w:before="226"/>
        <w:ind w:left="352" w:hanging="352"/>
        <w:rPr>
          <w:b/>
          <w:sz w:val="24"/>
          <w:lang w:val="es-AR"/>
        </w:rPr>
      </w:pPr>
      <w:r w:rsidRPr="00766E13">
        <w:rPr>
          <w:b/>
          <w:sz w:val="24"/>
          <w:lang w:val="es-AR"/>
        </w:rPr>
        <w:t>Derecho a inspeccionar y una copia del expediente.</w:t>
      </w:r>
    </w:p>
    <w:p w14:paraId="5759EBC1" w14:textId="77777777" w:rsidR="001A7B07" w:rsidRPr="00766E13" w:rsidRDefault="003935F9">
      <w:pPr>
        <w:pStyle w:val="BodyText"/>
        <w:rPr>
          <w:lang w:val="es-AR"/>
        </w:rPr>
      </w:pPr>
      <w:r w:rsidRPr="00766E13">
        <w:rPr>
          <w:lang w:val="es-AR"/>
        </w:rPr>
        <w:t xml:space="preserve">Tienes derecho a solicitar la oportunidad de inspeccionar o copiar la información utilizada para tomar decisiones sobre tu cuidado o el pago de tu atención. Normalmente, esto incluye los registros clínicos y de facturación. Debes presentar tu solicitud por escrito al 'Guardián de Registros' donde recibes los servicios. Puedes utilizar el </w:t>
      </w:r>
      <w:r w:rsidRPr="00766E13">
        <w:rPr>
          <w:b/>
          <w:i/>
          <w:lang w:val="es-AR"/>
        </w:rPr>
        <w:t xml:space="preserve">formulario de Solicitud de Registros </w:t>
      </w:r>
      <w:r w:rsidRPr="00766E13">
        <w:rPr>
          <w:lang w:val="es-AR"/>
        </w:rPr>
        <w:t xml:space="preserve">para este propósito. (Esto </w:t>
      </w:r>
      <w:r w:rsidRPr="00766E13">
        <w:rPr>
          <w:b/>
          <w:i/>
          <w:lang w:val="es-AR"/>
        </w:rPr>
        <w:t xml:space="preserve">Los formularios de solicitud de registros </w:t>
      </w:r>
      <w:r w:rsidRPr="00766E13">
        <w:rPr>
          <w:lang w:val="es-AR"/>
        </w:rPr>
        <w:t>, y otros identificados más adelante en este documento, deberían estar disponibles por el personal de BHN.) BHN puede cobrar una tarifa por el coste de copia, envío y suministros asociados a tu solicitud.</w:t>
      </w:r>
    </w:p>
    <w:p w14:paraId="2FB640D4" w14:textId="77777777" w:rsidR="001A7B07" w:rsidRPr="00766E13" w:rsidRDefault="001A7B07">
      <w:pPr>
        <w:pStyle w:val="BodyText"/>
        <w:rPr>
          <w:lang w:val="es-AR"/>
        </w:rPr>
      </w:pPr>
    </w:p>
    <w:p w14:paraId="7DE1C633" w14:textId="77777777" w:rsidR="001A7B07" w:rsidRPr="00766E13" w:rsidRDefault="003935F9">
      <w:pPr>
        <w:pStyle w:val="BodyText"/>
        <w:ind w:right="80"/>
        <w:rPr>
          <w:lang w:val="es-AR"/>
        </w:rPr>
      </w:pPr>
      <w:r w:rsidRPr="00766E13">
        <w:rPr>
          <w:lang w:val="es-AR"/>
        </w:rPr>
        <w:t>BHN puede denegar tu solicitud para inspeccionar o copiar tu información en ciertas circunstancias limitadas. En algunos casos, tendrás derecho a que la denegación sea revisada por un profesional sanitario autorizado que no haya participado directamente en la decisión original de denegar el acceso. BHN te informará por escrito si la denegación de tu solicitud será revisada. Una vez finalizada la revisión, BHN respetará la decisión tomada por el revisor profesional sanitario autorizado.</w:t>
      </w:r>
    </w:p>
    <w:p w14:paraId="597D93C7" w14:textId="77777777" w:rsidR="001A7B07" w:rsidRPr="00766E13" w:rsidRDefault="001A7B07">
      <w:pPr>
        <w:pStyle w:val="BodyText"/>
        <w:spacing w:before="1"/>
        <w:rPr>
          <w:lang w:val="es-AR"/>
        </w:rPr>
      </w:pPr>
    </w:p>
    <w:p w14:paraId="419B1FDF" w14:textId="77777777" w:rsidR="001A7B07" w:rsidRDefault="003935F9">
      <w:pPr>
        <w:pStyle w:val="Heading1"/>
        <w:numPr>
          <w:ilvl w:val="0"/>
          <w:numId w:val="2"/>
        </w:numPr>
        <w:tabs>
          <w:tab w:val="left" w:pos="338"/>
        </w:tabs>
        <w:ind w:left="338" w:hanging="338"/>
      </w:pPr>
      <w:r>
        <w:t>Derecho a enmendar.</w:t>
      </w:r>
    </w:p>
    <w:p w14:paraId="77227B09" w14:textId="77777777" w:rsidR="001A7B07" w:rsidRPr="00766E13" w:rsidRDefault="003935F9">
      <w:pPr>
        <w:pStyle w:val="BodyText"/>
        <w:rPr>
          <w:lang w:val="es-AR"/>
        </w:rPr>
      </w:pPr>
      <w:r w:rsidRPr="00766E13">
        <w:rPr>
          <w:lang w:val="es-AR"/>
        </w:rPr>
        <w:t xml:space="preserve">Mientras BHN mantenga registros sobre ti, tienes derecho a solicitar que BHN modifique cualquier información errónea utilizada para tomar decisiones sobre tu atención, ya sean decisiones sobre tu tratamiento o sobre el pago de tu atención. Normalmente, esto incluye los registros clínicos y de facturación. Para solicitar una enmienda, debe presentar una solicitud por escrito al Encargado de Registros en BHN, 417 Liberty Street, Springfield, MA 01104 y decirnos por qué cree que la información es incorrecta o inexacta. Puedes utilizar el </w:t>
      </w:r>
      <w:r w:rsidRPr="00766E13">
        <w:rPr>
          <w:b/>
          <w:i/>
          <w:lang w:val="es-AR"/>
        </w:rPr>
        <w:t xml:space="preserve"> formulario de Enmienda para Expediente</w:t>
      </w:r>
      <w:r w:rsidRPr="00766E13">
        <w:rPr>
          <w:lang w:val="es-AR"/>
        </w:rPr>
        <w:t>.</w:t>
      </w:r>
    </w:p>
    <w:p w14:paraId="00D6FDFC" w14:textId="77777777" w:rsidR="001A7B07" w:rsidRPr="00766E13" w:rsidRDefault="001A7B07">
      <w:pPr>
        <w:pStyle w:val="BodyText"/>
        <w:rPr>
          <w:lang w:val="es-AR"/>
        </w:rPr>
      </w:pPr>
    </w:p>
    <w:p w14:paraId="52DA6DCF" w14:textId="77777777" w:rsidR="001A7B07" w:rsidRPr="00766E13" w:rsidRDefault="003935F9">
      <w:pPr>
        <w:pStyle w:val="BodyText"/>
        <w:ind w:right="64"/>
        <w:rPr>
          <w:lang w:val="es-AR"/>
        </w:rPr>
      </w:pPr>
      <w:r w:rsidRPr="00766E13">
        <w:rPr>
          <w:lang w:val="es-AR"/>
        </w:rPr>
        <w:t>BHN puede denegar tu solicitud de enmienda si no es por escrito o no incluye una razón para apoyarla. BHN también puede denegar su solicitud si nos pide que modifiquemos información que:</w:t>
      </w:r>
    </w:p>
    <w:p w14:paraId="20B3800F" w14:textId="77777777" w:rsidR="001A7B07" w:rsidRPr="00766E13" w:rsidRDefault="003935F9">
      <w:pPr>
        <w:pStyle w:val="ListParagraph"/>
        <w:numPr>
          <w:ilvl w:val="1"/>
          <w:numId w:val="2"/>
        </w:numPr>
        <w:tabs>
          <w:tab w:val="left" w:pos="659"/>
        </w:tabs>
        <w:spacing w:before="1"/>
        <w:ind w:left="659" w:hanging="359"/>
        <w:rPr>
          <w:sz w:val="24"/>
          <w:lang w:val="es-AR"/>
        </w:rPr>
      </w:pPr>
      <w:r w:rsidRPr="00766E13">
        <w:rPr>
          <w:sz w:val="24"/>
          <w:lang w:val="es-AR"/>
        </w:rPr>
        <w:t>No fue creado por nosotros;</w:t>
      </w:r>
    </w:p>
    <w:p w14:paraId="214486EF" w14:textId="77777777" w:rsidR="001A7B07" w:rsidRPr="00766E13" w:rsidRDefault="003935F9">
      <w:pPr>
        <w:pStyle w:val="ListParagraph"/>
        <w:numPr>
          <w:ilvl w:val="1"/>
          <w:numId w:val="2"/>
        </w:numPr>
        <w:tabs>
          <w:tab w:val="left" w:pos="659"/>
        </w:tabs>
        <w:spacing w:line="275" w:lineRule="exact"/>
        <w:ind w:left="659" w:hanging="359"/>
        <w:rPr>
          <w:sz w:val="24"/>
          <w:lang w:val="es-AR"/>
        </w:rPr>
      </w:pPr>
      <w:r w:rsidRPr="00766E13">
        <w:rPr>
          <w:sz w:val="24"/>
          <w:lang w:val="es-AR"/>
        </w:rPr>
        <w:t>No forma parte de la información que BHN mantiene para tomar decisiones sobre tu cuidado;</w:t>
      </w:r>
    </w:p>
    <w:p w14:paraId="5CF93D3D" w14:textId="77777777" w:rsidR="001A7B07" w:rsidRPr="00766E13" w:rsidRDefault="003935F9">
      <w:pPr>
        <w:pStyle w:val="ListParagraph"/>
        <w:numPr>
          <w:ilvl w:val="1"/>
          <w:numId w:val="2"/>
        </w:numPr>
        <w:tabs>
          <w:tab w:val="left" w:pos="659"/>
        </w:tabs>
        <w:spacing w:line="275" w:lineRule="exact"/>
        <w:ind w:left="659" w:hanging="359"/>
        <w:rPr>
          <w:sz w:val="24"/>
          <w:lang w:val="es-AR"/>
        </w:rPr>
      </w:pPr>
      <w:r w:rsidRPr="00766E13">
        <w:rPr>
          <w:sz w:val="24"/>
          <w:lang w:val="es-AR"/>
        </w:rPr>
        <w:t>No forma parte de la información que se te permitiría inspeccionar o copiar; o</w:t>
      </w:r>
    </w:p>
    <w:p w14:paraId="60AF32C3" w14:textId="77777777" w:rsidR="001A7B07" w:rsidRDefault="003935F9">
      <w:pPr>
        <w:pStyle w:val="ListParagraph"/>
        <w:numPr>
          <w:ilvl w:val="1"/>
          <w:numId w:val="2"/>
        </w:numPr>
        <w:tabs>
          <w:tab w:val="left" w:pos="659"/>
        </w:tabs>
        <w:ind w:left="659" w:hanging="359"/>
        <w:rPr>
          <w:sz w:val="24"/>
        </w:rPr>
      </w:pPr>
      <w:r>
        <w:rPr>
          <w:sz w:val="24"/>
        </w:rPr>
        <w:t>Es precisa y completa.</w:t>
      </w:r>
    </w:p>
    <w:p w14:paraId="3C3B485E" w14:textId="77777777" w:rsidR="001A7B07" w:rsidRPr="00766E13" w:rsidRDefault="003935F9">
      <w:pPr>
        <w:pStyle w:val="BodyText"/>
        <w:spacing w:before="276"/>
        <w:rPr>
          <w:lang w:val="es-AR"/>
        </w:rPr>
      </w:pPr>
      <w:r w:rsidRPr="00766E13">
        <w:rPr>
          <w:lang w:val="es-AR"/>
        </w:rPr>
        <w:t>Si BHN denega tu solicitud de enmienda, BHN te enviará un aviso escrito de la denegación en el que expondrá la base y te ofrecerá la oportunidad de presentar una declaración por escrito en desacuerdo con la denegación. Si no desea preparar una declaración escrita de desacuerdo, puede solicitar que la enmienda solicitada y nuestra denegación se adjunten a todas las futuras divulgaciones de la información objeto de su solicitud.</w:t>
      </w:r>
    </w:p>
    <w:p w14:paraId="49541CB5" w14:textId="77777777" w:rsidR="001A7B07" w:rsidRPr="00766E13" w:rsidRDefault="001A7B07">
      <w:pPr>
        <w:pStyle w:val="BodyText"/>
        <w:rPr>
          <w:lang w:val="es-AR"/>
        </w:rPr>
      </w:pPr>
    </w:p>
    <w:p w14:paraId="3ADE2E6F" w14:textId="77777777" w:rsidR="001A7B07" w:rsidRPr="00766E13" w:rsidRDefault="003935F9">
      <w:pPr>
        <w:pStyle w:val="BodyText"/>
        <w:ind w:right="64"/>
        <w:rPr>
          <w:lang w:val="es-AR"/>
        </w:rPr>
      </w:pPr>
      <w:r w:rsidRPr="00766E13">
        <w:rPr>
          <w:lang w:val="es-AR"/>
        </w:rPr>
        <w:t>Si decides presentar una declaración escrita de desacuerdo, BHN tiene derecho a preparar una réplica escrita a tu declaración de desacuerdo. En este caso, BHN adjuntará la solicitud por escrito y la refutación (así como la solicitud y denegación originales) a todas las futuras divulgaciones de la información que sea objeto de tu solicitud.</w:t>
      </w:r>
    </w:p>
    <w:p w14:paraId="78A83AA1" w14:textId="77777777" w:rsidR="001A7B07" w:rsidRPr="00766E13" w:rsidRDefault="001A7B07">
      <w:pPr>
        <w:pStyle w:val="BodyText"/>
        <w:rPr>
          <w:lang w:val="es-AR"/>
        </w:rPr>
        <w:sectPr w:rsidR="001A7B07" w:rsidRPr="00766E13">
          <w:pgSz w:w="12240" w:h="15840"/>
          <w:pgMar w:top="1720" w:right="1440" w:bottom="1160" w:left="1440" w:header="720" w:footer="974" w:gutter="0"/>
          <w:cols w:space="720"/>
        </w:sectPr>
      </w:pPr>
    </w:p>
    <w:p w14:paraId="68DE1850" w14:textId="77777777" w:rsidR="001A7B07" w:rsidRPr="00766E13" w:rsidRDefault="001A7B07">
      <w:pPr>
        <w:pStyle w:val="BodyText"/>
        <w:rPr>
          <w:lang w:val="es-AR"/>
        </w:rPr>
      </w:pPr>
    </w:p>
    <w:p w14:paraId="2B57AF92" w14:textId="77777777" w:rsidR="001A7B07" w:rsidRPr="00766E13" w:rsidRDefault="001A7B07">
      <w:pPr>
        <w:pStyle w:val="BodyText"/>
        <w:spacing w:before="79"/>
        <w:rPr>
          <w:lang w:val="es-AR"/>
        </w:rPr>
      </w:pPr>
    </w:p>
    <w:p w14:paraId="5DF74D34" w14:textId="77777777" w:rsidR="001A7B07" w:rsidRPr="00766E13" w:rsidRDefault="003935F9">
      <w:pPr>
        <w:pStyle w:val="Heading1"/>
        <w:numPr>
          <w:ilvl w:val="0"/>
          <w:numId w:val="2"/>
        </w:numPr>
        <w:tabs>
          <w:tab w:val="left" w:pos="340"/>
        </w:tabs>
        <w:spacing w:before="1"/>
        <w:ind w:left="340" w:hanging="340"/>
        <w:rPr>
          <w:lang w:val="es-AR"/>
        </w:rPr>
      </w:pPr>
      <w:r w:rsidRPr="00766E13">
        <w:rPr>
          <w:lang w:val="es-AR"/>
        </w:rPr>
        <w:t>Derecho a un Registro de Divulgaciones.</w:t>
      </w:r>
    </w:p>
    <w:p w14:paraId="7359A392" w14:textId="77777777" w:rsidR="001A7B07" w:rsidRPr="00766E13" w:rsidRDefault="003935F9">
      <w:pPr>
        <w:pStyle w:val="BodyText"/>
        <w:rPr>
          <w:lang w:val="es-AR"/>
        </w:rPr>
      </w:pPr>
      <w:r w:rsidRPr="00766E13">
        <w:rPr>
          <w:lang w:val="es-AR"/>
        </w:rPr>
        <w:t>Tienes derecho a solicitar que BHN te proporcione una contabilidad, o lista, de las divulgaciones que BHN haya hecho de tu información a entidades ajenas a BHN. Esta lista no incluirá la divulgación de tu información dentro de BHN.</w:t>
      </w:r>
    </w:p>
    <w:p w14:paraId="50E51684" w14:textId="77777777" w:rsidR="001A7B07" w:rsidRPr="00766E13" w:rsidRDefault="003935F9">
      <w:pPr>
        <w:pStyle w:val="BodyText"/>
        <w:spacing w:before="276"/>
        <w:ind w:right="27"/>
        <w:rPr>
          <w:lang w:val="es-AR"/>
        </w:rPr>
      </w:pPr>
      <w:r w:rsidRPr="00766E13">
        <w:rPr>
          <w:lang w:val="es-AR"/>
        </w:rPr>
        <w:t xml:space="preserve">Para solicitar un registro de las divulgaciones, debe presentar su solicitud por escrito al Guardián de Registros en el lugar donde recibe los servicios. Puedes presentar tu solicitud en un formulario llamado </w:t>
      </w:r>
      <w:r w:rsidRPr="00766E13">
        <w:rPr>
          <w:b/>
          <w:i/>
          <w:lang w:val="es-AR"/>
        </w:rPr>
        <w:t>Solicitud de Contabilidad</w:t>
      </w:r>
      <w:r w:rsidRPr="00766E13">
        <w:rPr>
          <w:lang w:val="es-AR"/>
        </w:rPr>
        <w:t>. La primera contabilidad que solicites en un periodo de 12 meses será gratuita. Para solicitudes adicionales durante el mismo periodo de 12 meses, BHN puede cobrarte los costes de proporcionar la contabilidad.</w:t>
      </w:r>
    </w:p>
    <w:p w14:paraId="7F9DB72B" w14:textId="77777777" w:rsidR="001A7B07" w:rsidRPr="00766E13" w:rsidRDefault="001A7B07">
      <w:pPr>
        <w:pStyle w:val="BodyText"/>
        <w:rPr>
          <w:lang w:val="es-AR"/>
        </w:rPr>
      </w:pPr>
    </w:p>
    <w:p w14:paraId="6088D811" w14:textId="77777777" w:rsidR="001A7B07" w:rsidRDefault="003935F9">
      <w:pPr>
        <w:pStyle w:val="Heading1"/>
        <w:numPr>
          <w:ilvl w:val="0"/>
          <w:numId w:val="2"/>
        </w:numPr>
        <w:tabs>
          <w:tab w:val="left" w:pos="352"/>
        </w:tabs>
        <w:ind w:left="352" w:hanging="352"/>
      </w:pPr>
      <w:r>
        <w:t>Derecho a solicitar restricciones.</w:t>
      </w:r>
    </w:p>
    <w:p w14:paraId="7CD5F04B" w14:textId="77777777" w:rsidR="001A7B07" w:rsidRPr="00766E13" w:rsidRDefault="003935F9">
      <w:pPr>
        <w:pStyle w:val="BodyText"/>
        <w:rPr>
          <w:lang w:val="es-AR"/>
        </w:rPr>
      </w:pPr>
      <w:r w:rsidRPr="00766E13">
        <w:rPr>
          <w:lang w:val="es-AR"/>
        </w:rPr>
        <w:t xml:space="preserve">Tienes derecho a solicitar una restricción sobre la información que BHN utiliza o divulga sobre ti. BHN aceptará esta solicitud si la divulgación es para realizar pagos u operaciones sanitarias, no es obligatoria </w:t>
      </w:r>
      <w:r w:rsidRPr="00766E13">
        <w:rPr>
          <w:b/>
          <w:i/>
          <w:lang w:val="es-AR"/>
        </w:rPr>
        <w:t xml:space="preserve">por ley y </w:t>
      </w:r>
      <w:r w:rsidRPr="00766E13">
        <w:rPr>
          <w:lang w:val="es-AR"/>
        </w:rPr>
        <w:t>la información solo se refiere a un servicio por el que la persona ha pagado íntegramente por el servicio.</w:t>
      </w:r>
    </w:p>
    <w:p w14:paraId="36707192" w14:textId="77777777" w:rsidR="001A7B07" w:rsidRPr="00766E13" w:rsidRDefault="001A7B07">
      <w:pPr>
        <w:pStyle w:val="BodyText"/>
        <w:rPr>
          <w:lang w:val="es-AR"/>
        </w:rPr>
      </w:pPr>
    </w:p>
    <w:p w14:paraId="12C1BF7D" w14:textId="77777777" w:rsidR="001A7B07" w:rsidRPr="00766E13" w:rsidRDefault="003935F9">
      <w:pPr>
        <w:pStyle w:val="BodyText"/>
        <w:spacing w:before="1"/>
        <w:rPr>
          <w:lang w:val="es-AR"/>
        </w:rPr>
      </w:pPr>
      <w:r w:rsidRPr="00766E13">
        <w:rPr>
          <w:lang w:val="es-AR"/>
        </w:rPr>
        <w:t>También puede solicitar que no se divulgue ninguna o todas las partes de su información a familiares o amigos que puedan estar involucrados en su cuidado o para fines de notificación, tal y como se describe en este documento de Prácticas de Privacidad.</w:t>
      </w:r>
    </w:p>
    <w:p w14:paraId="2DDBE2E5" w14:textId="77777777" w:rsidR="001A7B07" w:rsidRPr="00766E13" w:rsidRDefault="003935F9">
      <w:pPr>
        <w:pStyle w:val="BodyText"/>
        <w:spacing w:before="276"/>
        <w:ind w:right="80"/>
        <w:rPr>
          <w:lang w:val="es-AR"/>
        </w:rPr>
      </w:pPr>
      <w:r w:rsidRPr="00766E13">
        <w:rPr>
          <w:lang w:val="es-AR"/>
        </w:rPr>
        <w:t xml:space="preserve">Para obtener una restricción de información, necesitas presentar una solicitud por escrito al Director del Programa en tu centro. El Director del Programa le pedirá que rellene un </w:t>
      </w:r>
      <w:r w:rsidRPr="00766E13">
        <w:rPr>
          <w:b/>
          <w:i/>
          <w:lang w:val="es-AR"/>
        </w:rPr>
        <w:t>Formulario de Solicitud de Restricción</w:t>
      </w:r>
      <w:r w:rsidRPr="00766E13">
        <w:rPr>
          <w:lang w:val="es-AR"/>
        </w:rPr>
        <w:t>, que deberá completar y devolver al Director del Programa. El Director del Programa solicitará la aprobación final del Director Clínico. BHN no está obligado a aceptar una restricción que puedas solicitar. Si BHN acepta, respetará tu solicitud a menos que se necesite la información restringida para proporcionarte tratamiento de emergencia.</w:t>
      </w:r>
    </w:p>
    <w:p w14:paraId="679C45C7" w14:textId="77777777" w:rsidR="001A7B07" w:rsidRPr="00766E13" w:rsidRDefault="001A7B07">
      <w:pPr>
        <w:pStyle w:val="BodyText"/>
        <w:rPr>
          <w:lang w:val="es-AR"/>
        </w:rPr>
      </w:pPr>
    </w:p>
    <w:p w14:paraId="712DD448" w14:textId="77777777" w:rsidR="001A7B07" w:rsidRPr="00766E13" w:rsidRDefault="003935F9">
      <w:pPr>
        <w:pStyle w:val="Heading1"/>
        <w:numPr>
          <w:ilvl w:val="0"/>
          <w:numId w:val="2"/>
        </w:numPr>
        <w:tabs>
          <w:tab w:val="left" w:pos="325"/>
        </w:tabs>
        <w:ind w:left="325" w:hanging="325"/>
        <w:rPr>
          <w:lang w:val="es-AR"/>
        </w:rPr>
      </w:pPr>
      <w:r w:rsidRPr="00766E13">
        <w:rPr>
          <w:lang w:val="es-AR"/>
        </w:rPr>
        <w:t>Derecho a solicitar comunicaciones confidenciales: cómo BHN puede contactarle</w:t>
      </w:r>
    </w:p>
    <w:p w14:paraId="0635CB11" w14:textId="77777777" w:rsidR="001A7B07" w:rsidRDefault="003935F9">
      <w:pPr>
        <w:pStyle w:val="BodyText"/>
        <w:ind w:right="80"/>
      </w:pPr>
      <w:r w:rsidRPr="00766E13">
        <w:rPr>
          <w:lang w:val="es-AR"/>
        </w:rPr>
        <w:t xml:space="preserve">Tienes derecho a solicitar que BHN se comunique contigo sobre tu atención médica solo en un lugar determinado o mediante un método determinado. Por ejemplo, puedes solicitar que BHN solo te contacte en el trabajo o por correo electrónico. BHN atenderá todas las solicitudes razonables. No hace falta que nos des una razón para la petición; Pero tu solicitud debe especificar cómo o dónde deseas ser contactado. </w:t>
      </w:r>
      <w:r>
        <w:t xml:space="preserve">Para ello, utiliza el </w:t>
      </w:r>
      <w:r>
        <w:rPr>
          <w:b/>
          <w:i/>
        </w:rPr>
        <w:t>Formulario de Solicitud Confidencial</w:t>
      </w:r>
      <w:r>
        <w:t>.</w:t>
      </w:r>
    </w:p>
    <w:p w14:paraId="58BBF6DC" w14:textId="77777777" w:rsidR="001A7B07" w:rsidRDefault="001A7B07">
      <w:pPr>
        <w:pStyle w:val="BodyText"/>
      </w:pPr>
    </w:p>
    <w:p w14:paraId="3DFA2BCA" w14:textId="77777777" w:rsidR="001A7B07" w:rsidRPr="00766E13" w:rsidRDefault="003935F9">
      <w:pPr>
        <w:pStyle w:val="Heading1"/>
        <w:numPr>
          <w:ilvl w:val="0"/>
          <w:numId w:val="2"/>
        </w:numPr>
        <w:tabs>
          <w:tab w:val="left" w:pos="310"/>
        </w:tabs>
        <w:ind w:left="310" w:hanging="310"/>
        <w:rPr>
          <w:lang w:val="es-AR"/>
        </w:rPr>
      </w:pPr>
      <w:r w:rsidRPr="00766E13">
        <w:rPr>
          <w:lang w:val="es-AR"/>
        </w:rPr>
        <w:t>Derecho a una copia en papel de este aviso.</w:t>
      </w:r>
    </w:p>
    <w:p w14:paraId="416EC45E" w14:textId="77777777" w:rsidR="001A7B07" w:rsidRPr="00766E13" w:rsidRDefault="003935F9">
      <w:pPr>
        <w:pStyle w:val="BodyText"/>
        <w:spacing w:before="1"/>
        <w:rPr>
          <w:lang w:val="es-AR"/>
        </w:rPr>
      </w:pPr>
      <w:r w:rsidRPr="00766E13">
        <w:rPr>
          <w:lang w:val="es-AR"/>
        </w:rPr>
        <w:t>Tiene derecho a obtener una copia en papel de este Aviso de Prácticas de Privacidad en cualquier momento. Incluso si has aceptado recibir este Aviso de Prácticas de Privacidad de forma electrónica, aún puedes obtener una copia en papel.</w:t>
      </w:r>
    </w:p>
    <w:p w14:paraId="517017C6" w14:textId="77777777" w:rsidR="001A7B07" w:rsidRPr="00766E13" w:rsidRDefault="001A7B07">
      <w:pPr>
        <w:pStyle w:val="BodyText"/>
        <w:rPr>
          <w:lang w:val="es-AR"/>
        </w:rPr>
        <w:sectPr w:rsidR="001A7B07" w:rsidRPr="00766E13">
          <w:pgSz w:w="12240" w:h="15840"/>
          <w:pgMar w:top="1720" w:right="1440" w:bottom="1160" w:left="1440" w:header="720" w:footer="974" w:gutter="0"/>
          <w:cols w:space="720"/>
        </w:sectPr>
      </w:pPr>
    </w:p>
    <w:p w14:paraId="544CE7A9" w14:textId="77777777" w:rsidR="001A7B07" w:rsidRPr="00766E13" w:rsidRDefault="001A7B07">
      <w:pPr>
        <w:pStyle w:val="BodyText"/>
        <w:spacing w:before="84"/>
        <w:rPr>
          <w:lang w:val="es-AR"/>
        </w:rPr>
      </w:pPr>
    </w:p>
    <w:p w14:paraId="25602B58" w14:textId="77777777" w:rsidR="001A7B07" w:rsidRPr="00766E13" w:rsidRDefault="003935F9">
      <w:pPr>
        <w:pStyle w:val="Heading1"/>
        <w:spacing w:line="274" w:lineRule="exact"/>
        <w:rPr>
          <w:lang w:val="es-AR"/>
        </w:rPr>
      </w:pPr>
      <w:r w:rsidRPr="00766E13">
        <w:rPr>
          <w:lang w:val="es-AR"/>
        </w:rPr>
        <w:t>Política de asistencia: Participación en los servicios</w:t>
      </w:r>
    </w:p>
    <w:p w14:paraId="756B867D" w14:textId="77777777" w:rsidR="001A7B07" w:rsidRPr="00766E13" w:rsidRDefault="003935F9">
      <w:pPr>
        <w:pStyle w:val="BodyText"/>
        <w:ind w:right="80"/>
        <w:rPr>
          <w:lang w:val="es-AR"/>
        </w:rPr>
      </w:pPr>
      <w:r w:rsidRPr="00766E13">
        <w:rPr>
          <w:lang w:val="es-AR"/>
        </w:rPr>
        <w:t>Una buena atención clínica requiere citas regulares entre los proveedores de tratamiento y las personas atendidas. En BHN estamos comprometidos a ofrecer una atención de alta calidad. Creemos que la asistencia constante a las citas programadas es fundamental para el éxito del tratamiento.</w:t>
      </w:r>
    </w:p>
    <w:p w14:paraId="39135A1A" w14:textId="77777777" w:rsidR="001A7B07" w:rsidRPr="00766E13" w:rsidRDefault="003935F9">
      <w:pPr>
        <w:pStyle w:val="ListParagraph"/>
        <w:numPr>
          <w:ilvl w:val="0"/>
          <w:numId w:val="1"/>
        </w:numPr>
        <w:tabs>
          <w:tab w:val="left" w:pos="720"/>
        </w:tabs>
        <w:spacing w:before="274"/>
        <w:ind w:right="277"/>
        <w:rPr>
          <w:sz w:val="24"/>
          <w:lang w:val="es-AR"/>
        </w:rPr>
      </w:pPr>
      <w:r w:rsidRPr="00766E13">
        <w:rPr>
          <w:sz w:val="24"/>
          <w:lang w:val="es-AR"/>
        </w:rPr>
        <w:t>Si tu proveedor de servicios BHN necesita cancelar tu cita, recibirás una llamada y trabajaremos para reprogramar tu cita.</w:t>
      </w:r>
    </w:p>
    <w:p w14:paraId="3674787A" w14:textId="77777777" w:rsidR="001A7B07" w:rsidRPr="00766E13" w:rsidRDefault="003935F9">
      <w:pPr>
        <w:pStyle w:val="ListParagraph"/>
        <w:numPr>
          <w:ilvl w:val="0"/>
          <w:numId w:val="1"/>
        </w:numPr>
        <w:tabs>
          <w:tab w:val="left" w:pos="720"/>
        </w:tabs>
        <w:spacing w:line="273" w:lineRule="auto"/>
        <w:ind w:right="189"/>
        <w:rPr>
          <w:sz w:val="24"/>
          <w:lang w:val="es-AR"/>
        </w:rPr>
      </w:pPr>
      <w:r w:rsidRPr="00766E13">
        <w:rPr>
          <w:sz w:val="24"/>
          <w:lang w:val="es-AR"/>
        </w:rPr>
        <w:t>Si necesita cancelar su cita, por favor notifique a su proveedor con 24 horas o más de antelación y su cita se considerará cancelada.</w:t>
      </w:r>
    </w:p>
    <w:p w14:paraId="2D3EC2C7" w14:textId="77777777" w:rsidR="001A7B07" w:rsidRPr="00766E13" w:rsidRDefault="003935F9">
      <w:pPr>
        <w:pStyle w:val="ListParagraph"/>
        <w:numPr>
          <w:ilvl w:val="0"/>
          <w:numId w:val="1"/>
        </w:numPr>
        <w:tabs>
          <w:tab w:val="left" w:pos="720"/>
        </w:tabs>
        <w:spacing w:before="1"/>
        <w:rPr>
          <w:sz w:val="24"/>
          <w:lang w:val="es-AR"/>
        </w:rPr>
      </w:pPr>
      <w:r w:rsidRPr="00766E13">
        <w:rPr>
          <w:sz w:val="24"/>
          <w:lang w:val="es-AR"/>
        </w:rPr>
        <w:t>Si pierdes tu cita sin avisar, se considerará no presentarse.</w:t>
      </w:r>
    </w:p>
    <w:p w14:paraId="5BC319B1" w14:textId="77777777" w:rsidR="001A7B07" w:rsidRPr="00766E13" w:rsidRDefault="003935F9">
      <w:pPr>
        <w:pStyle w:val="ListParagraph"/>
        <w:numPr>
          <w:ilvl w:val="0"/>
          <w:numId w:val="1"/>
        </w:numPr>
        <w:tabs>
          <w:tab w:val="left" w:pos="720"/>
        </w:tabs>
        <w:spacing w:before="41" w:line="276" w:lineRule="auto"/>
        <w:ind w:right="45"/>
        <w:rPr>
          <w:sz w:val="24"/>
          <w:lang w:val="es-AR"/>
        </w:rPr>
      </w:pPr>
      <w:r w:rsidRPr="00766E13">
        <w:rPr>
          <w:sz w:val="24"/>
          <w:lang w:val="es-AR"/>
        </w:rPr>
        <w:t>Si cancelas tu cita con menos de 24 horas de aviso, se considerará no presentarse.</w:t>
      </w:r>
    </w:p>
    <w:p w14:paraId="66BD8D7D" w14:textId="77777777" w:rsidR="001A7B07" w:rsidRPr="00766E13" w:rsidRDefault="003935F9">
      <w:pPr>
        <w:pStyle w:val="Heading1"/>
        <w:spacing w:before="201" w:line="274" w:lineRule="exact"/>
        <w:rPr>
          <w:lang w:val="es-AR"/>
        </w:rPr>
      </w:pPr>
      <w:r w:rsidRPr="00766E13">
        <w:rPr>
          <w:lang w:val="es-AR"/>
        </w:rPr>
        <w:t>Respuesta de BHN a citas perdidas:</w:t>
      </w:r>
    </w:p>
    <w:p w14:paraId="10E9EDB9" w14:textId="77777777" w:rsidR="001A7B07" w:rsidRPr="00766E13" w:rsidRDefault="003935F9">
      <w:pPr>
        <w:pStyle w:val="BodyText"/>
        <w:rPr>
          <w:lang w:val="es-AR"/>
        </w:rPr>
      </w:pPr>
      <w:r w:rsidRPr="00766E13">
        <w:rPr>
          <w:lang w:val="es-AR"/>
        </w:rPr>
        <w:t>Por favor, habla de todas las citas perdidas con tu profesional. Tu médico hablará contigo sobre por qué faltas a las citas y juntos podrán elaborar un plan para reducir las citas perdidas.</w:t>
      </w:r>
    </w:p>
    <w:p w14:paraId="7951889A" w14:textId="77777777" w:rsidR="001A7B07" w:rsidRPr="00766E13" w:rsidRDefault="003935F9">
      <w:pPr>
        <w:spacing w:before="274"/>
        <w:ind w:right="140"/>
        <w:rPr>
          <w:sz w:val="24"/>
          <w:lang w:val="es-AR"/>
        </w:rPr>
      </w:pPr>
      <w:r w:rsidRPr="00766E13">
        <w:rPr>
          <w:sz w:val="24"/>
          <w:lang w:val="es-AR"/>
        </w:rPr>
        <w:t xml:space="preserve">Cuando la tasa de </w:t>
      </w:r>
      <w:r w:rsidRPr="00766E13">
        <w:rPr>
          <w:b/>
          <w:sz w:val="24"/>
          <w:lang w:val="es-AR"/>
        </w:rPr>
        <w:t>no presentarse y/o cancelación alcanza 2 en un periodo de 30 días, no se programarán más citas rutinarias</w:t>
      </w:r>
      <w:r w:rsidRPr="00766E13">
        <w:rPr>
          <w:sz w:val="24"/>
          <w:lang w:val="es-AR"/>
        </w:rPr>
        <w:t>. Puede que recibas una carta aconsejando que contactes con tu proveedor en un plazo de 10 días para discutir los motivos de las citas perdidas y negociar un plan alternativo de citas. Si no responde, asumiremos que ya no está interesado en más servicios y cesaremos los servicios.</w:t>
      </w:r>
    </w:p>
    <w:p w14:paraId="47F27734" w14:textId="77777777" w:rsidR="001A7B07" w:rsidRPr="00766E13" w:rsidRDefault="001A7B07">
      <w:pPr>
        <w:pStyle w:val="BodyText"/>
        <w:rPr>
          <w:lang w:val="es-AR"/>
        </w:rPr>
      </w:pPr>
    </w:p>
    <w:p w14:paraId="3BD3D816" w14:textId="77777777" w:rsidR="001A7B07" w:rsidRPr="00766E13" w:rsidRDefault="003935F9">
      <w:pPr>
        <w:pStyle w:val="BodyText"/>
        <w:spacing w:before="1"/>
        <w:ind w:right="328"/>
        <w:jc w:val="both"/>
        <w:rPr>
          <w:lang w:val="es-AR"/>
        </w:rPr>
      </w:pPr>
      <w:r w:rsidRPr="00766E13">
        <w:rPr>
          <w:lang w:val="es-AR"/>
        </w:rPr>
        <w:t xml:space="preserve">Ten en cuenta que la política de asistencia también se refiere a </w:t>
      </w:r>
      <w:r w:rsidRPr="00766E13">
        <w:rPr>
          <w:b/>
          <w:lang w:val="es-AR"/>
        </w:rPr>
        <w:t>los Servicios</w:t>
      </w:r>
      <w:r w:rsidRPr="00766E13">
        <w:rPr>
          <w:lang w:val="es-AR"/>
        </w:rPr>
        <w:t xml:space="preserve"> de Medicación. Si recibes servicios de medicación y tu tratamiento ambulatorio se cierra por asistencia, tu médico determinará si es necesaria una última visita.</w:t>
      </w:r>
    </w:p>
    <w:p w14:paraId="4915A7CC" w14:textId="77777777" w:rsidR="001A7B07" w:rsidRPr="00766E13" w:rsidRDefault="001A7B07">
      <w:pPr>
        <w:pStyle w:val="BodyText"/>
        <w:spacing w:before="4"/>
        <w:rPr>
          <w:lang w:val="es-AR"/>
        </w:rPr>
      </w:pPr>
    </w:p>
    <w:p w14:paraId="5ED314D9" w14:textId="77777777" w:rsidR="001A7B07" w:rsidRPr="00766E13" w:rsidRDefault="003935F9">
      <w:pPr>
        <w:pStyle w:val="Heading1"/>
        <w:spacing w:line="274" w:lineRule="exact"/>
        <w:rPr>
          <w:lang w:val="es-AR"/>
        </w:rPr>
      </w:pPr>
      <w:r w:rsidRPr="00766E13">
        <w:rPr>
          <w:spacing w:val="-2"/>
          <w:lang w:val="es-AR"/>
        </w:rPr>
        <w:t>Quejas</w:t>
      </w:r>
    </w:p>
    <w:p w14:paraId="62D3BD92" w14:textId="77777777" w:rsidR="001A7B07" w:rsidRPr="00766E13" w:rsidRDefault="003935F9">
      <w:pPr>
        <w:pStyle w:val="BodyText"/>
        <w:rPr>
          <w:lang w:val="es-AR"/>
        </w:rPr>
      </w:pPr>
      <w:r w:rsidRPr="00766E13">
        <w:rPr>
          <w:lang w:val="es-AR"/>
        </w:rPr>
        <w:t xml:space="preserve">Si crees que se ha violado tus derechos de privacidad, puedes presentar una queja con nosotros. Para presentar una queja, solicite una copia del </w:t>
      </w:r>
      <w:r w:rsidRPr="00766E13">
        <w:rPr>
          <w:b/>
          <w:i/>
          <w:lang w:val="es-AR"/>
        </w:rPr>
        <w:t xml:space="preserve">Formulario de Queja </w:t>
      </w:r>
      <w:r w:rsidRPr="00766E13">
        <w:rPr>
          <w:lang w:val="es-AR"/>
        </w:rPr>
        <w:t>y entréguenlo al Oficial de Privacidad en 417 Liberty Street, Springfield, MA 01104. También puede presentar una queja ante la Oficina de Derechos Civiles ante el Secretario del Departamento de Salud y Servicios Humanos de EE. UU.</w:t>
      </w:r>
    </w:p>
    <w:p w14:paraId="701C63BA" w14:textId="77777777" w:rsidR="001A7B07" w:rsidRPr="00766E13" w:rsidRDefault="003935F9">
      <w:pPr>
        <w:pStyle w:val="BodyText"/>
        <w:spacing w:before="274"/>
        <w:rPr>
          <w:lang w:val="es-AR"/>
        </w:rPr>
      </w:pPr>
      <w:r w:rsidRPr="00766E13">
        <w:rPr>
          <w:lang w:val="es-AR"/>
        </w:rPr>
        <w:t xml:space="preserve">Si crees que se han violado tus derechos humanos, también puedes presentar una denuncia ante nosotros. Para presentar una queja, solicite una copia del </w:t>
      </w:r>
      <w:r w:rsidRPr="00766E13">
        <w:rPr>
          <w:b/>
          <w:i/>
          <w:lang w:val="es-AR"/>
        </w:rPr>
        <w:t xml:space="preserve">Formulario de Queja </w:t>
      </w:r>
      <w:r w:rsidRPr="00766E13">
        <w:rPr>
          <w:lang w:val="es-AR"/>
        </w:rPr>
        <w:t>y entreguéselo al Director de Derechos Humanos en 417 Liberty Street, Springfield, MA 01104. También puede presentar una queja ante el Departamento de Salud Mental conforme al reglamento 104CMR 32.00.</w:t>
      </w:r>
    </w:p>
    <w:p w14:paraId="0C2AC0AC" w14:textId="77777777" w:rsidR="001A7B07" w:rsidRPr="00766E13" w:rsidRDefault="001A7B07">
      <w:pPr>
        <w:pStyle w:val="BodyText"/>
        <w:spacing w:before="1"/>
        <w:rPr>
          <w:lang w:val="es-AR"/>
        </w:rPr>
      </w:pPr>
    </w:p>
    <w:p w14:paraId="5F2E41C0" w14:textId="77777777" w:rsidR="001A7B07" w:rsidRPr="00766E13" w:rsidRDefault="003935F9">
      <w:pPr>
        <w:pStyle w:val="BodyText"/>
        <w:ind w:right="64"/>
        <w:rPr>
          <w:lang w:val="es-AR"/>
        </w:rPr>
      </w:pPr>
      <w:r w:rsidRPr="00766E13">
        <w:rPr>
          <w:lang w:val="es-AR"/>
        </w:rPr>
        <w:t>Tu personal debería poder proporcionarte el Formulario de Queja y ayudarte a completarlo. La queja será revisada y respondida de manera oportuna.</w:t>
      </w:r>
    </w:p>
    <w:p w14:paraId="0C9D5698" w14:textId="77777777" w:rsidR="001A7B07" w:rsidRPr="00766E13" w:rsidRDefault="001A7B07">
      <w:pPr>
        <w:pStyle w:val="BodyText"/>
        <w:rPr>
          <w:lang w:val="es-AR"/>
        </w:rPr>
        <w:sectPr w:rsidR="001A7B07" w:rsidRPr="00766E13">
          <w:pgSz w:w="12240" w:h="15840"/>
          <w:pgMar w:top="1720" w:right="1440" w:bottom="1160" w:left="1440" w:header="720" w:footer="974" w:gutter="0"/>
          <w:cols w:space="720"/>
        </w:sectPr>
      </w:pPr>
    </w:p>
    <w:p w14:paraId="0B0FB1A8" w14:textId="77777777" w:rsidR="001A7B07" w:rsidRPr="00766E13" w:rsidRDefault="001A7B07">
      <w:pPr>
        <w:pStyle w:val="BodyText"/>
        <w:spacing w:before="79"/>
        <w:rPr>
          <w:lang w:val="es-AR"/>
        </w:rPr>
      </w:pPr>
    </w:p>
    <w:p w14:paraId="741F227D" w14:textId="77777777" w:rsidR="001A7B07" w:rsidRPr="00766E13" w:rsidRDefault="003935F9">
      <w:pPr>
        <w:pStyle w:val="BodyText"/>
        <w:spacing w:before="1"/>
        <w:ind w:right="80"/>
        <w:rPr>
          <w:lang w:val="es-AR"/>
        </w:rPr>
      </w:pPr>
      <w:r w:rsidRPr="00766E13">
        <w:rPr>
          <w:lang w:val="es-AR"/>
        </w:rPr>
        <w:t>Si hay motivos para creer que una persona con discapacidad entre 18 y 59 años ha sido víctima de abuso físico o emocional, la ley nos obliga a informar inmediatamente del abuso a la Comisión de Protección de Personas con Discapacidad (DPPC) en el (800) 426-9009. Un informe escrito debe presentarse ante la DPPC en un plazo de 48 horas desde el informe oral.</w:t>
      </w:r>
    </w:p>
    <w:p w14:paraId="697B18E8" w14:textId="77777777" w:rsidR="001A7B07" w:rsidRPr="00766E13" w:rsidRDefault="001A7B07">
      <w:pPr>
        <w:pStyle w:val="BodyText"/>
        <w:spacing w:before="203"/>
        <w:rPr>
          <w:lang w:val="es-AR"/>
        </w:rPr>
      </w:pPr>
    </w:p>
    <w:p w14:paraId="32777418" w14:textId="77777777" w:rsidR="001A7B07" w:rsidRPr="00766E13" w:rsidRDefault="003935F9">
      <w:pPr>
        <w:pStyle w:val="Heading1"/>
        <w:spacing w:before="1" w:line="274" w:lineRule="exact"/>
        <w:rPr>
          <w:lang w:val="es-AR"/>
        </w:rPr>
      </w:pPr>
      <w:r w:rsidRPr="00766E13">
        <w:rPr>
          <w:lang w:val="es-AR"/>
        </w:rPr>
        <w:t>Plazo de consentimiento</w:t>
      </w:r>
    </w:p>
    <w:p w14:paraId="2BAD8134" w14:textId="77777777" w:rsidR="001A7B07" w:rsidRPr="00766E13" w:rsidRDefault="003935F9">
      <w:pPr>
        <w:pStyle w:val="BodyText"/>
        <w:ind w:right="117"/>
        <w:rPr>
          <w:lang w:val="es-AR"/>
        </w:rPr>
      </w:pPr>
      <w:r w:rsidRPr="00766E13">
        <w:rPr>
          <w:lang w:val="es-AR"/>
        </w:rPr>
        <w:t xml:space="preserve">Este Consentimiento permanecerá vigente hasta que expire el plazo de este Consentimiento o se  reciba una </w:t>
      </w:r>
      <w:r w:rsidRPr="00766E13">
        <w:rPr>
          <w:b/>
          <w:i/>
          <w:lang w:val="es-AR"/>
        </w:rPr>
        <w:t xml:space="preserve">Revocación de Consentimiento </w:t>
      </w:r>
      <w:r w:rsidRPr="00766E13">
        <w:rPr>
          <w:lang w:val="es-AR"/>
        </w:rPr>
        <w:t>firmada en una oficina del BHN o se envíe por correo a la dirección indicada anteriormente. La revocación será efectiva inmediatamente en cuanto BHN reciba su formulario de Revocación de Consentimiento firmado, salvo que la revocación no tendrá ningún efecto sobre ninguna acción tomada por BHN basándose en este Consentimiento antes de recibir el formulario firmado de Revocación de Consentimiento.</w:t>
      </w:r>
    </w:p>
    <w:p w14:paraId="3A42827B" w14:textId="77777777" w:rsidR="001A7B07" w:rsidRPr="00766E13" w:rsidRDefault="003935F9">
      <w:pPr>
        <w:pStyle w:val="BodyText"/>
        <w:spacing w:before="274"/>
        <w:ind w:right="80"/>
        <w:rPr>
          <w:lang w:val="es-AR"/>
        </w:rPr>
      </w:pPr>
      <w:r w:rsidRPr="00766E13">
        <w:rPr>
          <w:lang w:val="es-AR"/>
        </w:rPr>
        <w:t>Puede negarse a firmar o revocar en cualquier momento este documento de Consentimiento y Prácticas de Privacidad por cualquier motivo. Sin embargo, esta negativa o revocación afectará la capacidad de BHN para iniciar o continuar los servicios. En tal caso, BHN hará esfuerzos razonables para derivarte a otro proveedor.</w:t>
      </w:r>
    </w:p>
    <w:p w14:paraId="24947350" w14:textId="77777777" w:rsidR="001A7B07" w:rsidRPr="00766E13" w:rsidRDefault="001A7B07">
      <w:pPr>
        <w:pStyle w:val="BodyText"/>
        <w:spacing w:before="245"/>
        <w:rPr>
          <w:lang w:val="es-AR"/>
        </w:rPr>
      </w:pPr>
    </w:p>
    <w:p w14:paraId="6E189A9A" w14:textId="77777777" w:rsidR="001A7B07" w:rsidRPr="00766E13" w:rsidRDefault="003935F9">
      <w:pPr>
        <w:pStyle w:val="Heading1"/>
        <w:spacing w:line="274" w:lineRule="exact"/>
        <w:rPr>
          <w:lang w:val="es-AR"/>
        </w:rPr>
      </w:pPr>
      <w:r w:rsidRPr="00766E13">
        <w:rPr>
          <w:lang w:val="es-AR"/>
        </w:rPr>
        <w:t>Cambios en este Aviso</w:t>
      </w:r>
    </w:p>
    <w:p w14:paraId="40EFFE48" w14:textId="6F132CFE" w:rsidR="001A7B07" w:rsidRPr="00766E13" w:rsidRDefault="003935F9">
      <w:pPr>
        <w:pStyle w:val="BodyText"/>
        <w:ind w:right="73"/>
        <w:rPr>
          <w:lang w:val="es-AR"/>
        </w:rPr>
      </w:pPr>
      <w:r w:rsidRPr="00766E13">
        <w:rPr>
          <w:lang w:val="es-AR"/>
        </w:rPr>
        <w:t>BHN se reserva el derecho de modificar los términos de nuestro Consentimiento y Aviso de Prácticas de Privacidad. BHN también se reserva el derecho de hacer efectiva la revisión o modificación del Consentimiento y Aviso de Prácticas de Privacidad para toda la información que BHN ya posea sobre usted, así como para cualquier información que BHN reciba en el futuro. BHN enviará una copia de este documento a nuestra oficina principal y en cada centro donde BHN ofrezca atención. Puede obtener una copia de esta póliza llamándonos al 413-747-0705 y solicitando que se le envíe una copia por correo o solicitando una en cualquier momento que esté en nuestras oficinas. Si tiene alguna pregunta sobre este Aviso de Privacidad, por favor llámenos y solicite hablar con nuestro Responsable de Privacidad.</w:t>
      </w:r>
    </w:p>
    <w:sectPr w:rsidR="001A7B07" w:rsidRPr="00766E13">
      <w:pgSz w:w="12240" w:h="15840"/>
      <w:pgMar w:top="1720" w:right="1440" w:bottom="1160" w:left="1440" w:header="72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7E1C" w14:textId="77777777" w:rsidR="008D6B06" w:rsidRDefault="008D6B06">
      <w:r>
        <w:separator/>
      </w:r>
    </w:p>
  </w:endnote>
  <w:endnote w:type="continuationSeparator" w:id="0">
    <w:p w14:paraId="1C23DCA9" w14:textId="77777777" w:rsidR="008D6B06" w:rsidRDefault="008D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6B09" w14:textId="77777777" w:rsidR="00A66457" w:rsidRDefault="00A66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E795" w14:textId="77777777" w:rsidR="001A7B07" w:rsidRDefault="003935F9">
    <w:pPr>
      <w:pStyle w:val="BodyText"/>
      <w:spacing w:line="14" w:lineRule="auto"/>
      <w:rPr>
        <w:sz w:val="20"/>
      </w:rPr>
    </w:pPr>
    <w:r>
      <w:rPr>
        <w:noProof/>
        <w:sz w:val="20"/>
      </w:rPr>
      <mc:AlternateContent>
        <mc:Choice Requires="wps">
          <w:drawing>
            <wp:anchor distT="0" distB="0" distL="0" distR="0" simplePos="0" relativeHeight="487486464" behindDoc="1" locked="0" layoutInCell="1" allowOverlap="1" wp14:anchorId="08D6576A" wp14:editId="21E43435">
              <wp:simplePos x="0" y="0"/>
              <wp:positionH relativeFrom="page">
                <wp:posOffset>902004</wp:posOffset>
              </wp:positionH>
              <wp:positionV relativeFrom="page">
                <wp:posOffset>9300216</wp:posOffset>
              </wp:positionV>
              <wp:extent cx="46228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 cy="165735"/>
                      </a:xfrm>
                      <a:prstGeom prst="rect">
                        <a:avLst/>
                      </a:prstGeom>
                    </wps:spPr>
                    <wps:txbx>
                      <w:txbxContent>
                        <w:p w14:paraId="036C893F" w14:textId="77777777" w:rsidR="001A7B07" w:rsidRDefault="003935F9">
                          <w:pPr>
                            <w:spacing w:before="10"/>
                            <w:ind w:left="20"/>
                            <w:rPr>
                              <w:sz w:val="20"/>
                            </w:rPr>
                          </w:pPr>
                          <w:r>
                            <w:rPr>
                              <w:sz w:val="20"/>
                            </w:rPr>
                            <w:t xml:space="preserve">Página |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08D6576A" id="_x0000_t202" coordsize="21600,21600" o:spt="202" path="m,l,21600r21600,l21600,xe">
              <v:stroke joinstyle="miter"/>
              <v:path gradientshapeok="t" o:connecttype="rect"/>
            </v:shapetype>
            <v:shape id="Textbox 3" o:spid="_x0000_s1027" type="#_x0000_t202" style="position:absolute;margin-left:71pt;margin-top:732.3pt;width:36.4pt;height:13.05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" filled="f" stroked="f">
              <v:textbox inset="0,0,0,0">
                <w:txbxContent>
                  <w:p w14:paraId="036C893F" w14:textId="77777777" w:rsidR="001A7B07" w:rsidRDefault="003935F9">
                    <w:pPr>
                      <w:spacing w:before="10"/>
                      <w:ind w:left="20"/>
                      <w:rPr>
                        <w:sz w:val="20"/>
                      </w:rPr>
                    </w:pPr>
                    <w:r>
                      <w:rPr>
                        <w:sz w:val="20"/>
                      </w:rPr>
                      <w:t xml:space="preserve">Página |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D691" w14:textId="77777777" w:rsidR="00A66457" w:rsidRDefault="00A66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8277" w14:textId="77777777" w:rsidR="008D6B06" w:rsidRDefault="008D6B06">
      <w:r>
        <w:separator/>
      </w:r>
    </w:p>
  </w:footnote>
  <w:footnote w:type="continuationSeparator" w:id="0">
    <w:p w14:paraId="4A726326" w14:textId="77777777" w:rsidR="008D6B06" w:rsidRDefault="008D6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660" w14:textId="77777777" w:rsidR="00A66457" w:rsidRDefault="00A66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214C" w14:textId="77777777" w:rsidR="001A7B07" w:rsidRDefault="003935F9">
    <w:pPr>
      <w:pStyle w:val="BodyText"/>
      <w:spacing w:line="14" w:lineRule="auto"/>
      <w:rPr>
        <w:sz w:val="20"/>
      </w:rPr>
    </w:pPr>
    <w:r>
      <w:rPr>
        <w:noProof/>
        <w:sz w:val="20"/>
      </w:rPr>
      <w:drawing>
        <wp:anchor distT="0" distB="0" distL="0" distR="0" simplePos="0" relativeHeight="487485440" behindDoc="1" locked="0" layoutInCell="1" allowOverlap="1" wp14:anchorId="183ABAFE" wp14:editId="36965BA4">
          <wp:simplePos x="0" y="0"/>
          <wp:positionH relativeFrom="page">
            <wp:posOffset>683196</wp:posOffset>
          </wp:positionH>
          <wp:positionV relativeFrom="page">
            <wp:posOffset>457200</wp:posOffset>
          </wp:positionV>
          <wp:extent cx="601162" cy="446404"/>
          <wp:effectExtent l="0" t="0" r="0" b="0"/>
          <wp:wrapNone/>
          <wp:docPr id="1" name="Image 1" descr="Logotipo de BH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HN Logo"/>
                  <pic:cNvPicPr/>
                </pic:nvPicPr>
                <pic:blipFill>
                  <a:blip r:embed="rId1" cstate="print"/>
                  <a:stretch>
                    <a:fillRect/>
                  </a:stretch>
                </pic:blipFill>
                <pic:spPr>
                  <a:xfrm>
                    <a:off x="0" y="0"/>
                    <a:ext cx="601162" cy="446404"/>
                  </a:xfrm>
                  <a:prstGeom prst="rect">
                    <a:avLst/>
                  </a:prstGeom>
                </pic:spPr>
              </pic:pic>
            </a:graphicData>
          </a:graphic>
        </wp:anchor>
      </w:drawing>
    </w:r>
    <w:r>
      <w:rPr>
        <w:noProof/>
        <w:sz w:val="20"/>
      </w:rPr>
      <mc:AlternateContent>
        <mc:Choice Requires="wps">
          <w:drawing>
            <wp:anchor distT="0" distB="0" distL="0" distR="0" simplePos="0" relativeHeight="487485952" behindDoc="1" locked="0" layoutInCell="1" allowOverlap="1" wp14:anchorId="30787034" wp14:editId="1775449F">
              <wp:simplePos x="0" y="0"/>
              <wp:positionH relativeFrom="page">
                <wp:posOffset>1679194</wp:posOffset>
              </wp:positionH>
              <wp:positionV relativeFrom="page">
                <wp:posOffset>755226</wp:posOffset>
              </wp:positionV>
              <wp:extent cx="481457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4570" cy="194310"/>
                      </a:xfrm>
                      <a:prstGeom prst="rect">
                        <a:avLst/>
                      </a:prstGeom>
                    </wps:spPr>
                    <wps:txbx>
                      <w:txbxContent>
                        <w:p w14:paraId="4AB39FA8" w14:textId="77777777" w:rsidR="001A7B07" w:rsidRPr="00766E13" w:rsidRDefault="003935F9">
                          <w:pPr>
                            <w:spacing w:before="10"/>
                            <w:ind w:left="20"/>
                            <w:rPr>
                              <w:b/>
                              <w:sz w:val="24"/>
                              <w:lang w:val="es-AR"/>
                            </w:rPr>
                          </w:pPr>
                          <w:r w:rsidRPr="00766E13">
                            <w:rPr>
                              <w:b/>
                              <w:sz w:val="24"/>
                              <w:lang w:val="es-AR"/>
                            </w:rPr>
                            <w:t>Aviso de prácticas de privacidad y consentimiento de la Red de Salud Conductual (BHN)</w:t>
                          </w:r>
                        </w:p>
                      </w:txbxContent>
                    </wps:txbx>
                    <wps:bodyPr wrap="square" lIns="0" tIns="0" rIns="0" bIns="0" rtlCol="0">
                      <a:noAutofit/>
                    </wps:bodyPr>
                  </wps:wsp>
                </a:graphicData>
              </a:graphic>
            </wp:anchor>
          </w:drawing>
        </mc:Choice>
        <mc:Fallback>
          <w:pict>
            <v:shapetype w14:anchorId="30787034" id="_x0000_t202" coordsize="21600,21600" o:spt="202" path="m,l,21600r21600,l21600,xe">
              <v:stroke joinstyle="miter"/>
              <v:path gradientshapeok="t" o:connecttype="rect"/>
            </v:shapetype>
            <v:shape id="Textbox 2" o:spid="_x0000_s1026" type="#_x0000_t202" style="position:absolute;margin-left:132.2pt;margin-top:59.45pt;width:379.1pt;height:15.3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" filled="f" stroked="f">
              <v:textbox inset="0,0,0,0">
                <w:txbxContent>
                  <w:p w14:paraId="4AB39FA8" w14:textId="77777777" w:rsidR="001A7B07" w:rsidRPr="00766E13" w:rsidRDefault="003935F9">
                    <w:pPr>
                      <w:spacing w:before="10"/>
                      <w:ind w:left="20"/>
                      <w:rPr>
                        <w:b/>
                        <w:sz w:val="24"/>
                        <w:lang w:val="es-AR"/>
                      </w:rPr>
                    </w:pPr>
                    <w:r w:rsidRPr="00766E13">
                      <w:rPr>
                        <w:b/>
                        <w:sz w:val="24"/>
                        <w:lang w:val="es-AR"/>
                      </w:rPr>
                      <w:t>Aviso de prácticas de privacidad y consentimiento de la Red de Salud Conductual (BHN)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635F" w14:textId="77777777" w:rsidR="00A66457" w:rsidRDefault="00A66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0105"/>
    <w:multiLevelType w:val="hybridMultilevel"/>
    <w:tmpl w:val="70BEBB38"/>
    <w:lvl w:ilvl="0" w:tplc="CD8AE106">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C329A20">
      <w:start w:val="1"/>
      <w:numFmt w:val="lowerLetter"/>
      <w:lvlText w:val="%2."/>
      <w:lvlJc w:val="left"/>
      <w:pPr>
        <w:ind w:left="7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67485D8">
      <w:numFmt w:val="bullet"/>
      <w:lvlText w:val="•"/>
      <w:lvlJc w:val="left"/>
      <w:pPr>
        <w:ind w:left="1680" w:hanging="360"/>
      </w:pPr>
      <w:rPr>
        <w:rFonts w:hint="default"/>
        <w:lang w:val="en-US" w:eastAsia="en-US" w:bidi="ar-SA"/>
      </w:rPr>
    </w:lvl>
    <w:lvl w:ilvl="3" w:tplc="3CFA8BC2">
      <w:numFmt w:val="bullet"/>
      <w:lvlText w:val="•"/>
      <w:lvlJc w:val="left"/>
      <w:pPr>
        <w:ind w:left="2640" w:hanging="360"/>
      </w:pPr>
      <w:rPr>
        <w:rFonts w:hint="default"/>
        <w:lang w:val="en-US" w:eastAsia="en-US" w:bidi="ar-SA"/>
      </w:rPr>
    </w:lvl>
    <w:lvl w:ilvl="4" w:tplc="F7CA8EFA">
      <w:numFmt w:val="bullet"/>
      <w:lvlText w:val="•"/>
      <w:lvlJc w:val="left"/>
      <w:pPr>
        <w:ind w:left="3600" w:hanging="360"/>
      </w:pPr>
      <w:rPr>
        <w:rFonts w:hint="default"/>
        <w:lang w:val="en-US" w:eastAsia="en-US" w:bidi="ar-SA"/>
      </w:rPr>
    </w:lvl>
    <w:lvl w:ilvl="5" w:tplc="999C7D66">
      <w:numFmt w:val="bullet"/>
      <w:lvlText w:val="•"/>
      <w:lvlJc w:val="left"/>
      <w:pPr>
        <w:ind w:left="4560" w:hanging="360"/>
      </w:pPr>
      <w:rPr>
        <w:rFonts w:hint="default"/>
        <w:lang w:val="en-US" w:eastAsia="en-US" w:bidi="ar-SA"/>
      </w:rPr>
    </w:lvl>
    <w:lvl w:ilvl="6" w:tplc="5238A9B4">
      <w:numFmt w:val="bullet"/>
      <w:lvlText w:val="•"/>
      <w:lvlJc w:val="left"/>
      <w:pPr>
        <w:ind w:left="5520" w:hanging="360"/>
      </w:pPr>
      <w:rPr>
        <w:rFonts w:hint="default"/>
        <w:lang w:val="en-US" w:eastAsia="en-US" w:bidi="ar-SA"/>
      </w:rPr>
    </w:lvl>
    <w:lvl w:ilvl="7" w:tplc="DCC89A58">
      <w:numFmt w:val="bullet"/>
      <w:lvlText w:val="•"/>
      <w:lvlJc w:val="left"/>
      <w:pPr>
        <w:ind w:left="6480" w:hanging="360"/>
      </w:pPr>
      <w:rPr>
        <w:rFonts w:hint="default"/>
        <w:lang w:val="en-US" w:eastAsia="en-US" w:bidi="ar-SA"/>
      </w:rPr>
    </w:lvl>
    <w:lvl w:ilvl="8" w:tplc="99E457F2">
      <w:numFmt w:val="bullet"/>
      <w:lvlText w:val="•"/>
      <w:lvlJc w:val="left"/>
      <w:pPr>
        <w:ind w:left="7440" w:hanging="360"/>
      </w:pPr>
      <w:rPr>
        <w:rFonts w:hint="default"/>
        <w:lang w:val="en-US" w:eastAsia="en-US" w:bidi="ar-SA"/>
      </w:rPr>
    </w:lvl>
  </w:abstractNum>
  <w:abstractNum w:abstractNumId="1" w15:restartNumberingAfterBreak="0">
    <w:nsid w:val="23C740C1"/>
    <w:multiLevelType w:val="hybridMultilevel"/>
    <w:tmpl w:val="DCE247AE"/>
    <w:lvl w:ilvl="0" w:tplc="60CCE29E">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619882D4">
      <w:numFmt w:val="bullet"/>
      <w:lvlText w:val="•"/>
      <w:lvlJc w:val="left"/>
      <w:pPr>
        <w:ind w:left="1260" w:hanging="360"/>
      </w:pPr>
      <w:rPr>
        <w:rFonts w:hint="default"/>
        <w:lang w:val="en-US" w:eastAsia="en-US" w:bidi="ar-SA"/>
      </w:rPr>
    </w:lvl>
    <w:lvl w:ilvl="2" w:tplc="70F4C79C">
      <w:numFmt w:val="bullet"/>
      <w:lvlText w:val="•"/>
      <w:lvlJc w:val="left"/>
      <w:pPr>
        <w:ind w:left="2160" w:hanging="360"/>
      </w:pPr>
      <w:rPr>
        <w:rFonts w:hint="default"/>
        <w:lang w:val="en-US" w:eastAsia="en-US" w:bidi="ar-SA"/>
      </w:rPr>
    </w:lvl>
    <w:lvl w:ilvl="3" w:tplc="69988482">
      <w:numFmt w:val="bullet"/>
      <w:lvlText w:val="•"/>
      <w:lvlJc w:val="left"/>
      <w:pPr>
        <w:ind w:left="3060" w:hanging="360"/>
      </w:pPr>
      <w:rPr>
        <w:rFonts w:hint="default"/>
        <w:lang w:val="en-US" w:eastAsia="en-US" w:bidi="ar-SA"/>
      </w:rPr>
    </w:lvl>
    <w:lvl w:ilvl="4" w:tplc="F9BEA310">
      <w:numFmt w:val="bullet"/>
      <w:lvlText w:val="•"/>
      <w:lvlJc w:val="left"/>
      <w:pPr>
        <w:ind w:left="3960" w:hanging="360"/>
      </w:pPr>
      <w:rPr>
        <w:rFonts w:hint="default"/>
        <w:lang w:val="en-US" w:eastAsia="en-US" w:bidi="ar-SA"/>
      </w:rPr>
    </w:lvl>
    <w:lvl w:ilvl="5" w:tplc="330814C2">
      <w:numFmt w:val="bullet"/>
      <w:lvlText w:val="•"/>
      <w:lvlJc w:val="left"/>
      <w:pPr>
        <w:ind w:left="4860" w:hanging="360"/>
      </w:pPr>
      <w:rPr>
        <w:rFonts w:hint="default"/>
        <w:lang w:val="en-US" w:eastAsia="en-US" w:bidi="ar-SA"/>
      </w:rPr>
    </w:lvl>
    <w:lvl w:ilvl="6" w:tplc="A8A2D390">
      <w:numFmt w:val="bullet"/>
      <w:lvlText w:val="•"/>
      <w:lvlJc w:val="left"/>
      <w:pPr>
        <w:ind w:left="5760" w:hanging="360"/>
      </w:pPr>
      <w:rPr>
        <w:rFonts w:hint="default"/>
        <w:lang w:val="en-US" w:eastAsia="en-US" w:bidi="ar-SA"/>
      </w:rPr>
    </w:lvl>
    <w:lvl w:ilvl="7" w:tplc="C1989E36">
      <w:numFmt w:val="bullet"/>
      <w:lvlText w:val="•"/>
      <w:lvlJc w:val="left"/>
      <w:pPr>
        <w:ind w:left="6660" w:hanging="360"/>
      </w:pPr>
      <w:rPr>
        <w:rFonts w:hint="default"/>
        <w:lang w:val="en-US" w:eastAsia="en-US" w:bidi="ar-SA"/>
      </w:rPr>
    </w:lvl>
    <w:lvl w:ilvl="8" w:tplc="EDB4C968">
      <w:numFmt w:val="bullet"/>
      <w:lvlText w:val="•"/>
      <w:lvlJc w:val="left"/>
      <w:pPr>
        <w:ind w:left="7560" w:hanging="360"/>
      </w:pPr>
      <w:rPr>
        <w:rFonts w:hint="default"/>
        <w:lang w:val="en-US" w:eastAsia="en-US" w:bidi="ar-SA"/>
      </w:rPr>
    </w:lvl>
  </w:abstractNum>
  <w:abstractNum w:abstractNumId="2" w15:restartNumberingAfterBreak="0">
    <w:nsid w:val="315970E5"/>
    <w:multiLevelType w:val="hybridMultilevel"/>
    <w:tmpl w:val="8F784FB4"/>
    <w:lvl w:ilvl="0" w:tplc="1EFCEAFC">
      <w:start w:val="1"/>
      <w:numFmt w:val="upperLetter"/>
      <w:lvlText w:val="%1."/>
      <w:lvlJc w:val="left"/>
      <w:pPr>
        <w:ind w:left="353"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01EEEB0">
      <w:start w:val="1"/>
      <w:numFmt w:val="decimal"/>
      <w:lvlText w:val="%2."/>
      <w:lvlJc w:val="left"/>
      <w:pPr>
        <w:ind w:left="6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F8E3FD4">
      <w:numFmt w:val="bullet"/>
      <w:lvlText w:val="•"/>
      <w:lvlJc w:val="left"/>
      <w:pPr>
        <w:ind w:left="1626" w:hanging="360"/>
      </w:pPr>
      <w:rPr>
        <w:rFonts w:hint="default"/>
        <w:lang w:val="en-US" w:eastAsia="en-US" w:bidi="ar-SA"/>
      </w:rPr>
    </w:lvl>
    <w:lvl w:ilvl="3" w:tplc="2550F230">
      <w:numFmt w:val="bullet"/>
      <w:lvlText w:val="•"/>
      <w:lvlJc w:val="left"/>
      <w:pPr>
        <w:ind w:left="2593" w:hanging="360"/>
      </w:pPr>
      <w:rPr>
        <w:rFonts w:hint="default"/>
        <w:lang w:val="en-US" w:eastAsia="en-US" w:bidi="ar-SA"/>
      </w:rPr>
    </w:lvl>
    <w:lvl w:ilvl="4" w:tplc="9D483AA4">
      <w:numFmt w:val="bullet"/>
      <w:lvlText w:val="•"/>
      <w:lvlJc w:val="left"/>
      <w:pPr>
        <w:ind w:left="3560" w:hanging="360"/>
      </w:pPr>
      <w:rPr>
        <w:rFonts w:hint="default"/>
        <w:lang w:val="en-US" w:eastAsia="en-US" w:bidi="ar-SA"/>
      </w:rPr>
    </w:lvl>
    <w:lvl w:ilvl="5" w:tplc="1D127B42">
      <w:numFmt w:val="bullet"/>
      <w:lvlText w:val="•"/>
      <w:lvlJc w:val="left"/>
      <w:pPr>
        <w:ind w:left="4526" w:hanging="360"/>
      </w:pPr>
      <w:rPr>
        <w:rFonts w:hint="default"/>
        <w:lang w:val="en-US" w:eastAsia="en-US" w:bidi="ar-SA"/>
      </w:rPr>
    </w:lvl>
    <w:lvl w:ilvl="6" w:tplc="37985292">
      <w:numFmt w:val="bullet"/>
      <w:lvlText w:val="•"/>
      <w:lvlJc w:val="left"/>
      <w:pPr>
        <w:ind w:left="5493" w:hanging="360"/>
      </w:pPr>
      <w:rPr>
        <w:rFonts w:hint="default"/>
        <w:lang w:val="en-US" w:eastAsia="en-US" w:bidi="ar-SA"/>
      </w:rPr>
    </w:lvl>
    <w:lvl w:ilvl="7" w:tplc="2FFE8A8E">
      <w:numFmt w:val="bullet"/>
      <w:lvlText w:val="•"/>
      <w:lvlJc w:val="left"/>
      <w:pPr>
        <w:ind w:left="6460" w:hanging="360"/>
      </w:pPr>
      <w:rPr>
        <w:rFonts w:hint="default"/>
        <w:lang w:val="en-US" w:eastAsia="en-US" w:bidi="ar-SA"/>
      </w:rPr>
    </w:lvl>
    <w:lvl w:ilvl="8" w:tplc="F8BAB190">
      <w:numFmt w:val="bullet"/>
      <w:lvlText w:val="•"/>
      <w:lvlJc w:val="left"/>
      <w:pPr>
        <w:ind w:left="7426" w:hanging="360"/>
      </w:pPr>
      <w:rPr>
        <w:rFonts w:hint="default"/>
        <w:lang w:val="en-US" w:eastAsia="en-US" w:bidi="ar-SA"/>
      </w:rPr>
    </w:lvl>
  </w:abstractNum>
  <w:abstractNum w:abstractNumId="3" w15:restartNumberingAfterBreak="0">
    <w:nsid w:val="4AE87543"/>
    <w:multiLevelType w:val="hybridMultilevel"/>
    <w:tmpl w:val="C1EC0E80"/>
    <w:lvl w:ilvl="0" w:tplc="AEF2E7D2">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B00E13A">
      <w:numFmt w:val="bullet"/>
      <w:lvlText w:val="•"/>
      <w:lvlJc w:val="left"/>
      <w:pPr>
        <w:ind w:left="1584" w:hanging="360"/>
      </w:pPr>
      <w:rPr>
        <w:rFonts w:hint="default"/>
        <w:lang w:val="en-US" w:eastAsia="en-US" w:bidi="ar-SA"/>
      </w:rPr>
    </w:lvl>
    <w:lvl w:ilvl="2" w:tplc="2CA2C172">
      <w:numFmt w:val="bullet"/>
      <w:lvlText w:val="•"/>
      <w:lvlJc w:val="left"/>
      <w:pPr>
        <w:ind w:left="2448" w:hanging="360"/>
      </w:pPr>
      <w:rPr>
        <w:rFonts w:hint="default"/>
        <w:lang w:val="en-US" w:eastAsia="en-US" w:bidi="ar-SA"/>
      </w:rPr>
    </w:lvl>
    <w:lvl w:ilvl="3" w:tplc="B6EE3EE0">
      <w:numFmt w:val="bullet"/>
      <w:lvlText w:val="•"/>
      <w:lvlJc w:val="left"/>
      <w:pPr>
        <w:ind w:left="3312" w:hanging="360"/>
      </w:pPr>
      <w:rPr>
        <w:rFonts w:hint="default"/>
        <w:lang w:val="en-US" w:eastAsia="en-US" w:bidi="ar-SA"/>
      </w:rPr>
    </w:lvl>
    <w:lvl w:ilvl="4" w:tplc="7200D1CA">
      <w:numFmt w:val="bullet"/>
      <w:lvlText w:val="•"/>
      <w:lvlJc w:val="left"/>
      <w:pPr>
        <w:ind w:left="4176" w:hanging="360"/>
      </w:pPr>
      <w:rPr>
        <w:rFonts w:hint="default"/>
        <w:lang w:val="en-US" w:eastAsia="en-US" w:bidi="ar-SA"/>
      </w:rPr>
    </w:lvl>
    <w:lvl w:ilvl="5" w:tplc="CF6E2F3A">
      <w:numFmt w:val="bullet"/>
      <w:lvlText w:val="•"/>
      <w:lvlJc w:val="left"/>
      <w:pPr>
        <w:ind w:left="5040" w:hanging="360"/>
      </w:pPr>
      <w:rPr>
        <w:rFonts w:hint="default"/>
        <w:lang w:val="en-US" w:eastAsia="en-US" w:bidi="ar-SA"/>
      </w:rPr>
    </w:lvl>
    <w:lvl w:ilvl="6" w:tplc="50CC01B0">
      <w:numFmt w:val="bullet"/>
      <w:lvlText w:val="•"/>
      <w:lvlJc w:val="left"/>
      <w:pPr>
        <w:ind w:left="5904" w:hanging="360"/>
      </w:pPr>
      <w:rPr>
        <w:rFonts w:hint="default"/>
        <w:lang w:val="en-US" w:eastAsia="en-US" w:bidi="ar-SA"/>
      </w:rPr>
    </w:lvl>
    <w:lvl w:ilvl="7" w:tplc="03D2E614">
      <w:numFmt w:val="bullet"/>
      <w:lvlText w:val="•"/>
      <w:lvlJc w:val="left"/>
      <w:pPr>
        <w:ind w:left="6768" w:hanging="360"/>
      </w:pPr>
      <w:rPr>
        <w:rFonts w:hint="default"/>
        <w:lang w:val="en-US" w:eastAsia="en-US" w:bidi="ar-SA"/>
      </w:rPr>
    </w:lvl>
    <w:lvl w:ilvl="8" w:tplc="3B64D2C8">
      <w:numFmt w:val="bullet"/>
      <w:lvlText w:val="•"/>
      <w:lvlJc w:val="left"/>
      <w:pPr>
        <w:ind w:left="7632" w:hanging="360"/>
      </w:pPr>
      <w:rPr>
        <w:rFonts w:hint="default"/>
        <w:lang w:val="en-US" w:eastAsia="en-US" w:bidi="ar-SA"/>
      </w:rPr>
    </w:lvl>
  </w:abstractNum>
  <w:abstractNum w:abstractNumId="4" w15:restartNumberingAfterBreak="0">
    <w:nsid w:val="61820F96"/>
    <w:multiLevelType w:val="hybridMultilevel"/>
    <w:tmpl w:val="4F9438A6"/>
    <w:lvl w:ilvl="0" w:tplc="9DB0E97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BA224544">
      <w:numFmt w:val="bullet"/>
      <w:lvlText w:val="•"/>
      <w:lvlJc w:val="left"/>
      <w:pPr>
        <w:ind w:left="1584" w:hanging="360"/>
      </w:pPr>
      <w:rPr>
        <w:rFonts w:hint="default"/>
        <w:lang w:val="en-US" w:eastAsia="en-US" w:bidi="ar-SA"/>
      </w:rPr>
    </w:lvl>
    <w:lvl w:ilvl="2" w:tplc="AB2C4A32">
      <w:numFmt w:val="bullet"/>
      <w:lvlText w:val="•"/>
      <w:lvlJc w:val="left"/>
      <w:pPr>
        <w:ind w:left="2448" w:hanging="360"/>
      </w:pPr>
      <w:rPr>
        <w:rFonts w:hint="default"/>
        <w:lang w:val="en-US" w:eastAsia="en-US" w:bidi="ar-SA"/>
      </w:rPr>
    </w:lvl>
    <w:lvl w:ilvl="3" w:tplc="CDCE1072">
      <w:numFmt w:val="bullet"/>
      <w:lvlText w:val="•"/>
      <w:lvlJc w:val="left"/>
      <w:pPr>
        <w:ind w:left="3312" w:hanging="360"/>
      </w:pPr>
      <w:rPr>
        <w:rFonts w:hint="default"/>
        <w:lang w:val="en-US" w:eastAsia="en-US" w:bidi="ar-SA"/>
      </w:rPr>
    </w:lvl>
    <w:lvl w:ilvl="4" w:tplc="647EA310">
      <w:numFmt w:val="bullet"/>
      <w:lvlText w:val="•"/>
      <w:lvlJc w:val="left"/>
      <w:pPr>
        <w:ind w:left="4176" w:hanging="360"/>
      </w:pPr>
      <w:rPr>
        <w:rFonts w:hint="default"/>
        <w:lang w:val="en-US" w:eastAsia="en-US" w:bidi="ar-SA"/>
      </w:rPr>
    </w:lvl>
    <w:lvl w:ilvl="5" w:tplc="1DA48C48">
      <w:numFmt w:val="bullet"/>
      <w:lvlText w:val="•"/>
      <w:lvlJc w:val="left"/>
      <w:pPr>
        <w:ind w:left="5040" w:hanging="360"/>
      </w:pPr>
      <w:rPr>
        <w:rFonts w:hint="default"/>
        <w:lang w:val="en-US" w:eastAsia="en-US" w:bidi="ar-SA"/>
      </w:rPr>
    </w:lvl>
    <w:lvl w:ilvl="6" w:tplc="2C90166A">
      <w:numFmt w:val="bullet"/>
      <w:lvlText w:val="•"/>
      <w:lvlJc w:val="left"/>
      <w:pPr>
        <w:ind w:left="5904" w:hanging="360"/>
      </w:pPr>
      <w:rPr>
        <w:rFonts w:hint="default"/>
        <w:lang w:val="en-US" w:eastAsia="en-US" w:bidi="ar-SA"/>
      </w:rPr>
    </w:lvl>
    <w:lvl w:ilvl="7" w:tplc="5E229F8C">
      <w:numFmt w:val="bullet"/>
      <w:lvlText w:val="•"/>
      <w:lvlJc w:val="left"/>
      <w:pPr>
        <w:ind w:left="6768" w:hanging="360"/>
      </w:pPr>
      <w:rPr>
        <w:rFonts w:hint="default"/>
        <w:lang w:val="en-US" w:eastAsia="en-US" w:bidi="ar-SA"/>
      </w:rPr>
    </w:lvl>
    <w:lvl w:ilvl="8" w:tplc="696E1A96">
      <w:numFmt w:val="bullet"/>
      <w:lvlText w:val="•"/>
      <w:lvlJc w:val="left"/>
      <w:pPr>
        <w:ind w:left="7632" w:hanging="360"/>
      </w:pPr>
      <w:rPr>
        <w:rFonts w:hint="default"/>
        <w:lang w:val="en-US" w:eastAsia="en-US" w:bidi="ar-SA"/>
      </w:rPr>
    </w:lvl>
  </w:abstractNum>
  <w:num w:numId="1" w16cid:durableId="451098420">
    <w:abstractNumId w:val="4"/>
  </w:num>
  <w:num w:numId="2" w16cid:durableId="1614550550">
    <w:abstractNumId w:val="2"/>
  </w:num>
  <w:num w:numId="3" w16cid:durableId="188758564">
    <w:abstractNumId w:val="0"/>
  </w:num>
  <w:num w:numId="4" w16cid:durableId="1120221328">
    <w:abstractNumId w:val="3"/>
  </w:num>
  <w:num w:numId="5" w16cid:durableId="1797287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7B07"/>
    <w:rsid w:val="00117344"/>
    <w:rsid w:val="001A7B07"/>
    <w:rsid w:val="0022474A"/>
    <w:rsid w:val="00362875"/>
    <w:rsid w:val="003935F9"/>
    <w:rsid w:val="00766E13"/>
    <w:rsid w:val="008D6B06"/>
    <w:rsid w:val="00A66457"/>
    <w:rsid w:val="00C42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E1A5"/>
  <w15:docId w15:val="{C2D0DCA1-DB8B-4EF3-884D-FBB5AC23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6457"/>
    <w:pPr>
      <w:tabs>
        <w:tab w:val="center" w:pos="4680"/>
        <w:tab w:val="right" w:pos="9360"/>
      </w:tabs>
    </w:pPr>
  </w:style>
  <w:style w:type="character" w:customStyle="1" w:styleId="HeaderChar">
    <w:name w:val="Header Char"/>
    <w:basedOn w:val="DefaultParagraphFont"/>
    <w:link w:val="Header"/>
    <w:uiPriority w:val="99"/>
    <w:rsid w:val="00A66457"/>
    <w:rPr>
      <w:rFonts w:ascii="Times New Roman" w:eastAsia="Times New Roman" w:hAnsi="Times New Roman" w:cs="Times New Roman"/>
    </w:rPr>
  </w:style>
  <w:style w:type="paragraph" w:styleId="Footer">
    <w:name w:val="footer"/>
    <w:basedOn w:val="Normal"/>
    <w:link w:val="FooterChar"/>
    <w:uiPriority w:val="99"/>
    <w:unhideWhenUsed/>
    <w:rsid w:val="00A66457"/>
    <w:pPr>
      <w:tabs>
        <w:tab w:val="center" w:pos="4680"/>
        <w:tab w:val="right" w:pos="9360"/>
      </w:tabs>
    </w:pPr>
  </w:style>
  <w:style w:type="character" w:customStyle="1" w:styleId="FooterChar">
    <w:name w:val="Footer Char"/>
    <w:basedOn w:val="DefaultParagraphFont"/>
    <w:link w:val="Footer"/>
    <w:uiPriority w:val="99"/>
    <w:rsid w:val="00A66457"/>
    <w:rPr>
      <w:rFonts w:ascii="Times New Roman" w:eastAsia="Times New Roman" w:hAnsi="Times New Roman" w:cs="Times New Roman"/>
    </w:rPr>
  </w:style>
  <w:style w:type="character" w:styleId="PlaceholderText">
    <w:name w:val="Placeholder Text"/>
    <w:basedOn w:val="DefaultParagraphFont"/>
    <w:uiPriority w:val="99"/>
    <w:semiHidden/>
    <w:rsid w:val="00766E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3440</Words>
  <Characters>19613</Characters>
  <Application>Microsoft Office Word</Application>
  <DocSecurity>0</DocSecurity>
  <Lines>163</Lines>
  <Paragraphs>46</Paragraphs>
  <ScaleCrop>false</ScaleCrop>
  <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ElizabethSu</dc:creator>
  <cp:lastModifiedBy>Jennifer Fournier</cp:lastModifiedBy>
  <cp:revision>1</cp:revision>
  <dcterms:created xsi:type="dcterms:W3CDTF">2026-05-12T18:58:00Z</dcterms:created>
  <dcterms:modified xsi:type="dcterms:W3CDTF">2026-06-10T17:17:00Z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Microsoft® Word 2016</vt:lpwstr>
  </property>
  <property fmtid="{D5CDD505-2E9C-101B-9397-08002B2CF9AE}" pid="4" name="LastSaved">
    <vt:filetime>2026-05-12T00:00:00Z</vt:filetime>
  </property>
  <property fmtid="{D5CDD505-2E9C-101B-9397-08002B2CF9AE}" pid="5" name="Producer">
    <vt:lpwstr>Microsoft® Word 2016</vt:lpwstr>
  </property>
</Properties>
</file>