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11B3" w14:textId="5F664D23" w:rsidR="00CF390A" w:rsidRPr="009828E2" w:rsidRDefault="009F54F6" w:rsidP="009828E2">
      <w:pPr>
        <w:pStyle w:val="Default"/>
        <w:jc w:val="both"/>
        <w:rPr>
          <w:b/>
        </w:rPr>
      </w:pPr>
      <w:r>
        <w:rPr>
          <w:b/>
        </w:rPr>
        <w:t>Sotterley</w:t>
      </w:r>
      <w:r w:rsidR="00A119ED">
        <w:rPr>
          <w:b/>
        </w:rPr>
        <w:t xml:space="preserve"> Country Fair </w:t>
      </w:r>
      <w:r>
        <w:rPr>
          <w:b/>
        </w:rPr>
        <w:t>21</w:t>
      </w:r>
      <w:r w:rsidRPr="009F54F6">
        <w:rPr>
          <w:b/>
          <w:vertAlign w:val="superscript"/>
        </w:rPr>
        <w:t>st</w:t>
      </w:r>
      <w:r>
        <w:rPr>
          <w:b/>
        </w:rPr>
        <w:t xml:space="preserve"> June 2026</w:t>
      </w:r>
    </w:p>
    <w:p w14:paraId="7A9CC1D0" w14:textId="77777777" w:rsidR="00CF390A" w:rsidRPr="009828E2" w:rsidRDefault="00CF390A" w:rsidP="009828E2">
      <w:pPr>
        <w:pStyle w:val="Default"/>
        <w:jc w:val="both"/>
        <w:rPr>
          <w:b/>
        </w:rPr>
      </w:pPr>
      <w:r w:rsidRPr="009828E2">
        <w:rPr>
          <w:b/>
        </w:rPr>
        <w:t>Tender for Catering provision</w:t>
      </w:r>
    </w:p>
    <w:p w14:paraId="6AC434D5" w14:textId="77777777" w:rsidR="00CF390A" w:rsidRPr="009828E2" w:rsidRDefault="00CF390A" w:rsidP="009828E2">
      <w:pPr>
        <w:pStyle w:val="Default"/>
        <w:jc w:val="both"/>
      </w:pPr>
    </w:p>
    <w:p w14:paraId="042BBB5B" w14:textId="77777777" w:rsidR="00CF390A" w:rsidRPr="009828E2" w:rsidRDefault="00CF390A" w:rsidP="009828E2">
      <w:pPr>
        <w:pStyle w:val="Default"/>
        <w:jc w:val="both"/>
      </w:pPr>
      <w:r w:rsidRPr="009828E2">
        <w:t xml:space="preserve"> 1. INTRODUCTION </w:t>
      </w:r>
    </w:p>
    <w:p w14:paraId="1CBF3BCC" w14:textId="77777777" w:rsidR="007917BE" w:rsidRDefault="007917BE" w:rsidP="009828E2">
      <w:pPr>
        <w:pStyle w:val="Default"/>
        <w:jc w:val="both"/>
      </w:pPr>
    </w:p>
    <w:p w14:paraId="6F65BB40" w14:textId="41E57614" w:rsidR="00CF390A" w:rsidRPr="009828E2" w:rsidRDefault="00CF390A" w:rsidP="009828E2">
      <w:pPr>
        <w:pStyle w:val="Default"/>
        <w:jc w:val="both"/>
      </w:pPr>
      <w:r w:rsidRPr="009828E2">
        <w:t xml:space="preserve">1.1 </w:t>
      </w:r>
      <w:r w:rsidR="009F54F6">
        <w:t>Sotterley</w:t>
      </w:r>
      <w:r w:rsidR="00074776">
        <w:t xml:space="preserve"> Country Fair aims</w:t>
      </w:r>
      <w:r w:rsidR="001565F4" w:rsidRPr="009828E2">
        <w:t xml:space="preserve"> to provide a family event with the focus being on supporting local charities. </w:t>
      </w:r>
      <w:r w:rsidRPr="009828E2">
        <w:t xml:space="preserve">The event is </w:t>
      </w:r>
      <w:r w:rsidR="00074776">
        <w:t>licensed</w:t>
      </w:r>
      <w:r w:rsidRPr="009828E2">
        <w:t xml:space="preserve"> </w:t>
      </w:r>
      <w:r w:rsidR="001565F4" w:rsidRPr="009828E2">
        <w:t xml:space="preserve">and insured </w:t>
      </w:r>
      <w:r w:rsidRPr="009828E2">
        <w:t>for a max</w:t>
      </w:r>
      <w:r w:rsidR="001565F4" w:rsidRPr="009828E2">
        <w:t xml:space="preserve">imum of 3,000 visitors at any one time. </w:t>
      </w:r>
    </w:p>
    <w:p w14:paraId="2CCD84A8" w14:textId="77777777" w:rsidR="007917BE" w:rsidRDefault="007917BE" w:rsidP="009828E2">
      <w:pPr>
        <w:pStyle w:val="Default"/>
        <w:jc w:val="both"/>
      </w:pPr>
    </w:p>
    <w:p w14:paraId="6366E4FD" w14:textId="01452834" w:rsidR="00CF390A" w:rsidRPr="009828E2" w:rsidRDefault="001565F4" w:rsidP="009828E2">
      <w:pPr>
        <w:pStyle w:val="Default"/>
        <w:jc w:val="both"/>
      </w:pPr>
      <w:r w:rsidRPr="009828E2">
        <w:t xml:space="preserve">1.2 The </w:t>
      </w:r>
      <w:r w:rsidR="00074776">
        <w:t>organizers</w:t>
      </w:r>
      <w:r w:rsidRPr="009828E2">
        <w:t xml:space="preserve"> are </w:t>
      </w:r>
      <w:r w:rsidR="00CF390A" w:rsidRPr="009828E2">
        <w:t>offering the opportunity for established outdoor catering companies (hereafter known as the Tenderer) to apply for catering concessions (hereafter</w:t>
      </w:r>
      <w:r w:rsidRPr="009828E2">
        <w:t xml:space="preserve"> known as the Concession) at </w:t>
      </w:r>
      <w:r w:rsidR="009F54F6">
        <w:t>Sotterley</w:t>
      </w:r>
      <w:r w:rsidRPr="009828E2">
        <w:t xml:space="preserve"> Country Fair (</w:t>
      </w:r>
      <w:r w:rsidR="009F54F6">
        <w:t>S</w:t>
      </w:r>
      <w:r w:rsidRPr="009828E2">
        <w:t>CF)</w:t>
      </w:r>
      <w:r w:rsidR="00CF390A" w:rsidRPr="009828E2">
        <w:t xml:space="preserve">, the terms and conditions of which can be found in the following pages. </w:t>
      </w:r>
    </w:p>
    <w:p w14:paraId="7D6BB471" w14:textId="77777777" w:rsidR="001565F4" w:rsidRPr="009828E2" w:rsidRDefault="001565F4" w:rsidP="009828E2">
      <w:pPr>
        <w:pStyle w:val="Default"/>
        <w:jc w:val="both"/>
      </w:pPr>
    </w:p>
    <w:p w14:paraId="27F660E4" w14:textId="77777777" w:rsidR="00CF390A" w:rsidRPr="009828E2" w:rsidRDefault="00CF390A" w:rsidP="009828E2">
      <w:pPr>
        <w:pStyle w:val="Default"/>
        <w:jc w:val="both"/>
      </w:pPr>
      <w:r w:rsidRPr="009828E2">
        <w:t xml:space="preserve">2. TERMS AND CONDITIONS </w:t>
      </w:r>
    </w:p>
    <w:p w14:paraId="31EFDED3" w14:textId="77777777" w:rsidR="007917BE" w:rsidRDefault="007917BE" w:rsidP="009828E2">
      <w:pPr>
        <w:pStyle w:val="Default"/>
        <w:jc w:val="both"/>
      </w:pPr>
    </w:p>
    <w:p w14:paraId="5A440FE1" w14:textId="5FCAB034" w:rsidR="00CF390A" w:rsidRPr="009828E2" w:rsidRDefault="00CF390A" w:rsidP="009828E2">
      <w:pPr>
        <w:pStyle w:val="Default"/>
        <w:jc w:val="both"/>
      </w:pPr>
      <w:r w:rsidRPr="009828E2">
        <w:t xml:space="preserve">2.1 </w:t>
      </w:r>
      <w:r w:rsidR="009F54F6">
        <w:t>SCF</w:t>
      </w:r>
      <w:r w:rsidR="001565F4" w:rsidRPr="009828E2">
        <w:t xml:space="preserve"> is offering up to seven main</w:t>
      </w:r>
      <w:r w:rsidRPr="009828E2">
        <w:t xml:space="preserve"> catering spaces to reflect the theme associated with this community event. Note Consideration will be given to those tenderers who supply a variety of food</w:t>
      </w:r>
      <w:r w:rsidR="001565F4" w:rsidRPr="009828E2">
        <w:t xml:space="preserve"> or products</w:t>
      </w:r>
      <w:r w:rsidRPr="009828E2">
        <w:t xml:space="preserve">. </w:t>
      </w:r>
    </w:p>
    <w:p w14:paraId="002212AB" w14:textId="77777777" w:rsidR="001565F4" w:rsidRPr="009828E2" w:rsidRDefault="001565F4" w:rsidP="009828E2">
      <w:pPr>
        <w:pStyle w:val="Default"/>
        <w:jc w:val="both"/>
      </w:pPr>
    </w:p>
    <w:p w14:paraId="3632DB20" w14:textId="3C1FBBF8" w:rsidR="00CF390A" w:rsidRPr="009828E2" w:rsidRDefault="00CF390A" w:rsidP="009828E2">
      <w:pPr>
        <w:pStyle w:val="Default"/>
        <w:jc w:val="both"/>
      </w:pPr>
      <w:r w:rsidRPr="009828E2">
        <w:t>2.2 The Tenderer will b</w:t>
      </w:r>
      <w:r w:rsidR="001565F4" w:rsidRPr="009828E2">
        <w:t>e all</w:t>
      </w:r>
      <w:r w:rsidR="00BD7453">
        <w:t xml:space="preserve">owed to operate from </w:t>
      </w:r>
      <w:r w:rsidR="00074776">
        <w:t>9 am</w:t>
      </w:r>
      <w:r w:rsidR="00BD7453">
        <w:t xml:space="preserve"> to</w:t>
      </w:r>
      <w:r w:rsidR="00A119ED">
        <w:t xml:space="preserve"> </w:t>
      </w:r>
      <w:r w:rsidR="009F54F6">
        <w:t>5</w:t>
      </w:r>
      <w:r w:rsidR="00074776">
        <w:t xml:space="preserve"> pm</w:t>
      </w:r>
      <w:r w:rsidR="00BD7453">
        <w:t xml:space="preserve"> on </w:t>
      </w:r>
      <w:r w:rsidR="009F54F6">
        <w:t>Sunday 21</w:t>
      </w:r>
      <w:r w:rsidR="009F54F6" w:rsidRPr="009F54F6">
        <w:rPr>
          <w:vertAlign w:val="superscript"/>
        </w:rPr>
        <w:t>st</w:t>
      </w:r>
      <w:r w:rsidR="009F54F6">
        <w:t xml:space="preserve"> June 2026</w:t>
      </w:r>
    </w:p>
    <w:p w14:paraId="580D2C86" w14:textId="77777777" w:rsidR="001565F4" w:rsidRPr="009828E2" w:rsidRDefault="001565F4" w:rsidP="009828E2">
      <w:pPr>
        <w:pStyle w:val="Default"/>
        <w:jc w:val="both"/>
      </w:pPr>
    </w:p>
    <w:p w14:paraId="0C71E700" w14:textId="47AF6309" w:rsidR="001565F4" w:rsidRPr="009828E2" w:rsidRDefault="00CF390A" w:rsidP="009828E2">
      <w:pPr>
        <w:pStyle w:val="Default"/>
        <w:jc w:val="both"/>
      </w:pPr>
      <w:r w:rsidRPr="009828E2">
        <w:t xml:space="preserve">2.3 On </w:t>
      </w:r>
      <w:r w:rsidR="001565F4" w:rsidRPr="009828E2">
        <w:t>the day</w:t>
      </w:r>
      <w:r w:rsidRPr="009828E2">
        <w:t xml:space="preserve"> access to the site for cateri</w:t>
      </w:r>
      <w:r w:rsidR="001565F4" w:rsidRPr="009828E2">
        <w:t xml:space="preserve">ng units will be allowed from </w:t>
      </w:r>
      <w:r w:rsidR="00074776">
        <w:t>07.30 am</w:t>
      </w:r>
      <w:r w:rsidR="001565F4" w:rsidRPr="009828E2">
        <w:t xml:space="preserve"> &amp; they must be in place by </w:t>
      </w:r>
      <w:r w:rsidR="00074776">
        <w:t>09.00 am</w:t>
      </w:r>
      <w:r w:rsidRPr="009828E2">
        <w:t xml:space="preserve">. No vehicle can leave the site until the event has finished at </w:t>
      </w:r>
      <w:r w:rsidR="00A119ED">
        <w:t>8pm</w:t>
      </w:r>
      <w:r w:rsidRPr="009828E2">
        <w:t xml:space="preserve"> and all vehicles</w:t>
      </w:r>
      <w:r w:rsidR="001565F4" w:rsidRPr="009828E2">
        <w:t xml:space="preserve"> </w:t>
      </w:r>
      <w:r w:rsidR="00074776">
        <w:t xml:space="preserve">are </w:t>
      </w:r>
      <w:r w:rsidR="001565F4" w:rsidRPr="009828E2">
        <w:t xml:space="preserve">to be removed by </w:t>
      </w:r>
      <w:r w:rsidR="00A119ED">
        <w:t>9</w:t>
      </w:r>
      <w:r w:rsidR="001565F4" w:rsidRPr="009828E2">
        <w:t>.00</w:t>
      </w:r>
      <w:r w:rsidR="00A119ED">
        <w:t xml:space="preserve">am </w:t>
      </w:r>
      <w:r w:rsidR="001565F4" w:rsidRPr="009828E2">
        <w:t xml:space="preserve">the following day. Set up can be on the previous day when agreed with the </w:t>
      </w:r>
      <w:r w:rsidR="00074776">
        <w:t>organiser</w:t>
      </w:r>
      <w:r w:rsidR="00A604B1">
        <w:t>.</w:t>
      </w:r>
    </w:p>
    <w:p w14:paraId="08B7A812" w14:textId="77777777" w:rsidR="001565F4" w:rsidRPr="009828E2" w:rsidRDefault="001565F4" w:rsidP="009828E2">
      <w:pPr>
        <w:pStyle w:val="Default"/>
        <w:jc w:val="both"/>
      </w:pPr>
    </w:p>
    <w:p w14:paraId="08B76F71" w14:textId="287AFA47" w:rsidR="00CF390A" w:rsidRPr="009828E2" w:rsidRDefault="00CF390A" w:rsidP="009828E2">
      <w:pPr>
        <w:pStyle w:val="Default"/>
        <w:jc w:val="both"/>
      </w:pPr>
      <w:r w:rsidRPr="009828E2">
        <w:t>2.4 Tenderers should be aware that</w:t>
      </w:r>
      <w:r w:rsidR="00A119ED">
        <w:t xml:space="preserve"> </w:t>
      </w:r>
      <w:r w:rsidRPr="009828E2">
        <w:t xml:space="preserve">ice cream units will be in operation, </w:t>
      </w:r>
      <w:r w:rsidR="001565F4" w:rsidRPr="009828E2">
        <w:t>and a single Bar</w:t>
      </w:r>
      <w:r w:rsidRPr="009828E2">
        <w:t xml:space="preserve"> concession selling a</w:t>
      </w:r>
      <w:r w:rsidR="001565F4" w:rsidRPr="009828E2">
        <w:t>lcohol, spirits</w:t>
      </w:r>
      <w:r w:rsidR="00074776">
        <w:t>,</w:t>
      </w:r>
      <w:r w:rsidR="001565F4" w:rsidRPr="009828E2">
        <w:t xml:space="preserve"> and soft drinks. There </w:t>
      </w:r>
      <w:r w:rsidR="00074776">
        <w:t>may be</w:t>
      </w:r>
      <w:r w:rsidR="001565F4" w:rsidRPr="009828E2">
        <w:t xml:space="preserve"> local traders providing specific alcoholic or food products if this is their main product. A local charity </w:t>
      </w:r>
      <w:r w:rsidR="00A119ED">
        <w:t>may</w:t>
      </w:r>
      <w:r w:rsidR="001565F4" w:rsidRPr="009828E2">
        <w:t xml:space="preserve"> also be running tea/coffee/cake </w:t>
      </w:r>
      <w:r w:rsidR="00A119ED">
        <w:t xml:space="preserve">on site. </w:t>
      </w:r>
      <w:r w:rsidR="001565F4" w:rsidRPr="009828E2">
        <w:t xml:space="preserve"> </w:t>
      </w:r>
      <w:r w:rsidR="00A119ED">
        <w:t xml:space="preserve">The site also </w:t>
      </w:r>
      <w:proofErr w:type="gramStart"/>
      <w:r w:rsidR="00A119ED">
        <w:t>have</w:t>
      </w:r>
      <w:proofErr w:type="gramEnd"/>
      <w:r w:rsidR="00A119ED">
        <w:t xml:space="preserve"> the right to </w:t>
      </w:r>
      <w:proofErr w:type="spellStart"/>
      <w:r w:rsidR="00A119ED">
        <w:t>see</w:t>
      </w:r>
      <w:r w:rsidR="009F54F6">
        <w:t>l</w:t>
      </w:r>
      <w:proofErr w:type="spellEnd"/>
      <w:r w:rsidR="00A119ED">
        <w:t xml:space="preserve"> food and ice creams In line with their normal operations. </w:t>
      </w:r>
    </w:p>
    <w:p w14:paraId="003AFEAC" w14:textId="77777777" w:rsidR="001565F4" w:rsidRPr="009828E2" w:rsidRDefault="001565F4" w:rsidP="009828E2">
      <w:pPr>
        <w:pStyle w:val="Default"/>
        <w:jc w:val="both"/>
      </w:pPr>
    </w:p>
    <w:p w14:paraId="7248BDEF" w14:textId="73340761" w:rsidR="00CF390A" w:rsidRPr="009828E2" w:rsidRDefault="00CF390A" w:rsidP="009828E2">
      <w:pPr>
        <w:pStyle w:val="Default"/>
        <w:jc w:val="both"/>
        <w:rPr>
          <w:rFonts w:cstheme="minorBidi"/>
          <w:color w:val="auto"/>
        </w:rPr>
      </w:pPr>
      <w:r w:rsidRPr="009828E2">
        <w:rPr>
          <w:rFonts w:cstheme="minorBidi"/>
          <w:color w:val="auto"/>
        </w:rPr>
        <w:t>2.5 Details of the catering stalls that can be provided by the Tenderer must be listed as part of the Form of Tender submission together with the income offered for the Concession, a sample copy of menus, price lists</w:t>
      </w:r>
      <w:r w:rsidR="00074776">
        <w:rPr>
          <w:rFonts w:cstheme="minorBidi"/>
          <w:color w:val="auto"/>
        </w:rPr>
        <w:t>,</w:t>
      </w:r>
      <w:r w:rsidRPr="009828E2">
        <w:rPr>
          <w:rFonts w:cstheme="minorBidi"/>
          <w:color w:val="auto"/>
        </w:rPr>
        <w:t xml:space="preserve"> and photographs of the units. </w:t>
      </w:r>
    </w:p>
    <w:p w14:paraId="6BAB7588" w14:textId="77777777" w:rsidR="001565F4" w:rsidRPr="009828E2" w:rsidRDefault="001565F4" w:rsidP="009828E2">
      <w:pPr>
        <w:pStyle w:val="Default"/>
        <w:jc w:val="both"/>
        <w:rPr>
          <w:rFonts w:cstheme="minorBidi"/>
          <w:color w:val="auto"/>
        </w:rPr>
      </w:pPr>
    </w:p>
    <w:p w14:paraId="2BC8C670" w14:textId="1ED557AE" w:rsidR="00CF390A" w:rsidRPr="009828E2" w:rsidRDefault="00CF390A" w:rsidP="009828E2">
      <w:pPr>
        <w:pStyle w:val="Default"/>
        <w:jc w:val="both"/>
        <w:rPr>
          <w:rFonts w:cstheme="minorBidi"/>
          <w:color w:val="auto"/>
        </w:rPr>
      </w:pPr>
      <w:r w:rsidRPr="009828E2">
        <w:rPr>
          <w:rFonts w:cstheme="minorBidi"/>
          <w:color w:val="auto"/>
        </w:rPr>
        <w:t xml:space="preserve">2.6 All unit towing vehicles </w:t>
      </w:r>
      <w:r w:rsidR="00074776">
        <w:rPr>
          <w:rFonts w:cstheme="minorBidi"/>
          <w:color w:val="auto"/>
        </w:rPr>
        <w:t xml:space="preserve">are </w:t>
      </w:r>
      <w:r w:rsidRPr="009828E2">
        <w:rPr>
          <w:rFonts w:cstheme="minorBidi"/>
          <w:color w:val="auto"/>
        </w:rPr>
        <w:t xml:space="preserve">to be placed at the rear of the catering unit unless such a vehicle is an integral part of the catering unit. The size of the catering unit required and </w:t>
      </w:r>
      <w:r w:rsidR="00074776">
        <w:rPr>
          <w:rFonts w:cstheme="minorBidi"/>
          <w:color w:val="auto"/>
        </w:rPr>
        <w:t xml:space="preserve">the </w:t>
      </w:r>
      <w:r w:rsidRPr="009828E2">
        <w:rPr>
          <w:rFonts w:cstheme="minorBidi"/>
          <w:color w:val="auto"/>
        </w:rPr>
        <w:t xml:space="preserve">support vehicle to be listed as part of the Form of Tender submission. </w:t>
      </w:r>
    </w:p>
    <w:p w14:paraId="50717D0B" w14:textId="77777777" w:rsidR="001565F4" w:rsidRPr="009828E2" w:rsidRDefault="001565F4" w:rsidP="009828E2">
      <w:pPr>
        <w:pStyle w:val="Default"/>
        <w:jc w:val="both"/>
        <w:rPr>
          <w:rFonts w:cstheme="minorBidi"/>
          <w:color w:val="auto"/>
        </w:rPr>
      </w:pPr>
    </w:p>
    <w:p w14:paraId="2CD6FE57" w14:textId="2D3CAE49" w:rsidR="00CF390A" w:rsidRPr="009828E2" w:rsidRDefault="00CF390A" w:rsidP="009828E2">
      <w:pPr>
        <w:pStyle w:val="Default"/>
        <w:jc w:val="both"/>
        <w:rPr>
          <w:rFonts w:cstheme="minorBidi"/>
          <w:color w:val="auto"/>
        </w:rPr>
      </w:pPr>
      <w:r w:rsidRPr="009828E2">
        <w:rPr>
          <w:rFonts w:cstheme="minorBidi"/>
          <w:color w:val="auto"/>
        </w:rPr>
        <w:t xml:space="preserve">2.7 Catering units must be self-contained and not require any power supplies from </w:t>
      </w:r>
      <w:r w:rsidR="009F54F6">
        <w:rPr>
          <w:rFonts w:cstheme="minorBidi"/>
          <w:color w:val="auto"/>
        </w:rPr>
        <w:t>SCF</w:t>
      </w:r>
      <w:r w:rsidR="001565F4" w:rsidRPr="009828E2">
        <w:rPr>
          <w:rFonts w:cstheme="minorBidi"/>
          <w:color w:val="auto"/>
        </w:rPr>
        <w:t xml:space="preserve">. </w:t>
      </w:r>
    </w:p>
    <w:p w14:paraId="4EE8264C" w14:textId="77777777" w:rsidR="001565F4" w:rsidRPr="009828E2" w:rsidRDefault="001565F4" w:rsidP="009828E2">
      <w:pPr>
        <w:pStyle w:val="Default"/>
        <w:jc w:val="both"/>
        <w:rPr>
          <w:rFonts w:cstheme="minorBidi"/>
          <w:color w:val="auto"/>
        </w:rPr>
      </w:pPr>
    </w:p>
    <w:p w14:paraId="3B121185" w14:textId="1D686003" w:rsidR="00CF390A" w:rsidRPr="009828E2" w:rsidRDefault="001565F4" w:rsidP="009828E2">
      <w:pPr>
        <w:pStyle w:val="Default"/>
        <w:jc w:val="both"/>
        <w:rPr>
          <w:rFonts w:cstheme="minorBidi"/>
          <w:color w:val="auto"/>
        </w:rPr>
      </w:pPr>
      <w:r w:rsidRPr="009828E2">
        <w:rPr>
          <w:rFonts w:cstheme="minorBidi"/>
          <w:color w:val="auto"/>
        </w:rPr>
        <w:lastRenderedPageBreak/>
        <w:t>2.8</w:t>
      </w:r>
      <w:r w:rsidR="00CF390A" w:rsidRPr="009828E2">
        <w:rPr>
          <w:rFonts w:cstheme="minorBidi"/>
          <w:color w:val="auto"/>
        </w:rPr>
        <w:t xml:space="preserve"> </w:t>
      </w:r>
      <w:r w:rsidR="009F54F6">
        <w:rPr>
          <w:rFonts w:cstheme="minorBidi"/>
          <w:color w:val="auto"/>
        </w:rPr>
        <w:t>SCF</w:t>
      </w:r>
      <w:r w:rsidR="00CF390A" w:rsidRPr="009828E2">
        <w:rPr>
          <w:rFonts w:cstheme="minorBidi"/>
          <w:color w:val="auto"/>
        </w:rPr>
        <w:t xml:space="preserve"> reserves the right, acting reasonably but at its absolute discretion, to close any Concession at any time if </w:t>
      </w:r>
      <w:r w:rsidR="00074776">
        <w:rPr>
          <w:rFonts w:cstheme="minorBidi"/>
          <w:color w:val="auto"/>
        </w:rPr>
        <w:t>it</w:t>
      </w:r>
      <w:r w:rsidR="00CF390A" w:rsidRPr="009828E2">
        <w:rPr>
          <w:rFonts w:cstheme="minorBidi"/>
          <w:color w:val="auto"/>
        </w:rPr>
        <w:t xml:space="preserve"> </w:t>
      </w:r>
      <w:r w:rsidR="00074776">
        <w:rPr>
          <w:rFonts w:cstheme="minorBidi"/>
          <w:color w:val="auto"/>
        </w:rPr>
        <w:t>considers</w:t>
      </w:r>
      <w:r w:rsidR="00CF390A" w:rsidRPr="009828E2">
        <w:rPr>
          <w:rFonts w:cstheme="minorBidi"/>
          <w:color w:val="auto"/>
        </w:rPr>
        <w:t xml:space="preserve"> that there is a need to do so. </w:t>
      </w:r>
    </w:p>
    <w:p w14:paraId="3F36E1F9" w14:textId="77777777" w:rsidR="001565F4" w:rsidRPr="009828E2" w:rsidRDefault="001565F4" w:rsidP="009828E2">
      <w:pPr>
        <w:pStyle w:val="Default"/>
        <w:jc w:val="both"/>
        <w:rPr>
          <w:rFonts w:cstheme="minorBidi"/>
          <w:color w:val="auto"/>
        </w:rPr>
      </w:pPr>
    </w:p>
    <w:p w14:paraId="3787F250" w14:textId="30A4EBBC" w:rsidR="00CF390A" w:rsidRPr="009828E2" w:rsidRDefault="001565F4" w:rsidP="009828E2">
      <w:pPr>
        <w:pStyle w:val="Default"/>
        <w:jc w:val="both"/>
        <w:rPr>
          <w:rFonts w:cstheme="minorBidi"/>
          <w:color w:val="auto"/>
        </w:rPr>
      </w:pPr>
      <w:r w:rsidRPr="009828E2">
        <w:rPr>
          <w:rFonts w:cstheme="minorBidi"/>
          <w:color w:val="auto"/>
        </w:rPr>
        <w:t>2.9</w:t>
      </w:r>
      <w:r w:rsidR="00CF390A" w:rsidRPr="009828E2">
        <w:rPr>
          <w:rFonts w:cstheme="minorBidi"/>
          <w:color w:val="auto"/>
        </w:rPr>
        <w:t xml:space="preserve"> In the event of the </w:t>
      </w:r>
      <w:r w:rsidR="006E1592">
        <w:rPr>
          <w:rFonts w:cstheme="minorBidi"/>
          <w:color w:val="auto"/>
        </w:rPr>
        <w:t xml:space="preserve">Fair </w:t>
      </w:r>
      <w:r w:rsidR="00CF390A" w:rsidRPr="009828E2">
        <w:rPr>
          <w:rFonts w:cstheme="minorBidi"/>
          <w:color w:val="auto"/>
        </w:rPr>
        <w:t xml:space="preserve">being postponed or abandoned, or in the event of supplies, services or facilities being curtailed due to a strike, </w:t>
      </w:r>
      <w:r w:rsidR="00127139">
        <w:rPr>
          <w:rFonts w:cstheme="minorBidi"/>
          <w:color w:val="auto"/>
        </w:rPr>
        <w:t xml:space="preserve">public health, </w:t>
      </w:r>
      <w:r w:rsidR="00CF390A" w:rsidRPr="009828E2">
        <w:rPr>
          <w:rFonts w:cstheme="minorBidi"/>
          <w:color w:val="auto"/>
        </w:rPr>
        <w:t>lock-out</w:t>
      </w:r>
      <w:r w:rsidR="00074776">
        <w:rPr>
          <w:rFonts w:cstheme="minorBidi"/>
          <w:color w:val="auto"/>
        </w:rPr>
        <w:t>,</w:t>
      </w:r>
      <w:r w:rsidR="00CF390A" w:rsidRPr="009828E2">
        <w:rPr>
          <w:rFonts w:cstheme="minorBidi"/>
          <w:color w:val="auto"/>
        </w:rPr>
        <w:t xml:space="preserve"> or other circumstances beyond the reasonable control of </w:t>
      </w:r>
      <w:r w:rsidR="009F54F6">
        <w:rPr>
          <w:rFonts w:cstheme="minorBidi"/>
          <w:color w:val="auto"/>
        </w:rPr>
        <w:t>SCF</w:t>
      </w:r>
      <w:r w:rsidR="00CF390A" w:rsidRPr="009828E2">
        <w:rPr>
          <w:rFonts w:cstheme="minorBidi"/>
          <w:color w:val="auto"/>
        </w:rPr>
        <w:t xml:space="preserve">, </w:t>
      </w:r>
      <w:r w:rsidR="009F54F6">
        <w:rPr>
          <w:rFonts w:cstheme="minorBidi"/>
          <w:color w:val="auto"/>
        </w:rPr>
        <w:t>SCF</w:t>
      </w:r>
      <w:r w:rsidR="00CF390A" w:rsidRPr="009828E2">
        <w:rPr>
          <w:rFonts w:cstheme="minorBidi"/>
          <w:color w:val="auto"/>
        </w:rPr>
        <w:t xml:space="preserve"> shall not be liable for any expenditure, loss, damage or liability sustained or incurred by the Tenderer. </w:t>
      </w:r>
    </w:p>
    <w:p w14:paraId="7567AD44" w14:textId="77777777" w:rsidR="001565F4" w:rsidRPr="009828E2" w:rsidRDefault="001565F4" w:rsidP="009828E2">
      <w:pPr>
        <w:pStyle w:val="Default"/>
        <w:jc w:val="both"/>
        <w:rPr>
          <w:rFonts w:cstheme="minorBidi"/>
          <w:color w:val="auto"/>
        </w:rPr>
      </w:pPr>
    </w:p>
    <w:p w14:paraId="256F117A" w14:textId="45062ACB" w:rsidR="00CF390A" w:rsidRPr="009828E2" w:rsidRDefault="001565F4" w:rsidP="009828E2">
      <w:pPr>
        <w:pStyle w:val="Default"/>
        <w:jc w:val="both"/>
        <w:rPr>
          <w:rFonts w:cstheme="minorBidi"/>
          <w:color w:val="auto"/>
        </w:rPr>
      </w:pPr>
      <w:r w:rsidRPr="009828E2">
        <w:rPr>
          <w:rFonts w:cstheme="minorBidi"/>
          <w:color w:val="auto"/>
        </w:rPr>
        <w:t>2.10</w:t>
      </w:r>
      <w:r w:rsidR="00A604B1">
        <w:rPr>
          <w:rFonts w:cstheme="minorBidi"/>
          <w:color w:val="auto"/>
        </w:rPr>
        <w:t xml:space="preserve"> The use of silenced </w:t>
      </w:r>
      <w:r w:rsidR="00CF390A" w:rsidRPr="009828E2">
        <w:rPr>
          <w:rFonts w:cstheme="minorBidi"/>
          <w:color w:val="auto"/>
        </w:rPr>
        <w:t xml:space="preserve">generators for the operation of the catering unit will be permitted. </w:t>
      </w:r>
    </w:p>
    <w:p w14:paraId="30FE2DE4" w14:textId="77777777" w:rsidR="001565F4" w:rsidRPr="009828E2" w:rsidRDefault="001565F4" w:rsidP="009828E2">
      <w:pPr>
        <w:pStyle w:val="Default"/>
        <w:jc w:val="both"/>
        <w:rPr>
          <w:rFonts w:cstheme="minorBidi"/>
          <w:color w:val="auto"/>
        </w:rPr>
      </w:pPr>
    </w:p>
    <w:p w14:paraId="223362FD" w14:textId="2043C789" w:rsidR="00CF390A" w:rsidRPr="009828E2" w:rsidRDefault="001565F4" w:rsidP="009828E2">
      <w:pPr>
        <w:pStyle w:val="Default"/>
        <w:jc w:val="both"/>
        <w:rPr>
          <w:rFonts w:cstheme="minorBidi"/>
          <w:color w:val="auto"/>
        </w:rPr>
      </w:pPr>
      <w:r w:rsidRPr="009828E2">
        <w:rPr>
          <w:rFonts w:cstheme="minorBidi"/>
          <w:color w:val="auto"/>
        </w:rPr>
        <w:t>2.11</w:t>
      </w:r>
      <w:r w:rsidR="00CF390A" w:rsidRPr="009828E2">
        <w:rPr>
          <w:rFonts w:cstheme="minorBidi"/>
          <w:color w:val="auto"/>
        </w:rPr>
        <w:t xml:space="preserve"> The Tenderer shall fully indemnify </w:t>
      </w:r>
      <w:r w:rsidR="009F54F6">
        <w:rPr>
          <w:rFonts w:cstheme="minorBidi"/>
          <w:color w:val="auto"/>
        </w:rPr>
        <w:t>SCF</w:t>
      </w:r>
      <w:r w:rsidR="00CF390A" w:rsidRPr="009828E2">
        <w:rPr>
          <w:rFonts w:cstheme="minorBidi"/>
          <w:color w:val="auto"/>
        </w:rPr>
        <w:t xml:space="preserve"> against all proceedings, costs, claims, demands</w:t>
      </w:r>
      <w:r w:rsidR="00074776">
        <w:rPr>
          <w:rFonts w:cstheme="minorBidi"/>
          <w:color w:val="auto"/>
        </w:rPr>
        <w:t>,</w:t>
      </w:r>
      <w:r w:rsidR="00CF390A" w:rsidRPr="009828E2">
        <w:rPr>
          <w:rFonts w:cstheme="minorBidi"/>
          <w:color w:val="auto"/>
        </w:rPr>
        <w:t xml:space="preserve"> and liability howsoever arising, whether directly or indirectly, in connection with the </w:t>
      </w:r>
      <w:r w:rsidR="00074776">
        <w:rPr>
          <w:rFonts w:cstheme="minorBidi"/>
          <w:color w:val="auto"/>
        </w:rPr>
        <w:t>Tenderer's</w:t>
      </w:r>
      <w:r w:rsidR="00CF390A" w:rsidRPr="009828E2">
        <w:rPr>
          <w:rFonts w:cstheme="minorBidi"/>
          <w:color w:val="auto"/>
        </w:rPr>
        <w:t xml:space="preserve"> occupation at the </w:t>
      </w:r>
      <w:proofErr w:type="gramStart"/>
      <w:r w:rsidR="00CF390A" w:rsidRPr="009828E2">
        <w:rPr>
          <w:rFonts w:cstheme="minorBidi"/>
          <w:color w:val="auto"/>
        </w:rPr>
        <w:t>Festival</w:t>
      </w:r>
      <w:proofErr w:type="gramEnd"/>
      <w:r w:rsidR="00CF390A" w:rsidRPr="009828E2">
        <w:rPr>
          <w:rFonts w:cstheme="minorBidi"/>
          <w:color w:val="auto"/>
        </w:rPr>
        <w:t xml:space="preserve"> and in particular (but without limitation to the generality of the foregoing) shall indemnify </w:t>
      </w:r>
      <w:r w:rsidR="009F54F6">
        <w:rPr>
          <w:rFonts w:cstheme="minorBidi"/>
          <w:color w:val="auto"/>
        </w:rPr>
        <w:t>SCF</w:t>
      </w:r>
      <w:r w:rsidR="00CF390A" w:rsidRPr="009828E2">
        <w:rPr>
          <w:rFonts w:cstheme="minorBidi"/>
          <w:color w:val="auto"/>
        </w:rPr>
        <w:t xml:space="preserve"> against any liability for injury to or death of any person and loss of or damage to any property, howsoever caused. </w:t>
      </w:r>
    </w:p>
    <w:p w14:paraId="2869519D" w14:textId="77777777" w:rsidR="001565F4" w:rsidRPr="009828E2" w:rsidRDefault="001565F4" w:rsidP="009828E2">
      <w:pPr>
        <w:pStyle w:val="Default"/>
        <w:jc w:val="both"/>
        <w:rPr>
          <w:rFonts w:cstheme="minorBidi"/>
          <w:color w:val="auto"/>
        </w:rPr>
      </w:pPr>
    </w:p>
    <w:p w14:paraId="6B6CB55F" w14:textId="3E437998" w:rsidR="00CF390A" w:rsidRPr="009828E2" w:rsidRDefault="001565F4" w:rsidP="009828E2">
      <w:pPr>
        <w:pStyle w:val="Default"/>
        <w:jc w:val="both"/>
        <w:rPr>
          <w:rFonts w:cstheme="minorBidi"/>
          <w:color w:val="auto"/>
        </w:rPr>
      </w:pPr>
      <w:r w:rsidRPr="009828E2">
        <w:rPr>
          <w:rFonts w:cstheme="minorBidi"/>
          <w:color w:val="auto"/>
        </w:rPr>
        <w:t>2.12</w:t>
      </w:r>
      <w:r w:rsidR="00CF390A" w:rsidRPr="009828E2">
        <w:rPr>
          <w:rFonts w:cstheme="minorBidi"/>
          <w:color w:val="auto"/>
        </w:rPr>
        <w:t xml:space="preserve">Further, the Tenderer shall in connection with their liability hereunder affect a public liability insurance policy for an indemnity limit of not less than </w:t>
      </w:r>
      <w:r w:rsidR="00074776">
        <w:rPr>
          <w:rFonts w:cstheme="minorBidi"/>
          <w:color w:val="auto"/>
        </w:rPr>
        <w:t>5 million pounds</w:t>
      </w:r>
      <w:r w:rsidR="00CF390A" w:rsidRPr="009828E2">
        <w:rPr>
          <w:rFonts w:cstheme="minorBidi"/>
          <w:color w:val="auto"/>
        </w:rPr>
        <w:t xml:space="preserve"> in respect of any one occurrence. The Tenderer must also hold </w:t>
      </w:r>
      <w:proofErr w:type="gramStart"/>
      <w:r w:rsidR="00CF390A" w:rsidRPr="009828E2">
        <w:rPr>
          <w:rFonts w:cstheme="minorBidi"/>
          <w:color w:val="auto"/>
        </w:rPr>
        <w:t>employees</w:t>
      </w:r>
      <w:proofErr w:type="gramEnd"/>
      <w:r w:rsidR="00CF390A" w:rsidRPr="009828E2">
        <w:rPr>
          <w:rFonts w:cstheme="minorBidi"/>
          <w:color w:val="auto"/>
        </w:rPr>
        <w:t xml:space="preserve"> liability insurance cover and by this tendering process</w:t>
      </w:r>
      <w:r w:rsidR="00074776">
        <w:rPr>
          <w:rFonts w:cstheme="minorBidi"/>
          <w:color w:val="auto"/>
        </w:rPr>
        <w:t>,</w:t>
      </w:r>
      <w:r w:rsidR="00CF390A" w:rsidRPr="009828E2">
        <w:rPr>
          <w:rFonts w:cstheme="minorBidi"/>
          <w:color w:val="auto"/>
        </w:rPr>
        <w:t xml:space="preserve"> it is assumed that this cover is in place and held by the Tenderer. A copy of the public liability certificates must be supplied as part of the tender; the original insurance certificate should be brought along and must be available for sight by </w:t>
      </w:r>
      <w:r w:rsidR="009F54F6">
        <w:rPr>
          <w:rFonts w:cstheme="minorBidi"/>
          <w:color w:val="auto"/>
        </w:rPr>
        <w:t>SCF</w:t>
      </w:r>
      <w:r w:rsidR="00CF390A" w:rsidRPr="009828E2">
        <w:rPr>
          <w:rFonts w:cstheme="minorBidi"/>
          <w:color w:val="auto"/>
        </w:rPr>
        <w:t xml:space="preserve">. </w:t>
      </w:r>
    </w:p>
    <w:p w14:paraId="4476E656" w14:textId="77777777" w:rsidR="009828E2" w:rsidRPr="009828E2" w:rsidRDefault="009828E2" w:rsidP="009828E2">
      <w:pPr>
        <w:pStyle w:val="Default"/>
        <w:jc w:val="both"/>
        <w:rPr>
          <w:rFonts w:cstheme="minorBidi"/>
          <w:color w:val="auto"/>
        </w:rPr>
      </w:pPr>
    </w:p>
    <w:p w14:paraId="206F4F94" w14:textId="3C12E52A" w:rsidR="00CF390A" w:rsidRPr="009828E2" w:rsidRDefault="001565F4" w:rsidP="009828E2">
      <w:pPr>
        <w:pStyle w:val="Default"/>
        <w:jc w:val="both"/>
        <w:rPr>
          <w:rFonts w:cstheme="minorBidi"/>
          <w:color w:val="auto"/>
        </w:rPr>
      </w:pPr>
      <w:r w:rsidRPr="009828E2">
        <w:rPr>
          <w:rFonts w:cstheme="minorBidi"/>
          <w:color w:val="auto"/>
        </w:rPr>
        <w:t>2.13</w:t>
      </w:r>
      <w:r w:rsidR="00CF390A" w:rsidRPr="009828E2">
        <w:rPr>
          <w:rFonts w:cstheme="minorBidi"/>
          <w:color w:val="auto"/>
        </w:rPr>
        <w:t xml:space="preserve"> The Tenderer must keep suitable </w:t>
      </w:r>
      <w:r w:rsidR="00074776">
        <w:rPr>
          <w:rFonts w:cstheme="minorBidi"/>
          <w:color w:val="auto"/>
        </w:rPr>
        <w:t>firefighting</w:t>
      </w:r>
      <w:r w:rsidR="00CF390A" w:rsidRPr="009828E2">
        <w:rPr>
          <w:rFonts w:cstheme="minorBidi"/>
          <w:color w:val="auto"/>
        </w:rPr>
        <w:t xml:space="preserve"> equipment </w:t>
      </w:r>
      <w:r w:rsidR="00074776">
        <w:rPr>
          <w:rFonts w:cstheme="minorBidi"/>
          <w:color w:val="auto"/>
        </w:rPr>
        <w:t>about</w:t>
      </w:r>
      <w:r w:rsidR="00CF390A" w:rsidRPr="009828E2">
        <w:rPr>
          <w:rFonts w:cstheme="minorBidi"/>
          <w:color w:val="auto"/>
        </w:rPr>
        <w:t xml:space="preserve"> the Concession available for use at all times. </w:t>
      </w:r>
      <w:r w:rsidR="009F54F6">
        <w:rPr>
          <w:rFonts w:cstheme="minorBidi"/>
          <w:color w:val="auto"/>
        </w:rPr>
        <w:t>SCF</w:t>
      </w:r>
      <w:r w:rsidR="00CF390A" w:rsidRPr="009828E2">
        <w:rPr>
          <w:rFonts w:cstheme="minorBidi"/>
          <w:color w:val="auto"/>
        </w:rPr>
        <w:t xml:space="preserve"> reserves the right to inspect all units and equipment with or without the Fire Officer, </w:t>
      </w:r>
      <w:r w:rsidR="00074776">
        <w:rPr>
          <w:rFonts w:cstheme="minorBidi"/>
          <w:color w:val="auto"/>
        </w:rPr>
        <w:t>to ensure</w:t>
      </w:r>
      <w:r w:rsidR="00CF390A" w:rsidRPr="009828E2">
        <w:rPr>
          <w:rFonts w:cstheme="minorBidi"/>
          <w:color w:val="auto"/>
        </w:rPr>
        <w:t xml:space="preserve"> that adequate fire precautions have been taken. </w:t>
      </w:r>
    </w:p>
    <w:p w14:paraId="694CAE8A" w14:textId="77777777" w:rsidR="009828E2" w:rsidRPr="009828E2" w:rsidRDefault="009828E2" w:rsidP="009828E2">
      <w:pPr>
        <w:pStyle w:val="Default"/>
        <w:jc w:val="both"/>
        <w:rPr>
          <w:rFonts w:cstheme="minorBidi"/>
          <w:color w:val="auto"/>
        </w:rPr>
      </w:pPr>
    </w:p>
    <w:p w14:paraId="3DD0D2CD" w14:textId="77777777" w:rsidR="00CF390A" w:rsidRPr="009828E2" w:rsidRDefault="001565F4" w:rsidP="009828E2">
      <w:pPr>
        <w:pStyle w:val="Default"/>
        <w:jc w:val="both"/>
        <w:rPr>
          <w:rFonts w:cstheme="minorBidi"/>
          <w:color w:val="auto"/>
        </w:rPr>
      </w:pPr>
      <w:r w:rsidRPr="009828E2">
        <w:rPr>
          <w:rFonts w:cstheme="minorBidi"/>
          <w:color w:val="auto"/>
        </w:rPr>
        <w:t>2.14</w:t>
      </w:r>
      <w:r w:rsidR="00CF390A" w:rsidRPr="009828E2">
        <w:rPr>
          <w:rFonts w:cstheme="minorBidi"/>
          <w:color w:val="auto"/>
        </w:rPr>
        <w:t xml:space="preserve"> The Tenderer shall not be permitted to sub-let or share the whole or any portion of the pitch area allotted and any article or exhibition on such a pitch contrary to this rule will be removed. Any exhibitor infringing this rule will be expelled from the site. </w:t>
      </w:r>
    </w:p>
    <w:p w14:paraId="0F33E72E" w14:textId="77777777" w:rsidR="009828E2" w:rsidRPr="009828E2" w:rsidRDefault="009828E2" w:rsidP="009828E2">
      <w:pPr>
        <w:pStyle w:val="Default"/>
        <w:jc w:val="both"/>
        <w:rPr>
          <w:rFonts w:cstheme="minorBidi"/>
          <w:color w:val="auto"/>
        </w:rPr>
      </w:pPr>
    </w:p>
    <w:p w14:paraId="553887FB" w14:textId="3FC90182" w:rsidR="00CF390A" w:rsidRPr="009828E2" w:rsidRDefault="001565F4" w:rsidP="009828E2">
      <w:pPr>
        <w:pStyle w:val="Default"/>
        <w:jc w:val="both"/>
        <w:rPr>
          <w:rFonts w:cstheme="minorBidi"/>
          <w:color w:val="auto"/>
        </w:rPr>
      </w:pPr>
      <w:r w:rsidRPr="009828E2">
        <w:rPr>
          <w:rFonts w:cstheme="minorBidi"/>
          <w:color w:val="auto"/>
        </w:rPr>
        <w:t>2.15</w:t>
      </w:r>
      <w:r w:rsidR="00CF390A" w:rsidRPr="009828E2">
        <w:rPr>
          <w:rFonts w:cstheme="minorBidi"/>
          <w:color w:val="auto"/>
        </w:rPr>
        <w:t xml:space="preserve"> </w:t>
      </w:r>
      <w:r w:rsidR="009F54F6">
        <w:rPr>
          <w:rFonts w:cstheme="minorBidi"/>
          <w:color w:val="auto"/>
        </w:rPr>
        <w:t>SCF</w:t>
      </w:r>
      <w:r w:rsidR="00CF390A" w:rsidRPr="009828E2">
        <w:rPr>
          <w:rFonts w:cstheme="minorBidi"/>
          <w:color w:val="auto"/>
        </w:rPr>
        <w:t xml:space="preserve"> reserves the right to inspect all stands and equipment without prior notice. </w:t>
      </w:r>
    </w:p>
    <w:p w14:paraId="74C591D4" w14:textId="77777777" w:rsidR="009828E2" w:rsidRPr="009828E2" w:rsidRDefault="009828E2" w:rsidP="009828E2">
      <w:pPr>
        <w:pStyle w:val="Default"/>
        <w:jc w:val="both"/>
        <w:rPr>
          <w:rFonts w:cstheme="minorBidi"/>
          <w:color w:val="auto"/>
        </w:rPr>
      </w:pPr>
    </w:p>
    <w:p w14:paraId="5A787690" w14:textId="547BB2B2" w:rsidR="00CF390A" w:rsidRPr="009828E2" w:rsidRDefault="001565F4" w:rsidP="009828E2">
      <w:pPr>
        <w:pStyle w:val="Default"/>
        <w:jc w:val="both"/>
        <w:rPr>
          <w:rFonts w:cstheme="minorBidi"/>
          <w:color w:val="auto"/>
        </w:rPr>
      </w:pPr>
      <w:r w:rsidRPr="009828E2">
        <w:rPr>
          <w:rFonts w:cstheme="minorBidi"/>
          <w:color w:val="auto"/>
        </w:rPr>
        <w:t>2.16</w:t>
      </w:r>
      <w:r w:rsidR="00CF390A" w:rsidRPr="009828E2">
        <w:rPr>
          <w:rFonts w:cstheme="minorBidi"/>
          <w:color w:val="auto"/>
        </w:rPr>
        <w:t xml:space="preserve"> The Tenderer will meet all costs incurred for the installation of the catering unit and any supplies or </w:t>
      </w:r>
      <w:r w:rsidR="00074776">
        <w:rPr>
          <w:rFonts w:cstheme="minorBidi"/>
          <w:color w:val="auto"/>
        </w:rPr>
        <w:t>facilities/services</w:t>
      </w:r>
      <w:r w:rsidR="00CF390A" w:rsidRPr="009828E2">
        <w:rPr>
          <w:rFonts w:cstheme="minorBidi"/>
          <w:color w:val="auto"/>
        </w:rPr>
        <w:t xml:space="preserve"> needed. </w:t>
      </w:r>
    </w:p>
    <w:p w14:paraId="5A695897" w14:textId="77777777" w:rsidR="009828E2" w:rsidRPr="009828E2" w:rsidRDefault="009828E2" w:rsidP="009828E2">
      <w:pPr>
        <w:pStyle w:val="Default"/>
        <w:jc w:val="both"/>
        <w:rPr>
          <w:rFonts w:cstheme="minorBidi"/>
          <w:color w:val="auto"/>
        </w:rPr>
      </w:pPr>
    </w:p>
    <w:p w14:paraId="16787060" w14:textId="797A04AF" w:rsidR="00CF390A" w:rsidRPr="009828E2" w:rsidRDefault="001565F4" w:rsidP="009828E2">
      <w:pPr>
        <w:pStyle w:val="Default"/>
        <w:jc w:val="both"/>
        <w:rPr>
          <w:rFonts w:cstheme="minorBidi"/>
          <w:color w:val="auto"/>
        </w:rPr>
      </w:pPr>
      <w:r w:rsidRPr="009828E2">
        <w:rPr>
          <w:rFonts w:cstheme="minorBidi"/>
          <w:color w:val="auto"/>
        </w:rPr>
        <w:t>2.17</w:t>
      </w:r>
      <w:r w:rsidR="00CF390A" w:rsidRPr="009828E2">
        <w:rPr>
          <w:rFonts w:cstheme="minorBidi"/>
          <w:color w:val="auto"/>
        </w:rPr>
        <w:t xml:space="preserve"> The Tenderer is responsible </w:t>
      </w:r>
      <w:r w:rsidR="00074776">
        <w:rPr>
          <w:rFonts w:cstheme="minorBidi"/>
          <w:color w:val="auto"/>
        </w:rPr>
        <w:t>for ensuring</w:t>
      </w:r>
      <w:r w:rsidR="00CF390A" w:rsidRPr="009828E2">
        <w:rPr>
          <w:rFonts w:cstheme="minorBidi"/>
          <w:color w:val="auto"/>
        </w:rPr>
        <w:t xml:space="preserve"> that their pitch area is kept clean and free from litter. A rubbish collection point will be provided by </w:t>
      </w:r>
      <w:r w:rsidR="009F54F6">
        <w:rPr>
          <w:rFonts w:cstheme="minorBidi"/>
          <w:color w:val="auto"/>
        </w:rPr>
        <w:t>SCF</w:t>
      </w:r>
      <w:r w:rsidR="00CF390A" w:rsidRPr="009828E2">
        <w:rPr>
          <w:rFonts w:cstheme="minorBidi"/>
          <w:color w:val="auto"/>
        </w:rPr>
        <w:t xml:space="preserve"> for the disposal of waste</w:t>
      </w:r>
      <w:r w:rsidR="006C387D">
        <w:rPr>
          <w:rFonts w:cstheme="minorBidi"/>
          <w:color w:val="auto"/>
        </w:rPr>
        <w:t xml:space="preserve"> DURING THE DAY BY visitors.</w:t>
      </w:r>
      <w:r w:rsidR="00CF390A" w:rsidRPr="009828E2">
        <w:rPr>
          <w:rFonts w:cstheme="minorBidi"/>
          <w:color w:val="auto"/>
        </w:rPr>
        <w:t xml:space="preserve">  The public use of glass containers for drinks</w:t>
      </w:r>
      <w:r w:rsidR="006E1592">
        <w:rPr>
          <w:rFonts w:cstheme="minorBidi"/>
          <w:color w:val="auto"/>
        </w:rPr>
        <w:t xml:space="preserve"> and food will not be permitted. The fair wishes all traders to consider the most environmenta</w:t>
      </w:r>
      <w:r w:rsidR="00127139">
        <w:rPr>
          <w:rFonts w:cstheme="minorBidi"/>
          <w:color w:val="auto"/>
        </w:rPr>
        <w:t xml:space="preserve">lly friendly containers for </w:t>
      </w:r>
      <w:r w:rsidR="00074776">
        <w:rPr>
          <w:rFonts w:cstheme="minorBidi"/>
          <w:color w:val="auto"/>
        </w:rPr>
        <w:t>202</w:t>
      </w:r>
      <w:r w:rsidR="00A119ED">
        <w:rPr>
          <w:rFonts w:cstheme="minorBidi"/>
          <w:color w:val="auto"/>
        </w:rPr>
        <w:t>5</w:t>
      </w:r>
      <w:r w:rsidR="006C387D">
        <w:rPr>
          <w:rFonts w:cstheme="minorBidi"/>
          <w:color w:val="auto"/>
        </w:rPr>
        <w:t xml:space="preserve">, THEREFORE PLASTIC AND FOAM RESOURCES WILL NOT BE PERMITTED. ANY FOOD </w:t>
      </w:r>
      <w:proofErr w:type="gramStart"/>
      <w:r w:rsidR="006C387D">
        <w:rPr>
          <w:rFonts w:cstheme="minorBidi"/>
          <w:color w:val="auto"/>
        </w:rPr>
        <w:t>( COOKED</w:t>
      </w:r>
      <w:proofErr w:type="gramEnd"/>
      <w:r w:rsidR="006C387D">
        <w:rPr>
          <w:rFonts w:cstheme="minorBidi"/>
          <w:color w:val="auto"/>
        </w:rPr>
        <w:t xml:space="preserve"> OR UNCOOKED) WILL BE REMOVED BY THE </w:t>
      </w:r>
      <w:r w:rsidR="00074776">
        <w:rPr>
          <w:rFonts w:cstheme="minorBidi"/>
          <w:color w:val="auto"/>
        </w:rPr>
        <w:t>VENDOR</w:t>
      </w:r>
      <w:r w:rsidR="006C387D">
        <w:rPr>
          <w:rFonts w:cstheme="minorBidi"/>
          <w:color w:val="auto"/>
        </w:rPr>
        <w:t xml:space="preserve"> OR THERE WILL BE A FEE OF £100 PAYABLE WITHIN 7 DAYS.</w:t>
      </w:r>
    </w:p>
    <w:p w14:paraId="257BCC59" w14:textId="77777777" w:rsidR="009828E2" w:rsidRPr="009828E2" w:rsidRDefault="009828E2" w:rsidP="009828E2">
      <w:pPr>
        <w:pStyle w:val="Default"/>
        <w:jc w:val="both"/>
        <w:rPr>
          <w:rFonts w:cstheme="minorBidi"/>
          <w:color w:val="auto"/>
        </w:rPr>
      </w:pPr>
    </w:p>
    <w:p w14:paraId="195B3206" w14:textId="3C4E20DE" w:rsidR="00CF390A" w:rsidRPr="009828E2" w:rsidRDefault="009828E2" w:rsidP="009828E2">
      <w:pPr>
        <w:pStyle w:val="Default"/>
        <w:jc w:val="both"/>
        <w:rPr>
          <w:rFonts w:cstheme="minorBidi"/>
          <w:color w:val="auto"/>
        </w:rPr>
      </w:pPr>
      <w:r w:rsidRPr="009828E2">
        <w:rPr>
          <w:rFonts w:cstheme="minorBidi"/>
          <w:color w:val="auto"/>
        </w:rPr>
        <w:lastRenderedPageBreak/>
        <w:t>2.18</w:t>
      </w:r>
      <w:r w:rsidR="00CF390A" w:rsidRPr="009828E2">
        <w:rPr>
          <w:rFonts w:cstheme="minorBidi"/>
          <w:color w:val="auto"/>
        </w:rPr>
        <w:t xml:space="preserve"> Toilet facilities will be provided </w:t>
      </w:r>
      <w:r w:rsidR="00074776">
        <w:rPr>
          <w:rFonts w:cstheme="minorBidi"/>
          <w:color w:val="auto"/>
        </w:rPr>
        <w:t>on-site</w:t>
      </w:r>
      <w:r w:rsidR="00CF390A" w:rsidRPr="009828E2">
        <w:rPr>
          <w:rFonts w:cstheme="minorBidi"/>
          <w:color w:val="auto"/>
        </w:rPr>
        <w:t xml:space="preserve"> and maintained by </w:t>
      </w:r>
      <w:r w:rsidR="009F54F6">
        <w:rPr>
          <w:rFonts w:cstheme="minorBidi"/>
          <w:color w:val="auto"/>
        </w:rPr>
        <w:t>SCF</w:t>
      </w:r>
      <w:r w:rsidR="00CF390A" w:rsidRPr="009828E2">
        <w:rPr>
          <w:rFonts w:cstheme="minorBidi"/>
          <w:color w:val="auto"/>
        </w:rPr>
        <w:t xml:space="preserve">. </w:t>
      </w:r>
      <w:r w:rsidR="00AD40C9">
        <w:rPr>
          <w:rFonts w:cstheme="minorBidi"/>
          <w:color w:val="auto"/>
        </w:rPr>
        <w:t xml:space="preserve">Providers are responsible for providing drinking water related to your products. </w:t>
      </w:r>
    </w:p>
    <w:p w14:paraId="5A9AD2CA" w14:textId="77777777" w:rsidR="009828E2" w:rsidRPr="009828E2" w:rsidRDefault="009828E2" w:rsidP="009828E2">
      <w:pPr>
        <w:pStyle w:val="Default"/>
        <w:jc w:val="both"/>
        <w:rPr>
          <w:rFonts w:cstheme="minorBidi"/>
          <w:color w:val="auto"/>
        </w:rPr>
      </w:pPr>
    </w:p>
    <w:p w14:paraId="00957B95" w14:textId="373AD664" w:rsidR="00CF390A" w:rsidRPr="009828E2" w:rsidRDefault="009828E2" w:rsidP="009828E2">
      <w:pPr>
        <w:pStyle w:val="Default"/>
        <w:jc w:val="both"/>
        <w:rPr>
          <w:rFonts w:cstheme="minorBidi"/>
          <w:color w:val="auto"/>
        </w:rPr>
      </w:pPr>
      <w:r w:rsidRPr="009828E2">
        <w:rPr>
          <w:rFonts w:cstheme="minorBidi"/>
          <w:color w:val="auto"/>
        </w:rPr>
        <w:t>2.19.</w:t>
      </w:r>
      <w:r w:rsidR="00074776">
        <w:rPr>
          <w:rFonts w:cstheme="minorBidi"/>
          <w:color w:val="auto"/>
        </w:rPr>
        <w:t xml:space="preserve"> </w:t>
      </w:r>
      <w:r w:rsidR="00CF390A" w:rsidRPr="009828E2">
        <w:rPr>
          <w:rFonts w:cstheme="minorBidi"/>
          <w:color w:val="auto"/>
        </w:rPr>
        <w:t xml:space="preserve">The Tenderer must ensure that all plant and equipment provided or used by the Tenderer has been inspected and tested at suitably frequent intervals (or if applicable, as required by law) and is at all times in a safe condition and safe for use and have up to date certificates in place as required by law. The Tenderer will produce to </w:t>
      </w:r>
      <w:r w:rsidR="009F54F6">
        <w:rPr>
          <w:rFonts w:cstheme="minorBidi"/>
          <w:color w:val="auto"/>
        </w:rPr>
        <w:t>SCF</w:t>
      </w:r>
      <w:r w:rsidR="00CF390A" w:rsidRPr="009828E2">
        <w:rPr>
          <w:rFonts w:cstheme="minorBidi"/>
          <w:color w:val="auto"/>
        </w:rPr>
        <w:t xml:space="preserve"> on demand the following safety certificates: Safety certificates for each item of equipment where appropriate for public use. </w:t>
      </w:r>
    </w:p>
    <w:p w14:paraId="01B2C1B3" w14:textId="77777777" w:rsidR="009828E2" w:rsidRPr="009828E2" w:rsidRDefault="009828E2" w:rsidP="009828E2">
      <w:pPr>
        <w:pStyle w:val="Default"/>
        <w:jc w:val="both"/>
        <w:rPr>
          <w:rFonts w:cstheme="minorBidi"/>
          <w:color w:val="auto"/>
        </w:rPr>
      </w:pPr>
    </w:p>
    <w:p w14:paraId="41BD96D7" w14:textId="093314B1" w:rsidR="00CF390A" w:rsidRDefault="009828E2" w:rsidP="009828E2">
      <w:pPr>
        <w:pStyle w:val="Default"/>
        <w:jc w:val="both"/>
        <w:rPr>
          <w:rFonts w:cstheme="minorBidi"/>
          <w:color w:val="auto"/>
        </w:rPr>
      </w:pPr>
      <w:r w:rsidRPr="009828E2">
        <w:rPr>
          <w:rFonts w:cstheme="minorBidi"/>
          <w:color w:val="auto"/>
        </w:rPr>
        <w:t>2.20</w:t>
      </w:r>
      <w:r w:rsidR="00CF390A" w:rsidRPr="009828E2">
        <w:rPr>
          <w:rFonts w:cstheme="minorBidi"/>
          <w:color w:val="auto"/>
        </w:rPr>
        <w:t xml:space="preserve"> All food units must conform to the FOOD SAFETY ACT 1990, REGULATION (EC) No 852/2004, FOOD HYGIENE (ENGLAND) REGULATIONS 2006 and tenderers must provide Hygiene Certificates and Council Registration documents with the tender submission. N.B. If you have any queries regarding the above or wish any assistance to enable you to comply with this requirement, please contact </w:t>
      </w:r>
      <w:r w:rsidR="001565F4" w:rsidRPr="009828E2">
        <w:rPr>
          <w:rFonts w:cstheme="minorBidi"/>
          <w:color w:val="auto"/>
        </w:rPr>
        <w:t xml:space="preserve">the </w:t>
      </w:r>
      <w:r w:rsidR="00CF390A" w:rsidRPr="009828E2">
        <w:rPr>
          <w:rFonts w:cstheme="minorBidi"/>
          <w:color w:val="auto"/>
        </w:rPr>
        <w:t>Environmental Health Department during normal office hours</w:t>
      </w:r>
      <w:r w:rsidR="00074776">
        <w:rPr>
          <w:rFonts w:cstheme="minorBidi"/>
          <w:color w:val="auto"/>
        </w:rPr>
        <w:t xml:space="preserve">. </w:t>
      </w:r>
      <w:r w:rsidR="009F54F6">
        <w:rPr>
          <w:rFonts w:cstheme="minorBidi"/>
          <w:color w:val="auto"/>
        </w:rPr>
        <w:t>SCF</w:t>
      </w:r>
      <w:r w:rsidR="00074776">
        <w:rPr>
          <w:rFonts w:cstheme="minorBidi"/>
          <w:color w:val="auto"/>
        </w:rPr>
        <w:t xml:space="preserve"> has the right to restrict access to any stand that has a low food rating awarded between agreed tender and the day of the event. </w:t>
      </w:r>
    </w:p>
    <w:p w14:paraId="2BEFED4E" w14:textId="2E6F94A4" w:rsidR="006E1592" w:rsidRDefault="006E1592" w:rsidP="009828E2">
      <w:pPr>
        <w:pStyle w:val="Default"/>
        <w:jc w:val="both"/>
        <w:rPr>
          <w:rFonts w:cstheme="minorBidi"/>
          <w:color w:val="auto"/>
        </w:rPr>
      </w:pPr>
    </w:p>
    <w:p w14:paraId="09A6201D" w14:textId="6A7372D3" w:rsidR="006E1592" w:rsidRDefault="006E1592" w:rsidP="009828E2">
      <w:pPr>
        <w:pStyle w:val="Default"/>
        <w:jc w:val="both"/>
        <w:rPr>
          <w:rFonts w:cstheme="minorBidi"/>
          <w:color w:val="auto"/>
        </w:rPr>
      </w:pPr>
      <w:r>
        <w:rPr>
          <w:rFonts w:cstheme="minorBidi"/>
          <w:color w:val="auto"/>
        </w:rPr>
        <w:t xml:space="preserve">2.20 If the trader has faults or personal circumstances that stop the agreed provision </w:t>
      </w:r>
      <w:r w:rsidR="00074776">
        <w:rPr>
          <w:rFonts w:cstheme="minorBidi"/>
          <w:color w:val="auto"/>
        </w:rPr>
        <w:t xml:space="preserve">from </w:t>
      </w:r>
      <w:r>
        <w:rPr>
          <w:rFonts w:cstheme="minorBidi"/>
          <w:color w:val="auto"/>
        </w:rPr>
        <w:t xml:space="preserve">being delivered, the trader will still provide the agreed pitch fee. Cancellation of attendance at the event will only be accepted with a </w:t>
      </w:r>
      <w:r w:rsidR="00074776">
        <w:rPr>
          <w:rFonts w:cstheme="minorBidi"/>
          <w:color w:val="auto"/>
        </w:rPr>
        <w:t>non-payment</w:t>
      </w:r>
      <w:r>
        <w:rPr>
          <w:rFonts w:cstheme="minorBidi"/>
          <w:color w:val="auto"/>
        </w:rPr>
        <w:t xml:space="preserve"> agreement, 72 hours before the event start. </w:t>
      </w:r>
    </w:p>
    <w:p w14:paraId="4B527B7C" w14:textId="36582801" w:rsidR="008E6985" w:rsidRDefault="008E6985" w:rsidP="009828E2">
      <w:pPr>
        <w:pStyle w:val="Default"/>
        <w:jc w:val="both"/>
        <w:rPr>
          <w:rFonts w:cstheme="minorBidi"/>
          <w:color w:val="auto"/>
        </w:rPr>
      </w:pPr>
    </w:p>
    <w:p w14:paraId="6F036DAD" w14:textId="5E83CF1F" w:rsidR="008E6985" w:rsidRPr="008E6985" w:rsidRDefault="008E6985" w:rsidP="009828E2">
      <w:pPr>
        <w:pStyle w:val="Default"/>
        <w:jc w:val="both"/>
        <w:rPr>
          <w:rFonts w:cstheme="minorBidi"/>
          <w:b/>
          <w:color w:val="auto"/>
        </w:rPr>
      </w:pPr>
      <w:r w:rsidRPr="008E6985">
        <w:rPr>
          <w:rFonts w:cstheme="minorBidi"/>
          <w:b/>
          <w:color w:val="auto"/>
        </w:rPr>
        <w:t xml:space="preserve">2.21 The successful tenders will ensure that they comply with the current legislation relating to </w:t>
      </w:r>
      <w:r w:rsidR="00074776">
        <w:rPr>
          <w:rFonts w:cstheme="minorBidi"/>
          <w:b/>
          <w:color w:val="auto"/>
        </w:rPr>
        <w:t>COVID-19</w:t>
      </w:r>
      <w:r w:rsidRPr="008E6985">
        <w:rPr>
          <w:rFonts w:cstheme="minorBidi"/>
          <w:b/>
          <w:color w:val="auto"/>
        </w:rPr>
        <w:t xml:space="preserve"> or any other pandemics/outbreaks. </w:t>
      </w:r>
      <w:r w:rsidR="00074776">
        <w:rPr>
          <w:rFonts w:cstheme="minorBidi"/>
          <w:b/>
          <w:color w:val="auto"/>
        </w:rPr>
        <w:t>There must be</w:t>
      </w:r>
      <w:r w:rsidRPr="008E6985">
        <w:rPr>
          <w:rFonts w:cstheme="minorBidi"/>
          <w:b/>
          <w:color w:val="auto"/>
        </w:rPr>
        <w:t xml:space="preserve"> relevant risk assessments in place that promote this guidance, which could include social distancing, hand washing</w:t>
      </w:r>
      <w:r w:rsidR="00074776">
        <w:rPr>
          <w:rFonts w:cstheme="minorBidi"/>
          <w:b/>
          <w:color w:val="auto"/>
        </w:rPr>
        <w:t>,</w:t>
      </w:r>
      <w:r w:rsidRPr="008E6985">
        <w:rPr>
          <w:rFonts w:cstheme="minorBidi"/>
          <w:b/>
          <w:color w:val="auto"/>
        </w:rPr>
        <w:t xml:space="preserve"> and cleaning schedules. </w:t>
      </w:r>
    </w:p>
    <w:p w14:paraId="21509EE4" w14:textId="77777777" w:rsidR="001565F4" w:rsidRPr="009828E2" w:rsidRDefault="001565F4" w:rsidP="009828E2">
      <w:pPr>
        <w:pStyle w:val="Default"/>
        <w:jc w:val="both"/>
        <w:rPr>
          <w:rFonts w:cstheme="minorBidi"/>
          <w:color w:val="auto"/>
        </w:rPr>
      </w:pPr>
    </w:p>
    <w:p w14:paraId="2CEC67D2" w14:textId="77777777" w:rsidR="001565F4" w:rsidRPr="009828E2" w:rsidRDefault="001565F4" w:rsidP="009828E2">
      <w:pPr>
        <w:pStyle w:val="Default"/>
        <w:jc w:val="both"/>
        <w:rPr>
          <w:rFonts w:cstheme="minorBidi"/>
          <w:color w:val="auto"/>
        </w:rPr>
      </w:pPr>
    </w:p>
    <w:p w14:paraId="0457B8B6" w14:textId="77777777" w:rsidR="00CF390A" w:rsidRPr="009828E2" w:rsidRDefault="00CF390A" w:rsidP="009828E2">
      <w:pPr>
        <w:pStyle w:val="Default"/>
        <w:jc w:val="both"/>
        <w:rPr>
          <w:rFonts w:cstheme="minorBidi"/>
          <w:color w:val="auto"/>
        </w:rPr>
      </w:pPr>
    </w:p>
    <w:p w14:paraId="3455D44B" w14:textId="77777777" w:rsidR="00CF390A" w:rsidRPr="009828E2" w:rsidRDefault="00CF390A" w:rsidP="009828E2">
      <w:pPr>
        <w:pStyle w:val="Default"/>
        <w:pageBreakBefore/>
        <w:jc w:val="both"/>
        <w:rPr>
          <w:color w:val="auto"/>
        </w:rPr>
      </w:pPr>
      <w:r w:rsidRPr="009828E2">
        <w:rPr>
          <w:b/>
          <w:bCs/>
          <w:color w:val="auto"/>
        </w:rPr>
        <w:lastRenderedPageBreak/>
        <w:t xml:space="preserve">TENDER FORMS TO BE COMPLETED AND RETURNED (1 of 2) </w:t>
      </w:r>
    </w:p>
    <w:p w14:paraId="5BBE013C" w14:textId="30F75C94" w:rsidR="00CF390A" w:rsidRDefault="00CF390A" w:rsidP="009828E2">
      <w:pPr>
        <w:pStyle w:val="Default"/>
        <w:jc w:val="both"/>
        <w:rPr>
          <w:color w:val="auto"/>
        </w:rPr>
      </w:pPr>
      <w:r w:rsidRPr="009828E2">
        <w:rPr>
          <w:color w:val="auto"/>
        </w:rPr>
        <w:t xml:space="preserve">3. APPLICATION </w:t>
      </w:r>
    </w:p>
    <w:p w14:paraId="1CA765F8" w14:textId="5CFFAA84" w:rsidR="008E6985" w:rsidRDefault="008E6985" w:rsidP="009828E2">
      <w:pPr>
        <w:pStyle w:val="Default"/>
        <w:jc w:val="both"/>
        <w:rPr>
          <w:color w:val="auto"/>
        </w:rPr>
      </w:pPr>
    </w:p>
    <w:p w14:paraId="23423949" w14:textId="77777777" w:rsidR="009828E2" w:rsidRPr="009828E2" w:rsidRDefault="009828E2" w:rsidP="009828E2">
      <w:pPr>
        <w:pStyle w:val="Default"/>
        <w:jc w:val="both"/>
        <w:rPr>
          <w:color w:val="auto"/>
        </w:rPr>
      </w:pPr>
    </w:p>
    <w:p w14:paraId="3E9C5ADE" w14:textId="01ADB8D9" w:rsidR="00CF390A" w:rsidRPr="009828E2" w:rsidRDefault="00CF390A" w:rsidP="009828E2">
      <w:pPr>
        <w:pStyle w:val="Default"/>
        <w:jc w:val="both"/>
        <w:rPr>
          <w:color w:val="auto"/>
        </w:rPr>
      </w:pPr>
      <w:r w:rsidRPr="009828E2">
        <w:rPr>
          <w:color w:val="auto"/>
        </w:rPr>
        <w:t xml:space="preserve">3.1 Your application must be </w:t>
      </w:r>
      <w:r w:rsidR="009828E2" w:rsidRPr="009828E2">
        <w:rPr>
          <w:color w:val="auto"/>
        </w:rPr>
        <w:t xml:space="preserve">emailed or </w:t>
      </w:r>
      <w:r w:rsidRPr="009828E2">
        <w:rPr>
          <w:color w:val="auto"/>
        </w:rPr>
        <w:t xml:space="preserve">posted to </w:t>
      </w:r>
    </w:p>
    <w:p w14:paraId="0F56DD14" w14:textId="55610054" w:rsidR="009828E2" w:rsidRPr="009828E2" w:rsidRDefault="0029114C" w:rsidP="009828E2">
      <w:pPr>
        <w:pStyle w:val="Default"/>
        <w:jc w:val="both"/>
        <w:rPr>
          <w:color w:val="auto"/>
        </w:rPr>
      </w:pPr>
      <w:hyperlink r:id="rId7" w:history="1">
        <w:r w:rsidR="009F54F6">
          <w:rPr>
            <w:rStyle w:val="Hyperlink"/>
          </w:rPr>
          <w:t>Sotterley</w:t>
        </w:r>
        <w:r w:rsidR="009828E2" w:rsidRPr="009828E2">
          <w:rPr>
            <w:rStyle w:val="Hyperlink"/>
          </w:rPr>
          <w:t>countryfair@gmail.co</w:t>
        </w:r>
      </w:hyperlink>
      <w:r w:rsidR="00BD7453">
        <w:rPr>
          <w:rStyle w:val="Hyperlink"/>
        </w:rPr>
        <w:t>m</w:t>
      </w:r>
      <w:r w:rsidR="009828E2" w:rsidRPr="009828E2">
        <w:rPr>
          <w:color w:val="auto"/>
        </w:rPr>
        <w:t>.</w:t>
      </w:r>
    </w:p>
    <w:p w14:paraId="126C075C" w14:textId="60E15D42" w:rsidR="009828E2" w:rsidRDefault="009828E2" w:rsidP="009828E2">
      <w:pPr>
        <w:pStyle w:val="Default"/>
        <w:jc w:val="both"/>
        <w:rPr>
          <w:color w:val="auto"/>
        </w:rPr>
      </w:pPr>
      <w:r w:rsidRPr="009828E2">
        <w:rPr>
          <w:color w:val="auto"/>
        </w:rPr>
        <w:t xml:space="preserve">R Bunn, </w:t>
      </w:r>
      <w:r w:rsidR="00BD7453">
        <w:rPr>
          <w:color w:val="auto"/>
        </w:rPr>
        <w:t>21 Wharfedale, Carlton Colville, Lowestoft, Suffolk. NR33 8TA</w:t>
      </w:r>
    </w:p>
    <w:p w14:paraId="40C3A1CA" w14:textId="2C22A30B" w:rsidR="006E1592" w:rsidRDefault="006E1592" w:rsidP="009828E2">
      <w:pPr>
        <w:pStyle w:val="Default"/>
        <w:jc w:val="both"/>
        <w:rPr>
          <w:color w:val="auto"/>
        </w:rPr>
      </w:pPr>
    </w:p>
    <w:p w14:paraId="47D59C9C" w14:textId="0099157B" w:rsidR="006E1592" w:rsidRPr="006E1592" w:rsidRDefault="006E1592" w:rsidP="009828E2">
      <w:pPr>
        <w:pStyle w:val="Default"/>
        <w:jc w:val="both"/>
        <w:rPr>
          <w:b/>
          <w:color w:val="auto"/>
        </w:rPr>
      </w:pPr>
      <w:r w:rsidRPr="006E1592">
        <w:rPr>
          <w:b/>
          <w:color w:val="auto"/>
        </w:rPr>
        <w:t xml:space="preserve">Please attached proposed menu and planned charges, along with </w:t>
      </w:r>
      <w:r w:rsidR="00074776">
        <w:rPr>
          <w:b/>
          <w:color w:val="auto"/>
        </w:rPr>
        <w:t xml:space="preserve">the </w:t>
      </w:r>
      <w:r w:rsidRPr="006E1592">
        <w:rPr>
          <w:b/>
          <w:color w:val="auto"/>
        </w:rPr>
        <w:t xml:space="preserve">food hygiene certificate and insurance. </w:t>
      </w:r>
    </w:p>
    <w:p w14:paraId="556305A6" w14:textId="5733E1A8" w:rsidR="009828E2" w:rsidRDefault="009828E2" w:rsidP="009828E2">
      <w:pPr>
        <w:pStyle w:val="Default"/>
        <w:jc w:val="both"/>
        <w:rPr>
          <w:color w:val="auto"/>
        </w:rPr>
      </w:pPr>
    </w:p>
    <w:p w14:paraId="641A6804" w14:textId="066EDD94" w:rsidR="006E1592" w:rsidRDefault="006E1592" w:rsidP="009828E2">
      <w:pPr>
        <w:pStyle w:val="Default"/>
        <w:jc w:val="both"/>
        <w:rPr>
          <w:color w:val="auto"/>
        </w:rPr>
      </w:pPr>
      <w:r>
        <w:rPr>
          <w:color w:val="auto"/>
        </w:rPr>
        <w:t xml:space="preserve">Successful tenders will be notified by </w:t>
      </w:r>
      <w:r w:rsidR="00A119ED">
        <w:rPr>
          <w:color w:val="auto"/>
        </w:rPr>
        <w:t>1</w:t>
      </w:r>
      <w:r w:rsidR="009F54F6">
        <w:rPr>
          <w:color w:val="auto"/>
        </w:rPr>
        <w:t xml:space="preserve">/4/2026 </w:t>
      </w:r>
    </w:p>
    <w:p w14:paraId="6CADF186" w14:textId="77777777" w:rsidR="006E1592" w:rsidRPr="009828E2" w:rsidRDefault="006E1592" w:rsidP="009828E2">
      <w:pPr>
        <w:pStyle w:val="Default"/>
        <w:jc w:val="both"/>
        <w:rPr>
          <w:color w:val="auto"/>
        </w:rPr>
      </w:pPr>
    </w:p>
    <w:p w14:paraId="52DC981B" w14:textId="23FBC145" w:rsidR="00CF390A" w:rsidRPr="009828E2" w:rsidRDefault="00CF390A" w:rsidP="009828E2">
      <w:pPr>
        <w:pStyle w:val="Default"/>
        <w:jc w:val="both"/>
        <w:rPr>
          <w:color w:val="auto"/>
        </w:rPr>
      </w:pPr>
      <w:r w:rsidRPr="009828E2">
        <w:rPr>
          <w:color w:val="auto"/>
        </w:rPr>
        <w:t xml:space="preserve">3.2 The receipt of the application for the concession does not constitute an acceptance by </w:t>
      </w:r>
      <w:r w:rsidR="009F54F6">
        <w:rPr>
          <w:color w:val="auto"/>
        </w:rPr>
        <w:t>SCF</w:t>
      </w:r>
      <w:r w:rsidRPr="009828E2">
        <w:rPr>
          <w:color w:val="auto"/>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23"/>
      </w:tblGrid>
      <w:tr w:rsidR="00CF390A" w:rsidRPr="009828E2" w14:paraId="4DE0C7EB" w14:textId="77777777">
        <w:trPr>
          <w:trHeight w:val="631"/>
        </w:trPr>
        <w:tc>
          <w:tcPr>
            <w:tcW w:w="8923" w:type="dxa"/>
          </w:tcPr>
          <w:p w14:paraId="73C425BD" w14:textId="77777777" w:rsidR="009828E2" w:rsidRPr="009828E2" w:rsidRDefault="009828E2" w:rsidP="009828E2">
            <w:pPr>
              <w:pStyle w:val="Default"/>
              <w:jc w:val="both"/>
              <w:rPr>
                <w:color w:val="auto"/>
              </w:rPr>
            </w:pPr>
          </w:p>
          <w:p w14:paraId="46E8AD02" w14:textId="77777777" w:rsidR="009828E2" w:rsidRPr="009828E2" w:rsidRDefault="00CF390A" w:rsidP="009828E2">
            <w:pPr>
              <w:pStyle w:val="Default"/>
              <w:jc w:val="both"/>
              <w:rPr>
                <w:color w:val="auto"/>
              </w:rPr>
            </w:pPr>
            <w:r w:rsidRPr="009828E2">
              <w:rPr>
                <w:color w:val="auto"/>
              </w:rPr>
              <w:t>3.3 Please do not forward any monies at this stage. Please read and sign this notification clause and return it with your tender application</w:t>
            </w:r>
          </w:p>
          <w:p w14:paraId="67420E8D" w14:textId="77777777" w:rsidR="009828E2" w:rsidRPr="009828E2" w:rsidRDefault="009828E2" w:rsidP="009828E2">
            <w:pPr>
              <w:pStyle w:val="Default"/>
              <w:jc w:val="both"/>
              <w:rPr>
                <w:color w:val="auto"/>
              </w:rPr>
            </w:pPr>
          </w:p>
          <w:p w14:paraId="6C35157B" w14:textId="000BF8A8" w:rsidR="00CF390A" w:rsidRPr="009828E2" w:rsidRDefault="00CF390A" w:rsidP="009828E2">
            <w:pPr>
              <w:pStyle w:val="Default"/>
              <w:jc w:val="both"/>
            </w:pPr>
            <w:r w:rsidRPr="009828E2">
              <w:rPr>
                <w:color w:val="auto"/>
              </w:rPr>
              <w:t xml:space="preserve"> </w:t>
            </w:r>
            <w:r w:rsidRPr="009828E2">
              <w:t xml:space="preserve">I have read these Terms and Conditions. I understand them and agree to abide by them and any other conditions as issued by </w:t>
            </w:r>
            <w:r w:rsidR="009F54F6">
              <w:t>SCF</w:t>
            </w:r>
            <w:r w:rsidRPr="009828E2">
              <w:t xml:space="preserve">. </w:t>
            </w:r>
            <w:r w:rsidR="009828E2" w:rsidRPr="009828E2">
              <w:t xml:space="preserve">I understand that the committee decision is final and that if unsuccessful in this year’s tender, the </w:t>
            </w:r>
            <w:r w:rsidR="00074776">
              <w:t>vendor</w:t>
            </w:r>
            <w:r w:rsidR="009828E2" w:rsidRPr="009828E2">
              <w:t xml:space="preserve"> will not take any action that could cause the </w:t>
            </w:r>
            <w:r w:rsidR="00074776">
              <w:t>event's</w:t>
            </w:r>
            <w:r w:rsidR="009828E2" w:rsidRPr="009828E2">
              <w:t xml:space="preserve"> reputation harm. </w:t>
            </w:r>
          </w:p>
          <w:p w14:paraId="4B85FCDB" w14:textId="77777777" w:rsidR="009828E2" w:rsidRPr="009828E2" w:rsidRDefault="009828E2" w:rsidP="009828E2">
            <w:pPr>
              <w:pStyle w:val="Default"/>
              <w:jc w:val="both"/>
            </w:pPr>
          </w:p>
          <w:p w14:paraId="6E422A0F" w14:textId="77777777" w:rsidR="009828E2" w:rsidRPr="009828E2" w:rsidRDefault="009828E2" w:rsidP="009828E2">
            <w:pPr>
              <w:pStyle w:val="Default"/>
              <w:jc w:val="both"/>
            </w:pPr>
          </w:p>
          <w:p w14:paraId="7B546CBE" w14:textId="77777777" w:rsidR="009828E2" w:rsidRPr="009828E2" w:rsidRDefault="009828E2" w:rsidP="009828E2">
            <w:pPr>
              <w:pStyle w:val="Default"/>
              <w:jc w:val="both"/>
            </w:pPr>
          </w:p>
          <w:p w14:paraId="70DCB96B" w14:textId="77777777" w:rsidR="00CF390A" w:rsidRDefault="00CF390A" w:rsidP="009828E2">
            <w:pPr>
              <w:pStyle w:val="Default"/>
              <w:jc w:val="both"/>
            </w:pPr>
            <w:r w:rsidRPr="009828E2">
              <w:t xml:space="preserve">Signed </w:t>
            </w:r>
          </w:p>
          <w:p w14:paraId="5EC23C93" w14:textId="77777777" w:rsidR="00AD40C9" w:rsidRDefault="00AD40C9" w:rsidP="009828E2">
            <w:pPr>
              <w:pStyle w:val="Default"/>
              <w:jc w:val="both"/>
            </w:pPr>
          </w:p>
          <w:p w14:paraId="5C9AB33C" w14:textId="77777777" w:rsidR="00AD40C9" w:rsidRDefault="00AD40C9" w:rsidP="009828E2">
            <w:pPr>
              <w:pStyle w:val="Default"/>
              <w:jc w:val="both"/>
            </w:pPr>
          </w:p>
          <w:p w14:paraId="35DAEADA" w14:textId="77777777" w:rsidR="00AD40C9" w:rsidRDefault="00AD40C9" w:rsidP="009828E2">
            <w:pPr>
              <w:pStyle w:val="Default"/>
              <w:jc w:val="both"/>
            </w:pPr>
            <w:r>
              <w:t>Name</w:t>
            </w:r>
          </w:p>
          <w:p w14:paraId="2A706FCF" w14:textId="77777777" w:rsidR="00AD40C9" w:rsidRDefault="00AD40C9" w:rsidP="009828E2">
            <w:pPr>
              <w:pStyle w:val="Default"/>
              <w:jc w:val="both"/>
            </w:pPr>
          </w:p>
          <w:p w14:paraId="367E1E09" w14:textId="77777777" w:rsidR="00AD40C9" w:rsidRDefault="00AD40C9" w:rsidP="009828E2">
            <w:pPr>
              <w:pStyle w:val="Default"/>
              <w:jc w:val="both"/>
            </w:pPr>
          </w:p>
          <w:p w14:paraId="1F52FDD6" w14:textId="77777777" w:rsidR="00AD40C9" w:rsidRPr="009828E2" w:rsidRDefault="00AD40C9" w:rsidP="009828E2">
            <w:pPr>
              <w:pStyle w:val="Default"/>
              <w:jc w:val="both"/>
            </w:pPr>
            <w:r>
              <w:t xml:space="preserve">Date </w:t>
            </w:r>
          </w:p>
        </w:tc>
      </w:tr>
    </w:tbl>
    <w:p w14:paraId="43625FA8" w14:textId="77777777" w:rsidR="001D789E" w:rsidRPr="009828E2" w:rsidRDefault="001D789E" w:rsidP="009828E2">
      <w:pPr>
        <w:jc w:val="both"/>
        <w:rPr>
          <w:sz w:val="24"/>
          <w:szCs w:val="24"/>
        </w:rPr>
      </w:pPr>
    </w:p>
    <w:p w14:paraId="462B9D16" w14:textId="16C10567" w:rsidR="009828E2" w:rsidRDefault="009828E2" w:rsidP="00B50D80"/>
    <w:p w14:paraId="123628FD" w14:textId="77777777" w:rsidR="009828E2" w:rsidRDefault="009828E2" w:rsidP="00B50D80"/>
    <w:p w14:paraId="42CF3D23" w14:textId="77777777" w:rsidR="009828E2" w:rsidRDefault="009828E2" w:rsidP="00B50D80"/>
    <w:p w14:paraId="23694FA4" w14:textId="77777777" w:rsidR="009828E2" w:rsidRDefault="009828E2" w:rsidP="00B50D80"/>
    <w:p w14:paraId="4060EC27" w14:textId="645BE9DE" w:rsidR="009828E2" w:rsidRDefault="009828E2" w:rsidP="00B50D80">
      <w:pPr>
        <w:sectPr w:rsidR="009828E2">
          <w:headerReference w:type="default" r:id="rId8"/>
          <w:pgSz w:w="11906" w:h="16838"/>
          <w:pgMar w:top="1440" w:right="1440" w:bottom="1440" w:left="1440" w:header="708" w:footer="708" w:gutter="0"/>
          <w:cols w:space="708"/>
          <w:docGrid w:linePitch="360"/>
        </w:sectPr>
      </w:pPr>
    </w:p>
    <w:p w14:paraId="61505D99" w14:textId="77777777" w:rsidR="009828E2" w:rsidRDefault="009828E2" w:rsidP="00B50D80"/>
    <w:tbl>
      <w:tblPr>
        <w:tblW w:w="12010" w:type="dxa"/>
        <w:tblInd w:w="-108" w:type="dxa"/>
        <w:tblBorders>
          <w:top w:val="nil"/>
          <w:left w:val="nil"/>
          <w:bottom w:val="nil"/>
          <w:right w:val="nil"/>
        </w:tblBorders>
        <w:tblLayout w:type="fixed"/>
        <w:tblLook w:val="0000" w:firstRow="0" w:lastRow="0" w:firstColumn="0" w:lastColumn="0" w:noHBand="0" w:noVBand="0"/>
      </w:tblPr>
      <w:tblGrid>
        <w:gridCol w:w="2480"/>
        <w:gridCol w:w="2915"/>
        <w:gridCol w:w="2480"/>
        <w:gridCol w:w="4135"/>
      </w:tblGrid>
      <w:tr w:rsidR="006E1592" w14:paraId="23AB0E09" w14:textId="77777777" w:rsidTr="006E1592">
        <w:trPr>
          <w:trHeight w:val="257"/>
        </w:trPr>
        <w:tc>
          <w:tcPr>
            <w:tcW w:w="5395" w:type="dxa"/>
            <w:gridSpan w:val="2"/>
            <w:tcBorders>
              <w:top w:val="single" w:sz="4" w:space="0" w:color="auto"/>
              <w:left w:val="single" w:sz="4" w:space="0" w:color="auto"/>
              <w:bottom w:val="single" w:sz="4" w:space="0" w:color="auto"/>
              <w:right w:val="single" w:sz="4" w:space="0" w:color="auto"/>
            </w:tcBorders>
          </w:tcPr>
          <w:p w14:paraId="632390B8" w14:textId="77777777" w:rsidR="006E1592" w:rsidRDefault="006E1592" w:rsidP="009828E2">
            <w:pPr>
              <w:pStyle w:val="Default"/>
              <w:rPr>
                <w:b/>
                <w:bCs/>
                <w:sz w:val="32"/>
                <w:szCs w:val="32"/>
              </w:rPr>
            </w:pPr>
            <w:r>
              <w:rPr>
                <w:b/>
                <w:bCs/>
                <w:sz w:val="32"/>
                <w:szCs w:val="32"/>
              </w:rPr>
              <w:t xml:space="preserve">Type of provision </w:t>
            </w:r>
          </w:p>
        </w:tc>
        <w:tc>
          <w:tcPr>
            <w:tcW w:w="6615" w:type="dxa"/>
            <w:gridSpan w:val="2"/>
            <w:tcBorders>
              <w:top w:val="single" w:sz="4" w:space="0" w:color="auto"/>
              <w:left w:val="single" w:sz="4" w:space="0" w:color="auto"/>
              <w:bottom w:val="single" w:sz="4" w:space="0" w:color="auto"/>
              <w:right w:val="single" w:sz="4" w:space="0" w:color="auto"/>
            </w:tcBorders>
          </w:tcPr>
          <w:p w14:paraId="6673D063" w14:textId="77777777" w:rsidR="006E1592" w:rsidRDefault="006E1592" w:rsidP="009828E2">
            <w:pPr>
              <w:pStyle w:val="Default"/>
              <w:rPr>
                <w:b/>
                <w:bCs/>
                <w:sz w:val="32"/>
                <w:szCs w:val="32"/>
              </w:rPr>
            </w:pPr>
          </w:p>
          <w:p w14:paraId="040E553D" w14:textId="77777777" w:rsidR="006E1592" w:rsidRDefault="006E1592" w:rsidP="009828E2">
            <w:pPr>
              <w:pStyle w:val="Default"/>
              <w:rPr>
                <w:b/>
                <w:bCs/>
                <w:sz w:val="23"/>
                <w:szCs w:val="23"/>
              </w:rPr>
            </w:pPr>
          </w:p>
          <w:p w14:paraId="34E8AE86" w14:textId="77777777" w:rsidR="006E1592" w:rsidRDefault="006E1592" w:rsidP="009828E2">
            <w:pPr>
              <w:pStyle w:val="Default"/>
              <w:rPr>
                <w:b/>
                <w:bCs/>
                <w:sz w:val="23"/>
                <w:szCs w:val="23"/>
              </w:rPr>
            </w:pPr>
          </w:p>
          <w:p w14:paraId="5D7C0858" w14:textId="77777777" w:rsidR="006E1592" w:rsidRDefault="006E1592" w:rsidP="009828E2">
            <w:pPr>
              <w:pStyle w:val="Default"/>
              <w:rPr>
                <w:sz w:val="23"/>
                <w:szCs w:val="23"/>
              </w:rPr>
            </w:pPr>
          </w:p>
        </w:tc>
      </w:tr>
      <w:tr w:rsidR="006E1592" w14:paraId="6F6EDF38" w14:textId="77777777" w:rsidTr="006E1592">
        <w:trPr>
          <w:trHeight w:val="98"/>
        </w:trPr>
        <w:tc>
          <w:tcPr>
            <w:tcW w:w="2480" w:type="dxa"/>
            <w:tcBorders>
              <w:top w:val="single" w:sz="4" w:space="0" w:color="auto"/>
              <w:left w:val="single" w:sz="4" w:space="0" w:color="auto"/>
              <w:bottom w:val="single" w:sz="4" w:space="0" w:color="auto"/>
              <w:right w:val="single" w:sz="4" w:space="0" w:color="auto"/>
            </w:tcBorders>
          </w:tcPr>
          <w:p w14:paraId="74462F68" w14:textId="77777777" w:rsidR="006E1592" w:rsidRDefault="006E1592" w:rsidP="009828E2">
            <w:pPr>
              <w:pStyle w:val="Default"/>
              <w:rPr>
                <w:b/>
                <w:bCs/>
                <w:sz w:val="22"/>
                <w:szCs w:val="22"/>
              </w:rPr>
            </w:pPr>
            <w:r>
              <w:rPr>
                <w:b/>
                <w:bCs/>
                <w:sz w:val="22"/>
                <w:szCs w:val="22"/>
              </w:rPr>
              <w:t xml:space="preserve">Catering Unit </w:t>
            </w:r>
          </w:p>
          <w:p w14:paraId="43959534" w14:textId="77777777" w:rsidR="006E1592" w:rsidRDefault="006E1592" w:rsidP="009828E2">
            <w:pPr>
              <w:pStyle w:val="Default"/>
              <w:rPr>
                <w:sz w:val="22"/>
                <w:szCs w:val="22"/>
              </w:rPr>
            </w:pPr>
          </w:p>
        </w:tc>
        <w:tc>
          <w:tcPr>
            <w:tcW w:w="5395" w:type="dxa"/>
            <w:gridSpan w:val="2"/>
            <w:tcBorders>
              <w:top w:val="single" w:sz="4" w:space="0" w:color="auto"/>
              <w:left w:val="single" w:sz="4" w:space="0" w:color="auto"/>
              <w:bottom w:val="single" w:sz="4" w:space="0" w:color="auto"/>
              <w:right w:val="single" w:sz="4" w:space="0" w:color="auto"/>
            </w:tcBorders>
          </w:tcPr>
          <w:p w14:paraId="5C89BF6F" w14:textId="77777777" w:rsidR="006E1592" w:rsidRDefault="006E1592" w:rsidP="009828E2">
            <w:pPr>
              <w:pStyle w:val="Default"/>
              <w:rPr>
                <w:sz w:val="22"/>
                <w:szCs w:val="22"/>
              </w:rPr>
            </w:pPr>
          </w:p>
        </w:tc>
        <w:tc>
          <w:tcPr>
            <w:tcW w:w="4135" w:type="dxa"/>
            <w:tcBorders>
              <w:top w:val="single" w:sz="4" w:space="0" w:color="auto"/>
              <w:left w:val="single" w:sz="4" w:space="0" w:color="auto"/>
              <w:bottom w:val="single" w:sz="4" w:space="0" w:color="auto"/>
              <w:right w:val="single" w:sz="4" w:space="0" w:color="auto"/>
            </w:tcBorders>
          </w:tcPr>
          <w:p w14:paraId="2B81F378" w14:textId="77777777" w:rsidR="006E1592" w:rsidRDefault="006E1592" w:rsidP="009828E2">
            <w:pPr>
              <w:pStyle w:val="Default"/>
              <w:rPr>
                <w:sz w:val="22"/>
                <w:szCs w:val="22"/>
              </w:rPr>
            </w:pPr>
            <w:r>
              <w:rPr>
                <w:sz w:val="22"/>
                <w:szCs w:val="22"/>
              </w:rPr>
              <w:t xml:space="preserve">................M by ................M </w:t>
            </w:r>
          </w:p>
        </w:tc>
      </w:tr>
      <w:tr w:rsidR="006E1592" w14:paraId="5B95B3EB" w14:textId="77777777" w:rsidTr="006E1592">
        <w:trPr>
          <w:trHeight w:val="98"/>
        </w:trPr>
        <w:tc>
          <w:tcPr>
            <w:tcW w:w="2480" w:type="dxa"/>
            <w:tcBorders>
              <w:top w:val="single" w:sz="4" w:space="0" w:color="auto"/>
              <w:left w:val="single" w:sz="4" w:space="0" w:color="auto"/>
              <w:bottom w:val="single" w:sz="4" w:space="0" w:color="auto"/>
              <w:right w:val="single" w:sz="4" w:space="0" w:color="auto"/>
            </w:tcBorders>
          </w:tcPr>
          <w:p w14:paraId="0B764E60" w14:textId="77777777" w:rsidR="006E1592" w:rsidRDefault="006E1592" w:rsidP="009828E2">
            <w:pPr>
              <w:pStyle w:val="Default"/>
              <w:rPr>
                <w:b/>
                <w:bCs/>
                <w:sz w:val="22"/>
                <w:szCs w:val="22"/>
              </w:rPr>
            </w:pPr>
            <w:r>
              <w:rPr>
                <w:b/>
                <w:bCs/>
                <w:sz w:val="22"/>
                <w:szCs w:val="22"/>
              </w:rPr>
              <w:t xml:space="preserve">Dining Area (Tables and Chairs) </w:t>
            </w:r>
          </w:p>
          <w:p w14:paraId="54A9630F" w14:textId="77777777" w:rsidR="006E1592" w:rsidRDefault="006E1592" w:rsidP="009828E2">
            <w:pPr>
              <w:pStyle w:val="Default"/>
              <w:rPr>
                <w:sz w:val="22"/>
                <w:szCs w:val="22"/>
              </w:rPr>
            </w:pPr>
          </w:p>
        </w:tc>
        <w:tc>
          <w:tcPr>
            <w:tcW w:w="5395" w:type="dxa"/>
            <w:gridSpan w:val="2"/>
            <w:tcBorders>
              <w:top w:val="single" w:sz="4" w:space="0" w:color="auto"/>
              <w:left w:val="single" w:sz="4" w:space="0" w:color="auto"/>
              <w:bottom w:val="single" w:sz="4" w:space="0" w:color="auto"/>
              <w:right w:val="single" w:sz="4" w:space="0" w:color="auto"/>
            </w:tcBorders>
          </w:tcPr>
          <w:p w14:paraId="014A1A68" w14:textId="77777777" w:rsidR="006E1592" w:rsidRDefault="006E1592" w:rsidP="009828E2">
            <w:pPr>
              <w:pStyle w:val="Default"/>
              <w:rPr>
                <w:sz w:val="22"/>
                <w:szCs w:val="22"/>
              </w:rPr>
            </w:pPr>
          </w:p>
        </w:tc>
        <w:tc>
          <w:tcPr>
            <w:tcW w:w="4135" w:type="dxa"/>
            <w:tcBorders>
              <w:top w:val="single" w:sz="4" w:space="0" w:color="auto"/>
              <w:left w:val="single" w:sz="4" w:space="0" w:color="auto"/>
              <w:bottom w:val="single" w:sz="4" w:space="0" w:color="auto"/>
              <w:right w:val="single" w:sz="4" w:space="0" w:color="auto"/>
            </w:tcBorders>
          </w:tcPr>
          <w:p w14:paraId="12E3C719" w14:textId="77777777" w:rsidR="006E1592" w:rsidRDefault="006E1592" w:rsidP="009828E2">
            <w:pPr>
              <w:pStyle w:val="Default"/>
              <w:rPr>
                <w:sz w:val="22"/>
                <w:szCs w:val="22"/>
              </w:rPr>
            </w:pPr>
            <w:r>
              <w:rPr>
                <w:sz w:val="22"/>
                <w:szCs w:val="22"/>
              </w:rPr>
              <w:t xml:space="preserve">.................M by ...............M </w:t>
            </w:r>
          </w:p>
        </w:tc>
      </w:tr>
      <w:tr w:rsidR="006E1592" w14:paraId="05D68DA5" w14:textId="77777777" w:rsidTr="006E1592">
        <w:trPr>
          <w:trHeight w:val="98"/>
        </w:trPr>
        <w:tc>
          <w:tcPr>
            <w:tcW w:w="2480" w:type="dxa"/>
            <w:tcBorders>
              <w:top w:val="single" w:sz="4" w:space="0" w:color="auto"/>
              <w:left w:val="single" w:sz="4" w:space="0" w:color="auto"/>
              <w:bottom w:val="single" w:sz="4" w:space="0" w:color="auto"/>
              <w:right w:val="single" w:sz="4" w:space="0" w:color="auto"/>
            </w:tcBorders>
          </w:tcPr>
          <w:p w14:paraId="54551DA0" w14:textId="77777777" w:rsidR="006E1592" w:rsidRDefault="006E1592" w:rsidP="009828E2">
            <w:pPr>
              <w:pStyle w:val="Default"/>
              <w:rPr>
                <w:b/>
                <w:bCs/>
                <w:sz w:val="22"/>
                <w:szCs w:val="22"/>
              </w:rPr>
            </w:pPr>
            <w:r>
              <w:rPr>
                <w:b/>
                <w:bCs/>
                <w:sz w:val="22"/>
                <w:szCs w:val="22"/>
              </w:rPr>
              <w:t xml:space="preserve">Materials to be used for food/drink provision </w:t>
            </w:r>
          </w:p>
          <w:p w14:paraId="5AA96A1D" w14:textId="599215A4" w:rsidR="006E1592" w:rsidRDefault="006E1592" w:rsidP="009828E2">
            <w:pPr>
              <w:pStyle w:val="Default"/>
              <w:rPr>
                <w:b/>
                <w:bCs/>
                <w:sz w:val="22"/>
                <w:szCs w:val="22"/>
              </w:rPr>
            </w:pPr>
          </w:p>
        </w:tc>
        <w:tc>
          <w:tcPr>
            <w:tcW w:w="9530" w:type="dxa"/>
            <w:gridSpan w:val="3"/>
            <w:tcBorders>
              <w:top w:val="single" w:sz="4" w:space="0" w:color="auto"/>
              <w:left w:val="single" w:sz="4" w:space="0" w:color="auto"/>
              <w:bottom w:val="single" w:sz="4" w:space="0" w:color="auto"/>
              <w:right w:val="single" w:sz="4" w:space="0" w:color="auto"/>
            </w:tcBorders>
          </w:tcPr>
          <w:p w14:paraId="56B910C9" w14:textId="77777777" w:rsidR="006E1592" w:rsidRDefault="006E1592" w:rsidP="009828E2">
            <w:pPr>
              <w:pStyle w:val="Default"/>
              <w:rPr>
                <w:sz w:val="22"/>
                <w:szCs w:val="22"/>
              </w:rPr>
            </w:pPr>
          </w:p>
        </w:tc>
      </w:tr>
      <w:tr w:rsidR="006E1592" w14:paraId="20B62B7F" w14:textId="77777777" w:rsidTr="006E1592">
        <w:trPr>
          <w:trHeight w:val="114"/>
        </w:trPr>
        <w:tc>
          <w:tcPr>
            <w:tcW w:w="5395" w:type="dxa"/>
            <w:gridSpan w:val="2"/>
            <w:tcBorders>
              <w:top w:val="single" w:sz="4" w:space="0" w:color="auto"/>
              <w:left w:val="single" w:sz="4" w:space="0" w:color="auto"/>
              <w:bottom w:val="single" w:sz="4" w:space="0" w:color="auto"/>
              <w:right w:val="single" w:sz="4" w:space="0" w:color="auto"/>
            </w:tcBorders>
          </w:tcPr>
          <w:p w14:paraId="1924301D" w14:textId="77777777" w:rsidR="006E1592" w:rsidRDefault="006E1592" w:rsidP="009828E2">
            <w:pPr>
              <w:pStyle w:val="Default"/>
              <w:rPr>
                <w:b/>
                <w:bCs/>
                <w:sz w:val="22"/>
                <w:szCs w:val="22"/>
              </w:rPr>
            </w:pPr>
            <w:r>
              <w:rPr>
                <w:b/>
                <w:bCs/>
                <w:sz w:val="22"/>
                <w:szCs w:val="22"/>
              </w:rPr>
              <w:t xml:space="preserve">A range of menus/goods together with their suggested selling price enclosed </w:t>
            </w:r>
          </w:p>
          <w:p w14:paraId="1C569809" w14:textId="77777777" w:rsidR="006E1592" w:rsidRDefault="006E1592" w:rsidP="009828E2">
            <w:pPr>
              <w:pStyle w:val="Default"/>
              <w:rPr>
                <w:b/>
                <w:bCs/>
                <w:sz w:val="22"/>
                <w:szCs w:val="22"/>
              </w:rPr>
            </w:pPr>
            <w:r>
              <w:rPr>
                <w:b/>
                <w:bCs/>
                <w:sz w:val="22"/>
                <w:szCs w:val="22"/>
              </w:rPr>
              <w:t>( please attach)</w:t>
            </w:r>
          </w:p>
          <w:p w14:paraId="41136065" w14:textId="77777777" w:rsidR="006E1592" w:rsidRDefault="006E1592" w:rsidP="009828E2">
            <w:pPr>
              <w:pStyle w:val="Default"/>
              <w:rPr>
                <w:sz w:val="22"/>
                <w:szCs w:val="22"/>
              </w:rPr>
            </w:pPr>
          </w:p>
        </w:tc>
        <w:tc>
          <w:tcPr>
            <w:tcW w:w="6615" w:type="dxa"/>
            <w:gridSpan w:val="2"/>
            <w:tcBorders>
              <w:top w:val="single" w:sz="4" w:space="0" w:color="auto"/>
              <w:left w:val="single" w:sz="4" w:space="0" w:color="auto"/>
              <w:bottom w:val="single" w:sz="4" w:space="0" w:color="auto"/>
              <w:right w:val="single" w:sz="4" w:space="0" w:color="auto"/>
            </w:tcBorders>
          </w:tcPr>
          <w:p w14:paraId="1F65D557" w14:textId="77777777" w:rsidR="006E1592" w:rsidRDefault="006E1592" w:rsidP="009828E2">
            <w:pPr>
              <w:pStyle w:val="Default"/>
              <w:rPr>
                <w:b/>
                <w:bCs/>
                <w:sz w:val="22"/>
                <w:szCs w:val="22"/>
              </w:rPr>
            </w:pPr>
          </w:p>
        </w:tc>
      </w:tr>
      <w:tr w:rsidR="006E1592" w14:paraId="30BECDD7" w14:textId="77777777" w:rsidTr="006E1592">
        <w:trPr>
          <w:trHeight w:val="167"/>
        </w:trPr>
        <w:tc>
          <w:tcPr>
            <w:tcW w:w="5395" w:type="dxa"/>
            <w:gridSpan w:val="2"/>
            <w:tcBorders>
              <w:top w:val="single" w:sz="4" w:space="0" w:color="auto"/>
              <w:left w:val="single" w:sz="4" w:space="0" w:color="auto"/>
              <w:bottom w:val="single" w:sz="4" w:space="0" w:color="auto"/>
              <w:right w:val="single" w:sz="4" w:space="0" w:color="auto"/>
            </w:tcBorders>
          </w:tcPr>
          <w:p w14:paraId="07AF6628" w14:textId="77777777" w:rsidR="006E1592" w:rsidRDefault="006E1592" w:rsidP="009828E2">
            <w:pPr>
              <w:pStyle w:val="Default"/>
              <w:rPr>
                <w:b/>
                <w:bCs/>
                <w:sz w:val="22"/>
                <w:szCs w:val="22"/>
              </w:rPr>
            </w:pPr>
            <w:r>
              <w:rPr>
                <w:b/>
                <w:bCs/>
                <w:sz w:val="22"/>
                <w:szCs w:val="22"/>
              </w:rPr>
              <w:t xml:space="preserve">Current Hygiene Certificates and Council Registration documents enclosed </w:t>
            </w:r>
          </w:p>
          <w:p w14:paraId="6EEEB6CA" w14:textId="77777777" w:rsidR="006E1592" w:rsidRDefault="006E1592" w:rsidP="009828E2">
            <w:pPr>
              <w:pStyle w:val="Default"/>
              <w:rPr>
                <w:b/>
                <w:bCs/>
                <w:sz w:val="22"/>
                <w:szCs w:val="22"/>
              </w:rPr>
            </w:pPr>
          </w:p>
          <w:p w14:paraId="56E74E4E" w14:textId="77777777" w:rsidR="006E1592" w:rsidRDefault="006E1592" w:rsidP="009828E2">
            <w:pPr>
              <w:pStyle w:val="Default"/>
              <w:rPr>
                <w:b/>
                <w:bCs/>
                <w:sz w:val="22"/>
                <w:szCs w:val="22"/>
              </w:rPr>
            </w:pPr>
            <w:r>
              <w:rPr>
                <w:b/>
                <w:bCs/>
                <w:sz w:val="22"/>
                <w:szCs w:val="22"/>
              </w:rPr>
              <w:t>( please attach)</w:t>
            </w:r>
          </w:p>
          <w:p w14:paraId="02B3E7F9" w14:textId="77777777" w:rsidR="006E1592" w:rsidRDefault="006E1592" w:rsidP="009828E2">
            <w:pPr>
              <w:pStyle w:val="Default"/>
              <w:rPr>
                <w:sz w:val="22"/>
                <w:szCs w:val="22"/>
              </w:rPr>
            </w:pPr>
          </w:p>
        </w:tc>
        <w:tc>
          <w:tcPr>
            <w:tcW w:w="6615" w:type="dxa"/>
            <w:gridSpan w:val="2"/>
            <w:tcBorders>
              <w:top w:val="single" w:sz="4" w:space="0" w:color="auto"/>
              <w:left w:val="single" w:sz="4" w:space="0" w:color="auto"/>
              <w:bottom w:val="single" w:sz="4" w:space="0" w:color="auto"/>
              <w:right w:val="single" w:sz="4" w:space="0" w:color="auto"/>
            </w:tcBorders>
          </w:tcPr>
          <w:p w14:paraId="4AD6E292" w14:textId="77777777" w:rsidR="006E1592" w:rsidRDefault="006E1592" w:rsidP="009828E2">
            <w:pPr>
              <w:pStyle w:val="Default"/>
              <w:rPr>
                <w:b/>
                <w:bCs/>
                <w:sz w:val="22"/>
                <w:szCs w:val="22"/>
              </w:rPr>
            </w:pPr>
          </w:p>
        </w:tc>
      </w:tr>
      <w:tr w:rsidR="006E1592" w14:paraId="01554FFB" w14:textId="77777777" w:rsidTr="006E1592">
        <w:trPr>
          <w:trHeight w:val="71"/>
        </w:trPr>
        <w:tc>
          <w:tcPr>
            <w:tcW w:w="5395" w:type="dxa"/>
            <w:gridSpan w:val="2"/>
            <w:tcBorders>
              <w:top w:val="single" w:sz="4" w:space="0" w:color="auto"/>
              <w:left w:val="single" w:sz="4" w:space="0" w:color="auto"/>
              <w:bottom w:val="single" w:sz="4" w:space="0" w:color="auto"/>
              <w:right w:val="single" w:sz="4" w:space="0" w:color="auto"/>
            </w:tcBorders>
          </w:tcPr>
          <w:p w14:paraId="22EB7092" w14:textId="3DA7FBAC" w:rsidR="006E1592" w:rsidRDefault="006E1592" w:rsidP="009828E2">
            <w:pPr>
              <w:pStyle w:val="Default"/>
              <w:rPr>
                <w:b/>
                <w:bCs/>
                <w:sz w:val="22"/>
                <w:szCs w:val="22"/>
              </w:rPr>
            </w:pPr>
            <w:r>
              <w:rPr>
                <w:b/>
                <w:bCs/>
                <w:sz w:val="22"/>
                <w:szCs w:val="22"/>
              </w:rPr>
              <w:t xml:space="preserve">A copy of the current </w:t>
            </w:r>
            <w:r w:rsidR="00074776">
              <w:rPr>
                <w:b/>
                <w:bCs/>
                <w:sz w:val="22"/>
                <w:szCs w:val="22"/>
              </w:rPr>
              <w:t>company's</w:t>
            </w:r>
            <w:r>
              <w:rPr>
                <w:b/>
                <w:bCs/>
                <w:sz w:val="22"/>
                <w:szCs w:val="22"/>
              </w:rPr>
              <w:t xml:space="preserve"> £5m public liability certificate enclosed </w:t>
            </w:r>
          </w:p>
          <w:p w14:paraId="3D4A651C" w14:textId="77777777" w:rsidR="006E1592" w:rsidRDefault="006E1592" w:rsidP="009828E2">
            <w:pPr>
              <w:pStyle w:val="Default"/>
              <w:rPr>
                <w:b/>
                <w:bCs/>
                <w:sz w:val="22"/>
                <w:szCs w:val="22"/>
              </w:rPr>
            </w:pPr>
            <w:r>
              <w:rPr>
                <w:b/>
                <w:bCs/>
                <w:sz w:val="22"/>
                <w:szCs w:val="22"/>
              </w:rPr>
              <w:t>( please attach)</w:t>
            </w:r>
          </w:p>
          <w:p w14:paraId="6A15B55E" w14:textId="77777777" w:rsidR="006E1592" w:rsidRDefault="006E1592" w:rsidP="009828E2">
            <w:pPr>
              <w:pStyle w:val="Default"/>
              <w:rPr>
                <w:b/>
                <w:bCs/>
                <w:sz w:val="22"/>
                <w:szCs w:val="22"/>
              </w:rPr>
            </w:pPr>
          </w:p>
          <w:p w14:paraId="5DDBBAF4" w14:textId="77777777" w:rsidR="006E1592" w:rsidRDefault="006E1592" w:rsidP="009828E2">
            <w:pPr>
              <w:pStyle w:val="Default"/>
              <w:rPr>
                <w:sz w:val="22"/>
                <w:szCs w:val="22"/>
              </w:rPr>
            </w:pPr>
          </w:p>
        </w:tc>
        <w:tc>
          <w:tcPr>
            <w:tcW w:w="6615" w:type="dxa"/>
            <w:gridSpan w:val="2"/>
            <w:tcBorders>
              <w:top w:val="single" w:sz="4" w:space="0" w:color="auto"/>
              <w:left w:val="single" w:sz="4" w:space="0" w:color="auto"/>
              <w:bottom w:val="single" w:sz="4" w:space="0" w:color="auto"/>
              <w:right w:val="single" w:sz="4" w:space="0" w:color="auto"/>
            </w:tcBorders>
          </w:tcPr>
          <w:p w14:paraId="519FFA62" w14:textId="77777777" w:rsidR="006E1592" w:rsidRDefault="006E1592" w:rsidP="009828E2">
            <w:pPr>
              <w:pStyle w:val="Default"/>
              <w:rPr>
                <w:b/>
                <w:bCs/>
                <w:sz w:val="22"/>
                <w:szCs w:val="22"/>
              </w:rPr>
            </w:pPr>
          </w:p>
        </w:tc>
      </w:tr>
      <w:tr w:rsidR="006E1592" w14:paraId="78C2441B" w14:textId="77777777" w:rsidTr="006E1592">
        <w:trPr>
          <w:trHeight w:val="71"/>
        </w:trPr>
        <w:tc>
          <w:tcPr>
            <w:tcW w:w="5395" w:type="dxa"/>
            <w:gridSpan w:val="2"/>
            <w:tcBorders>
              <w:top w:val="single" w:sz="4" w:space="0" w:color="auto"/>
              <w:left w:val="single" w:sz="4" w:space="0" w:color="auto"/>
              <w:bottom w:val="single" w:sz="4" w:space="0" w:color="auto"/>
              <w:right w:val="single" w:sz="4" w:space="0" w:color="auto"/>
            </w:tcBorders>
          </w:tcPr>
          <w:p w14:paraId="40EA0382" w14:textId="2826EF89" w:rsidR="006E1592" w:rsidRDefault="006E1592" w:rsidP="009828E2">
            <w:pPr>
              <w:pStyle w:val="Default"/>
              <w:rPr>
                <w:b/>
                <w:bCs/>
                <w:sz w:val="22"/>
                <w:szCs w:val="22"/>
              </w:rPr>
            </w:pPr>
            <w:r>
              <w:rPr>
                <w:b/>
                <w:bCs/>
                <w:sz w:val="22"/>
                <w:szCs w:val="22"/>
              </w:rPr>
              <w:t xml:space="preserve">Proposed Minimum Pitch fee </w:t>
            </w:r>
          </w:p>
          <w:p w14:paraId="6C957C53" w14:textId="77777777" w:rsidR="006E1592" w:rsidRDefault="006E1592" w:rsidP="009828E2">
            <w:pPr>
              <w:pStyle w:val="Default"/>
              <w:rPr>
                <w:b/>
                <w:bCs/>
                <w:sz w:val="22"/>
                <w:szCs w:val="22"/>
              </w:rPr>
            </w:pPr>
          </w:p>
          <w:p w14:paraId="3DCF6940" w14:textId="77777777" w:rsidR="006E1592" w:rsidRDefault="006E1592" w:rsidP="009828E2">
            <w:pPr>
              <w:pStyle w:val="Default"/>
              <w:rPr>
                <w:b/>
                <w:bCs/>
                <w:sz w:val="22"/>
                <w:szCs w:val="22"/>
              </w:rPr>
            </w:pPr>
          </w:p>
          <w:p w14:paraId="590581B5" w14:textId="77777777" w:rsidR="006E1592" w:rsidRDefault="006E1592" w:rsidP="009828E2">
            <w:pPr>
              <w:pStyle w:val="Default"/>
              <w:rPr>
                <w:b/>
                <w:bCs/>
                <w:sz w:val="22"/>
                <w:szCs w:val="22"/>
              </w:rPr>
            </w:pPr>
          </w:p>
          <w:p w14:paraId="1E5EDDAD" w14:textId="67B68A37" w:rsidR="006E1592" w:rsidRDefault="006E1592" w:rsidP="009828E2">
            <w:pPr>
              <w:pStyle w:val="Default"/>
              <w:rPr>
                <w:b/>
                <w:bCs/>
                <w:sz w:val="22"/>
                <w:szCs w:val="22"/>
              </w:rPr>
            </w:pPr>
          </w:p>
        </w:tc>
        <w:tc>
          <w:tcPr>
            <w:tcW w:w="6615" w:type="dxa"/>
            <w:gridSpan w:val="2"/>
            <w:tcBorders>
              <w:top w:val="single" w:sz="4" w:space="0" w:color="auto"/>
              <w:left w:val="single" w:sz="4" w:space="0" w:color="auto"/>
              <w:bottom w:val="single" w:sz="4" w:space="0" w:color="auto"/>
              <w:right w:val="single" w:sz="4" w:space="0" w:color="auto"/>
            </w:tcBorders>
          </w:tcPr>
          <w:p w14:paraId="386AEAE6" w14:textId="77777777" w:rsidR="006E1592" w:rsidRDefault="006E1592" w:rsidP="009828E2">
            <w:pPr>
              <w:pStyle w:val="Default"/>
              <w:rPr>
                <w:b/>
                <w:bCs/>
                <w:sz w:val="22"/>
                <w:szCs w:val="22"/>
              </w:rPr>
            </w:pPr>
          </w:p>
        </w:tc>
      </w:tr>
    </w:tbl>
    <w:p w14:paraId="4FBBB5BF" w14:textId="77777777" w:rsidR="009828E2" w:rsidRPr="00B50D80" w:rsidRDefault="009828E2" w:rsidP="00B50D80"/>
    <w:sectPr w:rsidR="009828E2" w:rsidRPr="00B50D80" w:rsidSect="009828E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8829" w14:textId="77777777" w:rsidR="009F54F6" w:rsidRDefault="009F54F6" w:rsidP="009F54F6">
      <w:pPr>
        <w:spacing w:after="0" w:line="240" w:lineRule="auto"/>
      </w:pPr>
      <w:r>
        <w:separator/>
      </w:r>
    </w:p>
  </w:endnote>
  <w:endnote w:type="continuationSeparator" w:id="0">
    <w:p w14:paraId="46B3607F" w14:textId="77777777" w:rsidR="009F54F6" w:rsidRDefault="009F54F6" w:rsidP="009F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5254" w14:textId="77777777" w:rsidR="009F54F6" w:rsidRDefault="009F54F6" w:rsidP="009F54F6">
      <w:pPr>
        <w:spacing w:after="0" w:line="240" w:lineRule="auto"/>
      </w:pPr>
      <w:r>
        <w:separator/>
      </w:r>
    </w:p>
  </w:footnote>
  <w:footnote w:type="continuationSeparator" w:id="0">
    <w:p w14:paraId="34F61FEF" w14:textId="77777777" w:rsidR="009F54F6" w:rsidRDefault="009F54F6" w:rsidP="009F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10AC" w14:textId="794D34B1" w:rsidR="009F54F6" w:rsidRDefault="009F54F6" w:rsidP="009F54F6">
    <w:pPr>
      <w:pStyle w:val="Header"/>
      <w:jc w:val="center"/>
    </w:pPr>
    <w:r>
      <w:rPr>
        <w:noProof/>
      </w:rPr>
      <w:drawing>
        <wp:inline distT="0" distB="0" distL="0" distR="0" wp14:anchorId="21EB6722" wp14:editId="38E82057">
          <wp:extent cx="1567543" cy="1010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81885" cy="10196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A"/>
    <w:rsid w:val="00053EDF"/>
    <w:rsid w:val="00074776"/>
    <w:rsid w:val="00100A33"/>
    <w:rsid w:val="00127139"/>
    <w:rsid w:val="001565F4"/>
    <w:rsid w:val="001D789E"/>
    <w:rsid w:val="0021291C"/>
    <w:rsid w:val="006C387D"/>
    <w:rsid w:val="006E1592"/>
    <w:rsid w:val="007917BE"/>
    <w:rsid w:val="008E6985"/>
    <w:rsid w:val="00942D40"/>
    <w:rsid w:val="009828E2"/>
    <w:rsid w:val="009E153D"/>
    <w:rsid w:val="009F54F6"/>
    <w:rsid w:val="00A119ED"/>
    <w:rsid w:val="00A16045"/>
    <w:rsid w:val="00A604B1"/>
    <w:rsid w:val="00AD40C9"/>
    <w:rsid w:val="00B50D80"/>
    <w:rsid w:val="00B56E70"/>
    <w:rsid w:val="00BD7453"/>
    <w:rsid w:val="00CF390A"/>
    <w:rsid w:val="00F169BA"/>
    <w:rsid w:val="00FB2E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C3606"/>
  <w15:chartTrackingRefBased/>
  <w15:docId w15:val="{F4CF897B-F4CF-488F-BCB8-86C40BCA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80"/>
    <w:rPr>
      <w:rFonts w:ascii="Century Gothic" w:hAnsi="Century Gothic"/>
      <w:color w:val="000000" w:themeColor="text1"/>
    </w:rPr>
  </w:style>
  <w:style w:type="paragraph" w:styleId="Heading1">
    <w:name w:val="heading 1"/>
    <w:basedOn w:val="Normal"/>
    <w:next w:val="Normal"/>
    <w:link w:val="Heading1Char"/>
    <w:uiPriority w:val="9"/>
    <w:qFormat/>
    <w:rsid w:val="00FB2E63"/>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2E63"/>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2E63"/>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63"/>
    <w:rPr>
      <w:rFonts w:ascii="Century Gothic" w:eastAsiaTheme="majorEastAsia" w:hAnsi="Century Gothic" w:cstheme="majorBidi"/>
      <w:color w:val="2E74B5" w:themeColor="accent1" w:themeShade="BF"/>
      <w:sz w:val="32"/>
      <w:szCs w:val="32"/>
    </w:rPr>
  </w:style>
  <w:style w:type="character" w:customStyle="1" w:styleId="Heading2Char">
    <w:name w:val="Heading 2 Char"/>
    <w:basedOn w:val="DefaultParagraphFont"/>
    <w:link w:val="Heading2"/>
    <w:uiPriority w:val="9"/>
    <w:rsid w:val="00FB2E63"/>
    <w:rPr>
      <w:rFonts w:ascii="Century Gothic" w:eastAsiaTheme="majorEastAsia" w:hAnsi="Century Gothic" w:cstheme="majorBidi"/>
      <w:color w:val="2E74B5" w:themeColor="accent1" w:themeShade="BF"/>
      <w:sz w:val="26"/>
      <w:szCs w:val="26"/>
    </w:rPr>
  </w:style>
  <w:style w:type="character" w:customStyle="1" w:styleId="Heading3Char">
    <w:name w:val="Heading 3 Char"/>
    <w:basedOn w:val="DefaultParagraphFont"/>
    <w:link w:val="Heading3"/>
    <w:uiPriority w:val="9"/>
    <w:rsid w:val="00FB2E63"/>
    <w:rPr>
      <w:rFonts w:ascii="Century Gothic" w:eastAsiaTheme="majorEastAsia" w:hAnsi="Century Gothic" w:cstheme="majorBidi"/>
      <w:color w:val="1F4D78" w:themeColor="accent1" w:themeShade="7F"/>
      <w:sz w:val="24"/>
      <w:szCs w:val="24"/>
    </w:rPr>
  </w:style>
  <w:style w:type="paragraph" w:styleId="NoSpacing">
    <w:name w:val="No Spacing"/>
    <w:uiPriority w:val="1"/>
    <w:qFormat/>
    <w:rsid w:val="00B50D80"/>
    <w:pPr>
      <w:spacing w:after="0" w:line="240" w:lineRule="auto"/>
    </w:pPr>
    <w:rPr>
      <w:rFonts w:ascii="Century Gothic" w:hAnsi="Century Gothic"/>
    </w:rPr>
  </w:style>
  <w:style w:type="paragraph" w:styleId="Title">
    <w:name w:val="Title"/>
    <w:basedOn w:val="Normal"/>
    <w:next w:val="Normal"/>
    <w:link w:val="TitleChar"/>
    <w:uiPriority w:val="10"/>
    <w:qFormat/>
    <w:rsid w:val="00B50D8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50D80"/>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B50D8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0D80"/>
    <w:rPr>
      <w:rFonts w:ascii="Century Gothic" w:eastAsiaTheme="minorEastAsia" w:hAnsi="Century Gothic"/>
      <w:color w:val="5A5A5A" w:themeColor="text1" w:themeTint="A5"/>
      <w:spacing w:val="15"/>
    </w:rPr>
  </w:style>
  <w:style w:type="character" w:styleId="SubtleEmphasis">
    <w:name w:val="Subtle Emphasis"/>
    <w:basedOn w:val="DefaultParagraphFont"/>
    <w:uiPriority w:val="19"/>
    <w:qFormat/>
    <w:rsid w:val="00B50D80"/>
    <w:rPr>
      <w:rFonts w:ascii="Century Gothic" w:hAnsi="Century Gothic"/>
      <w:i/>
      <w:iCs/>
      <w:color w:val="404040" w:themeColor="text1" w:themeTint="BF"/>
    </w:rPr>
  </w:style>
  <w:style w:type="character" w:styleId="Emphasis">
    <w:name w:val="Emphasis"/>
    <w:basedOn w:val="DefaultParagraphFont"/>
    <w:uiPriority w:val="20"/>
    <w:qFormat/>
    <w:rsid w:val="00B50D80"/>
    <w:rPr>
      <w:rFonts w:ascii="Century Gothic" w:hAnsi="Century Gothic"/>
      <w:i/>
      <w:iCs/>
    </w:rPr>
  </w:style>
  <w:style w:type="character" w:styleId="IntenseEmphasis">
    <w:name w:val="Intense Emphasis"/>
    <w:basedOn w:val="DefaultParagraphFont"/>
    <w:uiPriority w:val="21"/>
    <w:qFormat/>
    <w:rsid w:val="00B50D80"/>
    <w:rPr>
      <w:rFonts w:ascii="Century Gothic" w:hAnsi="Century Gothic"/>
      <w:i/>
      <w:iCs/>
      <w:color w:val="5B9BD5" w:themeColor="accent1"/>
      <w:sz w:val="22"/>
    </w:rPr>
  </w:style>
  <w:style w:type="character" w:styleId="Strong">
    <w:name w:val="Strong"/>
    <w:basedOn w:val="DefaultParagraphFont"/>
    <w:uiPriority w:val="22"/>
    <w:qFormat/>
    <w:rsid w:val="00B50D80"/>
    <w:rPr>
      <w:rFonts w:ascii="Century Gothic" w:hAnsi="Century Gothic"/>
      <w:b/>
      <w:bCs/>
      <w:sz w:val="22"/>
    </w:rPr>
  </w:style>
  <w:style w:type="paragraph" w:styleId="Quote">
    <w:name w:val="Quote"/>
    <w:basedOn w:val="Normal"/>
    <w:next w:val="Normal"/>
    <w:link w:val="QuoteChar"/>
    <w:uiPriority w:val="29"/>
    <w:qFormat/>
    <w:rsid w:val="00B50D8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0D80"/>
    <w:rPr>
      <w:rFonts w:ascii="Century Gothic" w:hAnsi="Century Gothic"/>
      <w:i/>
      <w:iCs/>
      <w:color w:val="404040" w:themeColor="text1" w:themeTint="BF"/>
    </w:rPr>
  </w:style>
  <w:style w:type="character" w:styleId="SubtleReference">
    <w:name w:val="Subtle Reference"/>
    <w:basedOn w:val="DefaultParagraphFont"/>
    <w:uiPriority w:val="31"/>
    <w:qFormat/>
    <w:rsid w:val="00B50D80"/>
    <w:rPr>
      <w:rFonts w:ascii="Century Gothic" w:hAnsi="Century Gothic"/>
      <w:smallCaps/>
      <w:color w:val="5A5A5A" w:themeColor="text1" w:themeTint="A5"/>
      <w:sz w:val="22"/>
    </w:rPr>
  </w:style>
  <w:style w:type="character" w:styleId="IntenseReference">
    <w:name w:val="Intense Reference"/>
    <w:basedOn w:val="DefaultParagraphFont"/>
    <w:uiPriority w:val="32"/>
    <w:qFormat/>
    <w:rsid w:val="00B50D80"/>
    <w:rPr>
      <w:rFonts w:ascii="Century Gothic" w:hAnsi="Century Gothic"/>
      <w:b/>
      <w:bCs/>
      <w:smallCaps/>
      <w:color w:val="5B9BD5" w:themeColor="accent1"/>
      <w:spacing w:val="5"/>
    </w:rPr>
  </w:style>
  <w:style w:type="character" w:styleId="BookTitle">
    <w:name w:val="Book Title"/>
    <w:basedOn w:val="DefaultParagraphFont"/>
    <w:uiPriority w:val="33"/>
    <w:qFormat/>
    <w:rsid w:val="00B50D80"/>
    <w:rPr>
      <w:rFonts w:ascii="Century Gothic" w:hAnsi="Century Gothic"/>
      <w:b/>
      <w:bCs/>
      <w:i/>
      <w:iCs/>
      <w:spacing w:val="5"/>
      <w:sz w:val="24"/>
    </w:rPr>
  </w:style>
  <w:style w:type="paragraph" w:styleId="ListParagraph">
    <w:name w:val="List Paragraph"/>
    <w:basedOn w:val="Normal"/>
    <w:uiPriority w:val="34"/>
    <w:qFormat/>
    <w:rsid w:val="00B50D80"/>
    <w:pPr>
      <w:ind w:left="720"/>
      <w:contextualSpacing/>
    </w:pPr>
  </w:style>
  <w:style w:type="paragraph" w:customStyle="1" w:styleId="Default">
    <w:name w:val="Default"/>
    <w:rsid w:val="00CF390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828E2"/>
    <w:rPr>
      <w:color w:val="0563C1" w:themeColor="hyperlink"/>
      <w:u w:val="single"/>
    </w:rPr>
  </w:style>
  <w:style w:type="character" w:styleId="CommentReference">
    <w:name w:val="annotation reference"/>
    <w:basedOn w:val="DefaultParagraphFont"/>
    <w:uiPriority w:val="99"/>
    <w:semiHidden/>
    <w:unhideWhenUsed/>
    <w:rsid w:val="00F169BA"/>
    <w:rPr>
      <w:sz w:val="16"/>
      <w:szCs w:val="16"/>
    </w:rPr>
  </w:style>
  <w:style w:type="paragraph" w:styleId="CommentText">
    <w:name w:val="annotation text"/>
    <w:basedOn w:val="Normal"/>
    <w:link w:val="CommentTextChar"/>
    <w:uiPriority w:val="99"/>
    <w:semiHidden/>
    <w:unhideWhenUsed/>
    <w:rsid w:val="00F169BA"/>
    <w:pPr>
      <w:spacing w:line="240" w:lineRule="auto"/>
    </w:pPr>
    <w:rPr>
      <w:sz w:val="20"/>
      <w:szCs w:val="20"/>
    </w:rPr>
  </w:style>
  <w:style w:type="character" w:customStyle="1" w:styleId="CommentTextChar">
    <w:name w:val="Comment Text Char"/>
    <w:basedOn w:val="DefaultParagraphFont"/>
    <w:link w:val="CommentText"/>
    <w:uiPriority w:val="99"/>
    <w:semiHidden/>
    <w:rsid w:val="00F169BA"/>
    <w:rPr>
      <w:rFonts w:ascii="Century Gothic" w:hAnsi="Century Gothic"/>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169BA"/>
    <w:rPr>
      <w:b/>
      <w:bCs/>
    </w:rPr>
  </w:style>
  <w:style w:type="character" w:customStyle="1" w:styleId="CommentSubjectChar">
    <w:name w:val="Comment Subject Char"/>
    <w:basedOn w:val="CommentTextChar"/>
    <w:link w:val="CommentSubject"/>
    <w:uiPriority w:val="99"/>
    <w:semiHidden/>
    <w:rsid w:val="00F169BA"/>
    <w:rPr>
      <w:rFonts w:ascii="Century Gothic" w:hAnsi="Century Gothic"/>
      <w:b/>
      <w:bCs/>
      <w:color w:val="000000" w:themeColor="text1"/>
      <w:sz w:val="20"/>
      <w:szCs w:val="20"/>
    </w:rPr>
  </w:style>
  <w:style w:type="paragraph" w:styleId="BalloonText">
    <w:name w:val="Balloon Text"/>
    <w:basedOn w:val="Normal"/>
    <w:link w:val="BalloonTextChar"/>
    <w:uiPriority w:val="99"/>
    <w:semiHidden/>
    <w:unhideWhenUsed/>
    <w:rsid w:val="00F16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BA"/>
    <w:rPr>
      <w:rFonts w:ascii="Segoe UI" w:hAnsi="Segoe UI" w:cs="Segoe UI"/>
      <w:color w:val="000000" w:themeColor="text1"/>
      <w:sz w:val="18"/>
      <w:szCs w:val="18"/>
    </w:rPr>
  </w:style>
  <w:style w:type="paragraph" w:styleId="Header">
    <w:name w:val="header"/>
    <w:basedOn w:val="Normal"/>
    <w:link w:val="HeaderChar"/>
    <w:uiPriority w:val="99"/>
    <w:unhideWhenUsed/>
    <w:rsid w:val="009F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4F6"/>
    <w:rPr>
      <w:rFonts w:ascii="Century Gothic" w:hAnsi="Century Gothic"/>
      <w:color w:val="000000" w:themeColor="text1"/>
    </w:rPr>
  </w:style>
  <w:style w:type="paragraph" w:styleId="Footer">
    <w:name w:val="footer"/>
    <w:basedOn w:val="Normal"/>
    <w:link w:val="FooterChar"/>
    <w:uiPriority w:val="99"/>
    <w:unhideWhenUsed/>
    <w:rsid w:val="009F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4F6"/>
    <w:rPr>
      <w:rFonts w:ascii="Century Gothic" w:hAnsi="Century Gothic"/>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tterleycountryfair@gmail.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1EE4-A723-4E55-810F-0DFF53E0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1373</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East Coast College</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Rachel</dc:creator>
  <cp:keywords/>
  <dc:description/>
  <cp:lastModifiedBy>Rachel Bunn</cp:lastModifiedBy>
  <cp:revision>2</cp:revision>
  <dcterms:created xsi:type="dcterms:W3CDTF">2026-02-12T23:26:00Z</dcterms:created>
  <dcterms:modified xsi:type="dcterms:W3CDTF">2026-02-12T23:26:00Z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b1a2d334d2defc3d8ca5535772ae1b4408cc76cb5c2dcd01f39441e19561cc04</vt:lpwstr>
  </property>
</Properties>
</file>